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50"/>
        </w:tabs>
        <w:jc w:val="center"/>
        <w:rPr>
          <w:rFonts w:hint="default" w:ascii="Times New Roman" w:hAnsi="Times New Roman" w:eastAsia="宋体" w:cs="Times New Roman"/>
          <w:b/>
          <w:bCs/>
          <w:color w:val="auto"/>
          <w:lang w:val="en" w:eastAsia="zh-CN"/>
        </w:rPr>
      </w:pPr>
      <w:r>
        <w:rPr>
          <w:rFonts w:hint="default" w:ascii="Times New Roman" w:hAnsi="Times New Roman" w:eastAsia="宋体" w:cs="Times New Roman"/>
          <w:b/>
          <w:bCs/>
          <w:color w:val="auto"/>
          <w:spacing w:val="20"/>
          <w:sz w:val="84"/>
          <w:szCs w:val="84"/>
          <w:lang w:val="en" w:eastAsia="zh-CN"/>
        </w:rPr>
        <w:t>河南省荣康医院电子病历一体化项目</w:t>
      </w:r>
    </w:p>
    <w:p>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pPr>
        <w:tabs>
          <w:tab w:val="left" w:pos="1950"/>
        </w:tabs>
        <w:jc w:val="left"/>
        <w:rPr>
          <w:rFonts w:hint="default" w:ascii="Times New Roman" w:hAnsi="Times New Roman" w:eastAsia="宋体" w:cs="Times New Roman"/>
          <w:b/>
          <w:bCs/>
          <w:color w:val="auto"/>
          <w:lang w:val="en-US"/>
        </w:rPr>
      </w:pPr>
    </w:p>
    <w:p>
      <w:pPr>
        <w:jc w:val="center"/>
        <w:rPr>
          <w:rFonts w:hint="default" w:ascii="Times New Roman" w:hAnsi="Times New Roman" w:eastAsia="宋体" w:cs="Times New Roman"/>
          <w:b/>
          <w:bCs/>
          <w:color w:val="auto"/>
          <w:sz w:val="160"/>
          <w:szCs w:val="160"/>
        </w:rPr>
      </w:pPr>
      <w:r>
        <w:rPr>
          <w:rFonts w:hint="default" w:ascii="Times New Roman" w:hAnsi="Times New Roman" w:eastAsia="宋体" w:cs="Times New Roman"/>
          <w:b/>
          <w:color w:val="auto"/>
          <w:sz w:val="160"/>
          <w:szCs w:val="160"/>
        </w:rPr>
        <w:t>招标文件</w:t>
      </w:r>
    </w:p>
    <w:p>
      <w:pPr>
        <w:jc w:val="center"/>
        <w:rPr>
          <w:rFonts w:hint="default" w:ascii="Times New Roman" w:hAnsi="Times New Roman" w:eastAsia="宋体" w:cs="Times New Roman"/>
          <w:b/>
          <w:color w:val="auto"/>
          <w:sz w:val="36"/>
          <w:szCs w:val="36"/>
        </w:rPr>
      </w:pPr>
    </w:p>
    <w:p>
      <w:pPr>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rPr>
        <w:t>采购编号：</w:t>
      </w:r>
      <w:r>
        <w:rPr>
          <w:rFonts w:hint="default" w:ascii="Times New Roman" w:hAnsi="Times New Roman" w:eastAsia="宋体" w:cs="Times New Roman"/>
          <w:b/>
          <w:color w:val="auto"/>
          <w:sz w:val="36"/>
          <w:szCs w:val="36"/>
          <w:lang w:val="en" w:eastAsia="zh-CN"/>
        </w:rPr>
        <w:t>豫财招标采购-2023-161</w:t>
      </w:r>
    </w:p>
    <w:p>
      <w:pPr>
        <w:tabs>
          <w:tab w:val="left" w:pos="1950"/>
        </w:tabs>
        <w:jc w:val="left"/>
        <w:rPr>
          <w:rFonts w:hint="default" w:ascii="Times New Roman" w:hAnsi="Times New Roman" w:eastAsia="宋体" w:cs="Times New Roman"/>
          <w:b/>
          <w:bCs/>
          <w:color w:val="auto"/>
          <w:sz w:val="32"/>
          <w:szCs w:val="32"/>
          <w:lang w:val="en-US" w:eastAsia="zh-CN"/>
        </w:rPr>
      </w:pPr>
    </w:p>
    <w:p>
      <w:pPr>
        <w:spacing w:line="240" w:lineRule="atLeast"/>
        <w:ind w:left="1080" w:hanging="54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lang w:val="en-US" w:eastAsia="zh-CN"/>
        </w:rPr>
        <w:drawing>
          <wp:inline distT="0" distB="0" distL="114300" distR="114300">
            <wp:extent cx="1401445" cy="14014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1401445" cy="1401445"/>
                    </a:xfrm>
                    <a:prstGeom prst="rect">
                      <a:avLst/>
                    </a:prstGeom>
                    <a:noFill/>
                    <a:ln>
                      <a:noFill/>
                    </a:ln>
                  </pic:spPr>
                </pic:pic>
              </a:graphicData>
            </a:graphic>
          </wp:inline>
        </w:drawing>
      </w: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rPr>
          <w:rFonts w:hint="default" w:ascii="Times New Roman" w:hAnsi="Times New Roman" w:eastAsia="宋体" w:cs="Times New Roman"/>
          <w:b/>
          <w:bCs/>
          <w:color w:val="auto"/>
          <w:sz w:val="28"/>
          <w:szCs w:val="28"/>
          <w:lang w:val="en-US"/>
        </w:rPr>
      </w:pPr>
    </w:p>
    <w:p>
      <w:pPr>
        <w:spacing w:line="700" w:lineRule="exact"/>
        <w:ind w:left="1050" w:leftChars="500"/>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rPr>
        <w:t>采   购   人：</w:t>
      </w:r>
      <w:r>
        <w:rPr>
          <w:rFonts w:hint="default" w:ascii="Times New Roman" w:hAnsi="Times New Roman" w:eastAsia="宋体" w:cs="Times New Roman"/>
          <w:b/>
          <w:color w:val="auto"/>
          <w:sz w:val="36"/>
          <w:szCs w:val="36"/>
          <w:lang w:val="en" w:eastAsia="zh-CN"/>
        </w:rPr>
        <w:t>河南省荣康医院</w:t>
      </w:r>
    </w:p>
    <w:p>
      <w:pPr>
        <w:spacing w:line="700" w:lineRule="exact"/>
        <w:ind w:left="1050" w:leftChars="500"/>
        <w:rPr>
          <w:rFonts w:hint="default" w:ascii="Times New Roman" w:hAnsi="Times New Roman" w:eastAsia="宋体" w:cs="Times New Roman"/>
          <w:b/>
          <w:bCs/>
          <w:color w:val="auto"/>
          <w:spacing w:val="56"/>
          <w:sz w:val="36"/>
          <w:szCs w:val="36"/>
        </w:rPr>
      </w:pPr>
      <w:r>
        <w:rPr>
          <w:rFonts w:hint="default" w:ascii="Times New Roman" w:hAnsi="Times New Roman" w:eastAsia="宋体" w:cs="Times New Roman"/>
          <w:b/>
          <w:color w:val="auto"/>
          <w:sz w:val="36"/>
          <w:szCs w:val="36"/>
        </w:rPr>
        <w:t>集中采购机构：河南省公共资源交易中心</w:t>
      </w:r>
    </w:p>
    <w:p>
      <w:pPr>
        <w:jc w:val="center"/>
        <w:rPr>
          <w:rFonts w:hint="default" w:ascii="Times New Roman" w:hAnsi="Times New Roman" w:eastAsia="宋体" w:cs="Times New Roman"/>
          <w:b/>
          <w:bCs/>
          <w:color w:val="auto"/>
          <w:lang w:val="en-US"/>
        </w:rPr>
      </w:pPr>
    </w:p>
    <w:p>
      <w:pPr>
        <w:spacing w:line="240" w:lineRule="atLeast"/>
        <w:jc w:val="center"/>
        <w:rPr>
          <w:rFonts w:hint="default" w:ascii="Times New Roman" w:hAnsi="Times New Roman" w:eastAsia="宋体" w:cs="Times New Roman"/>
          <w:b/>
          <w:color w:val="auto"/>
          <w:sz w:val="36"/>
          <w:szCs w:val="36"/>
        </w:rPr>
      </w:pPr>
      <w:r>
        <w:rPr>
          <w:rFonts w:hint="default" w:ascii="Times New Roman" w:hAnsi="Times New Roman" w:eastAsia="宋体" w:cs="Times New Roman"/>
          <w:b/>
          <w:bCs/>
          <w:color w:val="auto"/>
          <w:sz w:val="36"/>
          <w:szCs w:val="36"/>
          <w:lang w:val="en" w:eastAsia="zh-CN"/>
        </w:rPr>
        <w:t>2023年</w:t>
      </w:r>
      <w:r>
        <w:rPr>
          <w:rFonts w:hint="eastAsia" w:ascii="Times New Roman" w:hAnsi="Times New Roman" w:eastAsia="宋体" w:cs="Times New Roman"/>
          <w:b/>
          <w:bCs/>
          <w:color w:val="auto"/>
          <w:sz w:val="36"/>
          <w:szCs w:val="36"/>
          <w:lang w:val="en-US" w:eastAsia="zh-CN"/>
        </w:rPr>
        <w:t>4</w:t>
      </w:r>
      <w:r>
        <w:rPr>
          <w:rFonts w:hint="default" w:ascii="Times New Roman" w:hAnsi="Times New Roman" w:eastAsia="宋体" w:cs="Times New Roman"/>
          <w:b/>
          <w:bCs/>
          <w:color w:val="auto"/>
          <w:sz w:val="36"/>
          <w:szCs w:val="36"/>
          <w:lang w:val="en" w:eastAsia="zh-CN"/>
        </w:rPr>
        <w:t>月</w:t>
      </w:r>
    </w:p>
    <w:p>
      <w:pPr>
        <w:spacing w:line="240" w:lineRule="atLeast"/>
        <w:jc w:val="center"/>
        <w:rPr>
          <w:rFonts w:hint="default" w:ascii="Times New Roman" w:hAnsi="Times New Roman" w:eastAsia="宋体" w:cs="Times New Roman"/>
          <w:b/>
          <w:bCs/>
          <w:color w:val="auto"/>
          <w:sz w:val="52"/>
          <w:szCs w:val="52"/>
          <w:lang w:val="en-US" w:eastAsia="zh-CN"/>
        </w:rPr>
      </w:pPr>
      <w:r>
        <w:rPr>
          <w:rFonts w:hint="default" w:ascii="Times New Roman" w:hAnsi="Times New Roman" w:eastAsia="宋体" w:cs="Times New Roman"/>
          <w:b/>
          <w:bCs/>
          <w:color w:val="auto"/>
          <w:sz w:val="52"/>
          <w:szCs w:val="52"/>
          <w:lang w:val="en-US"/>
        </w:rPr>
        <w:br w:type="page"/>
      </w:r>
      <w:r>
        <w:rPr>
          <w:rFonts w:hint="default" w:ascii="Times New Roman" w:hAnsi="Times New Roman" w:eastAsia="宋体" w:cs="Times New Roman"/>
          <w:b/>
          <w:bCs/>
          <w:color w:val="auto"/>
          <w:sz w:val="48"/>
          <w:szCs w:val="48"/>
          <w:lang w:val="en-US" w:eastAsia="zh-CN"/>
        </w:rPr>
        <w:t>目 录</w:t>
      </w:r>
    </w:p>
    <w:p>
      <w:pPr>
        <w:pStyle w:val="32"/>
        <w:tabs>
          <w:tab w:val="right" w:leader="dot" w:pos="8929"/>
        </w:tabs>
        <w:rPr>
          <w:rFonts w:hint="default" w:ascii="Times New Roman" w:hAnsi="Times New Roman" w:cs="Times New Roman"/>
          <w:sz w:val="32"/>
          <w:szCs w:val="32"/>
        </w:rPr>
      </w:pPr>
      <w:bookmarkStart w:id="0" w:name="_Toc349457307"/>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"1-1" \h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_Toc839523268 </w:instrText>
      </w:r>
      <w:r>
        <w:rPr>
          <w:rFonts w:hint="default" w:ascii="Times New Roman" w:hAnsi="Times New Roman" w:eastAsia="仿宋_GB2312" w:cs="Times New Roman"/>
          <w:sz w:val="32"/>
          <w:szCs w:val="32"/>
        </w:rPr>
        <w:fldChar w:fldCharType="separate"/>
      </w:r>
      <w:r>
        <w:rPr>
          <w:rFonts w:hint="default" w:ascii="Times New Roman" w:hAnsi="Times New Roman" w:cs="Times New Roman"/>
          <w:sz w:val="32"/>
          <w:szCs w:val="32"/>
        </w:rPr>
        <w:t>第一章 投标邀请</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_Toc839523268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pPr>
        <w:pStyle w:val="32"/>
        <w:tabs>
          <w:tab w:val="right" w:leader="dot" w:pos="8929"/>
        </w:tabs>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_Toc675732986 </w:instrText>
      </w:r>
      <w:r>
        <w:rPr>
          <w:rFonts w:hint="default" w:ascii="Times New Roman" w:hAnsi="Times New Roman" w:eastAsia="仿宋_GB2312" w:cs="Times New Roman"/>
          <w:sz w:val="32"/>
          <w:szCs w:val="32"/>
        </w:rPr>
        <w:fldChar w:fldCharType="separate"/>
      </w:r>
      <w:r>
        <w:rPr>
          <w:rFonts w:hint="default" w:ascii="Times New Roman" w:hAnsi="Times New Roman" w:cs="Times New Roman"/>
          <w:sz w:val="32"/>
          <w:szCs w:val="32"/>
        </w:rPr>
        <w:t>第二章 投标人须知前附表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_Toc675732986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6</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pPr>
        <w:pStyle w:val="32"/>
        <w:tabs>
          <w:tab w:val="right" w:leader="dot" w:pos="8929"/>
        </w:tabs>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_Toc549888105 </w:instrText>
      </w:r>
      <w:r>
        <w:rPr>
          <w:rFonts w:hint="default" w:ascii="Times New Roman" w:hAnsi="Times New Roman" w:eastAsia="仿宋_GB2312" w:cs="Times New Roman"/>
          <w:sz w:val="32"/>
          <w:szCs w:val="32"/>
        </w:rPr>
        <w:fldChar w:fldCharType="separate"/>
      </w:r>
      <w:r>
        <w:rPr>
          <w:rFonts w:hint="default" w:ascii="Times New Roman" w:hAnsi="Times New Roman" w:cs="Times New Roman"/>
          <w:sz w:val="32"/>
          <w:szCs w:val="32"/>
        </w:rPr>
        <w:t>第三章 投标人须知</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_Toc549888105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11</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pPr>
        <w:pStyle w:val="32"/>
        <w:tabs>
          <w:tab w:val="right" w:leader="dot" w:pos="8929"/>
        </w:tabs>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_Toc857508733 </w:instrText>
      </w:r>
      <w:r>
        <w:rPr>
          <w:rFonts w:hint="default" w:ascii="Times New Roman" w:hAnsi="Times New Roman" w:eastAsia="仿宋_GB2312" w:cs="Times New Roman"/>
          <w:sz w:val="32"/>
          <w:szCs w:val="32"/>
        </w:rPr>
        <w:fldChar w:fldCharType="separate"/>
      </w:r>
      <w:r>
        <w:rPr>
          <w:rFonts w:hint="default" w:ascii="Times New Roman" w:hAnsi="Times New Roman" w:cs="Times New Roman"/>
          <w:sz w:val="32"/>
          <w:szCs w:val="32"/>
        </w:rPr>
        <w:t>第四章 资格证明文件格式</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_Toc857508733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28</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pPr>
        <w:pStyle w:val="32"/>
        <w:tabs>
          <w:tab w:val="right" w:leader="dot" w:pos="8929"/>
        </w:tabs>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_Toc1692304306 </w:instrText>
      </w:r>
      <w:r>
        <w:rPr>
          <w:rFonts w:hint="default" w:ascii="Times New Roman" w:hAnsi="Times New Roman" w:eastAsia="仿宋_GB2312" w:cs="Times New Roman"/>
          <w:sz w:val="32"/>
          <w:szCs w:val="32"/>
        </w:rPr>
        <w:fldChar w:fldCharType="separate"/>
      </w:r>
      <w:r>
        <w:rPr>
          <w:rFonts w:hint="default" w:ascii="Times New Roman" w:hAnsi="Times New Roman" w:cs="Times New Roman"/>
          <w:sz w:val="32"/>
          <w:szCs w:val="32"/>
        </w:rPr>
        <w:t>第五章 投标文件格式</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_Toc1692304306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39</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pPr>
        <w:pStyle w:val="32"/>
        <w:tabs>
          <w:tab w:val="right" w:leader="dot" w:pos="8929"/>
        </w:tabs>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_Toc1004984858 </w:instrText>
      </w:r>
      <w:r>
        <w:rPr>
          <w:rFonts w:hint="default" w:ascii="Times New Roman" w:hAnsi="Times New Roman" w:eastAsia="仿宋_GB2312" w:cs="Times New Roman"/>
          <w:sz w:val="32"/>
          <w:szCs w:val="32"/>
        </w:rPr>
        <w:fldChar w:fldCharType="separate"/>
      </w:r>
      <w:r>
        <w:rPr>
          <w:rFonts w:hint="default" w:ascii="Times New Roman" w:hAnsi="Times New Roman" w:cs="Times New Roman"/>
          <w:sz w:val="32"/>
          <w:szCs w:val="32"/>
          <w:lang w:val="en"/>
        </w:rPr>
        <w:t>第六章 项目需求及有关要求</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_Toc1004984858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50</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pPr>
        <w:pStyle w:val="32"/>
        <w:tabs>
          <w:tab w:val="right" w:leader="dot" w:pos="8929"/>
        </w:tabs>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_Toc1488517498 </w:instrText>
      </w:r>
      <w:r>
        <w:rPr>
          <w:rFonts w:hint="default" w:ascii="Times New Roman" w:hAnsi="Times New Roman" w:eastAsia="仿宋_GB2312" w:cs="Times New Roman"/>
          <w:sz w:val="32"/>
          <w:szCs w:val="32"/>
        </w:rPr>
        <w:fldChar w:fldCharType="separate"/>
      </w:r>
      <w:r>
        <w:rPr>
          <w:rFonts w:hint="default" w:ascii="Times New Roman" w:hAnsi="Times New Roman" w:cs="Times New Roman"/>
          <w:sz w:val="32"/>
          <w:szCs w:val="32"/>
        </w:rPr>
        <w:t>第七章 评标方法和标准</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_Toc1488517498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156</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pPr>
        <w:pStyle w:val="32"/>
        <w:tabs>
          <w:tab w:val="right" w:leader="dot" w:pos="8929"/>
        </w:tabs>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_Toc1042755721 </w:instrText>
      </w:r>
      <w:r>
        <w:rPr>
          <w:rFonts w:hint="default" w:ascii="Times New Roman" w:hAnsi="Times New Roman" w:eastAsia="仿宋_GB2312" w:cs="Times New Roman"/>
          <w:sz w:val="32"/>
          <w:szCs w:val="32"/>
        </w:rPr>
        <w:fldChar w:fldCharType="separate"/>
      </w:r>
      <w:r>
        <w:rPr>
          <w:rFonts w:hint="default" w:ascii="Times New Roman" w:hAnsi="Times New Roman" w:cs="Times New Roman"/>
          <w:sz w:val="32"/>
          <w:szCs w:val="32"/>
        </w:rPr>
        <w:t>第八章 政府采购合同</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_Toc1042755721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158</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pPr>
        <w:pStyle w:val="32"/>
        <w:tabs>
          <w:tab w:val="right" w:leader="dot" w:pos="8929"/>
        </w:tabs>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_Toc978903079 </w:instrText>
      </w:r>
      <w:r>
        <w:rPr>
          <w:rFonts w:hint="default" w:ascii="Times New Roman" w:hAnsi="Times New Roman" w:eastAsia="仿宋_GB2312" w:cs="Times New Roman"/>
          <w:sz w:val="32"/>
          <w:szCs w:val="32"/>
        </w:rPr>
        <w:fldChar w:fldCharType="separate"/>
      </w:r>
      <w:r>
        <w:rPr>
          <w:rFonts w:hint="default" w:ascii="Times New Roman" w:hAnsi="Times New Roman" w:cs="Times New Roman"/>
          <w:bCs/>
          <w:kern w:val="44"/>
          <w:sz w:val="32"/>
          <w:szCs w:val="32"/>
        </w:rPr>
        <w:t>第九章 附件</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_Toc978903079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161</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fldChar w:fldCharType="end"/>
      </w:r>
    </w:p>
    <w:p>
      <w:pPr>
        <w:pStyle w:val="3"/>
        <w:spacing w:before="0" w:after="0" w:line="240" w:lineRule="auto"/>
        <w:jc w:val="center"/>
        <w:rPr>
          <w:rFonts w:hint="default" w:ascii="Times New Roman" w:hAnsi="Times New Roman" w:eastAsia="宋体" w:cs="Times New Roman"/>
          <w:color w:val="auto"/>
          <w:sz w:val="36"/>
          <w:szCs w:val="36"/>
        </w:rPr>
      </w:pPr>
      <w:r>
        <w:rPr>
          <w:rFonts w:hint="default" w:ascii="Times New Roman" w:hAnsi="Times New Roman" w:eastAsia="宋体" w:cs="Times New Roman"/>
          <w:color w:val="auto"/>
          <w:sz w:val="24"/>
          <w:szCs w:val="24"/>
        </w:rPr>
        <w:br w:type="page"/>
      </w:r>
      <w:bookmarkStart w:id="1" w:name="_Toc1877678980_WPSOffice_Level1"/>
      <w:bookmarkStart w:id="2" w:name="_Toc968113947"/>
      <w:bookmarkStart w:id="3" w:name="_Toc1664555187_WPSOffice_Level1"/>
      <w:bookmarkStart w:id="4" w:name="_Toc932735091"/>
      <w:bookmarkStart w:id="5" w:name="_Toc36262373_WPSOffice_Level1"/>
      <w:bookmarkStart w:id="6" w:name="_Toc424031016"/>
      <w:bookmarkStart w:id="7" w:name="_Toc1592953130"/>
      <w:bookmarkStart w:id="8" w:name="_Toc471743684"/>
      <w:bookmarkStart w:id="9" w:name="_Toc1997956478"/>
      <w:bookmarkStart w:id="10" w:name="_Toc1232167429_WPSOffice_Level1"/>
      <w:bookmarkStart w:id="11" w:name="_Toc1788225408"/>
      <w:bookmarkStart w:id="12" w:name="_Toc175269916"/>
      <w:bookmarkStart w:id="13" w:name="_Toc774922682"/>
      <w:bookmarkStart w:id="14" w:name="_Toc1076329457"/>
      <w:bookmarkStart w:id="15" w:name="_Toc1306098204"/>
      <w:bookmarkStart w:id="16" w:name="_Toc2103182066_WPSOffice_Level1"/>
      <w:bookmarkStart w:id="17" w:name="_Toc1767733431"/>
      <w:bookmarkStart w:id="18" w:name="_Toc729479254"/>
      <w:bookmarkStart w:id="19" w:name="_Toc839523268"/>
      <w:bookmarkStart w:id="20" w:name="_Toc1980840421"/>
      <w:r>
        <w:rPr>
          <w:rFonts w:hint="default" w:ascii="Times New Roman" w:hAnsi="Times New Roman" w:eastAsia="宋体" w:cs="Times New Roman"/>
          <w:color w:val="auto"/>
          <w:sz w:val="36"/>
          <w:szCs w:val="36"/>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default" w:ascii="Times New Roman" w:hAnsi="Times New Roman" w:eastAsia="宋体" w:cs="Times New Roman"/>
          <w:color w:val="auto"/>
          <w:sz w:val="36"/>
          <w:szCs w:val="36"/>
          <w:lang w:eastAsia="zh-CN"/>
        </w:rPr>
        <w:t>投标邀请</w:t>
      </w:r>
      <w:bookmarkEnd w:id="15"/>
      <w:bookmarkEnd w:id="16"/>
      <w:bookmarkEnd w:id="17"/>
      <w:bookmarkEnd w:id="18"/>
      <w:bookmarkEnd w:id="19"/>
      <w:bookmarkEnd w:id="20"/>
    </w:p>
    <w:p>
      <w:pPr>
        <w:spacing w:line="500" w:lineRule="exact"/>
        <w:ind w:firstLine="562"/>
        <w:jc w:val="center"/>
        <w:rPr>
          <w:rFonts w:hint="default" w:ascii="Times New Roman" w:hAnsi="Times New Roman" w:eastAsia="仿宋_GB2312" w:cs="Times New Roman"/>
          <w:b/>
          <w:color w:val="auto"/>
          <w:sz w:val="32"/>
          <w:szCs w:val="32"/>
          <w:lang w:eastAsia="zh-CN"/>
        </w:rPr>
      </w:pPr>
      <w:bookmarkStart w:id="21" w:name="_Toc940675556_WPSOffice_Level2"/>
      <w:r>
        <w:rPr>
          <w:rFonts w:hint="default" w:ascii="Times New Roman" w:hAnsi="Times New Roman" w:eastAsia="仿宋_GB2312" w:cs="Times New Roman"/>
          <w:b/>
          <w:color w:val="auto"/>
          <w:sz w:val="32"/>
          <w:szCs w:val="32"/>
          <w:lang w:val="en" w:eastAsia="zh-CN"/>
        </w:rPr>
        <w:t>河南省荣康医院电子病历一体化项目</w:t>
      </w:r>
      <w:r>
        <w:rPr>
          <w:rFonts w:hint="default" w:ascii="Times New Roman" w:hAnsi="Times New Roman" w:eastAsia="仿宋_GB2312" w:cs="Times New Roman"/>
          <w:b/>
          <w:color w:val="auto"/>
          <w:sz w:val="32"/>
          <w:szCs w:val="32"/>
          <w:lang w:eastAsia="zh-CN"/>
        </w:rPr>
        <w:t>-公开招标公告</w:t>
      </w:r>
      <w:bookmarkEnd w:id="21"/>
    </w:p>
    <w:p>
      <w:pPr>
        <w:spacing w:line="500" w:lineRule="exact"/>
        <w:ind w:firstLine="562"/>
        <w:jc w:val="center"/>
        <w:rPr>
          <w:rFonts w:hint="default" w:ascii="Times New Roman" w:hAnsi="Times New Roman" w:eastAsia="仿宋_GB2312" w:cs="Times New Roman"/>
          <w:b/>
          <w:color w:val="auto"/>
          <w:sz w:val="28"/>
          <w:szCs w:val="28"/>
          <w:lang w:eastAsia="zh-CN"/>
        </w:rPr>
      </w:pPr>
      <w:r>
        <w:rPr>
          <w:rFonts w:hint="default" w:ascii="Times New Roman" w:hAnsi="Times New Roman" w:cs="Times New Roman"/>
          <w:color w:val="auto"/>
          <w:u w:val="single"/>
        </w:rPr>
        <mc:AlternateContent>
          <mc:Choice Requires="wps">
            <w:drawing>
              <wp:anchor distT="0" distB="0" distL="114300" distR="114300" simplePos="0" relativeHeight="251659264" behindDoc="0" locked="0" layoutInCell="1" allowOverlap="1">
                <wp:simplePos x="0" y="0"/>
                <wp:positionH relativeFrom="column">
                  <wp:posOffset>-173990</wp:posOffset>
                </wp:positionH>
                <wp:positionV relativeFrom="paragraph">
                  <wp:posOffset>172085</wp:posOffset>
                </wp:positionV>
                <wp:extent cx="5944870" cy="1504315"/>
                <wp:effectExtent l="4445" t="4445" r="13335" b="15240"/>
                <wp:wrapTopAndBottom/>
                <wp:docPr id="1" name="文本框 11"/>
                <wp:cNvGraphicFramePr/>
                <a:graphic xmlns:a="http://schemas.openxmlformats.org/drawingml/2006/main">
                  <a:graphicData uri="http://schemas.microsoft.com/office/word/2010/wordprocessingShape">
                    <wps:wsp>
                      <wps:cNvSpPr txBox="1"/>
                      <wps:spPr>
                        <a:xfrm>
                          <a:off x="0" y="0"/>
                          <a:ext cx="5944870" cy="1722120"/>
                        </a:xfrm>
                        <a:prstGeom prst="rect">
                          <a:avLst/>
                        </a:prstGeom>
                        <a:noFill/>
                        <a:ln w="9525" cap="flat" cmpd="sng">
                          <a:solidFill>
                            <a:srgbClr val="000000"/>
                          </a:solidFill>
                          <a:prstDash val="solid"/>
                          <a:miter/>
                          <a:headEnd type="none" w="med" len="med"/>
                          <a:tailEnd type="none" w="med" len="med"/>
                        </a:ln>
                        <a:effectLst/>
                      </wps:spPr>
                      <wps:txbx>
                        <w:txbxContent>
                          <w:p>
                            <w:pPr>
                              <w:pStyle w:val="210"/>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210"/>
                              <w:spacing w:line="360" w:lineRule="auto"/>
                              <w:ind w:firstLine="562" w:firstLineChars="200"/>
                            </w:pPr>
                            <w:r>
                              <w:rPr>
                                <w:rFonts w:ascii="仿宋_GB2312" w:hAnsi="仿宋_GB2312" w:eastAsia="仿宋_GB2312" w:cs="仿宋_GB2312"/>
                                <w:b/>
                                <w:bCs/>
                                <w:sz w:val="28"/>
                                <w:szCs w:val="28"/>
                                <w:u w:val="single"/>
                                <w:lang w:val="en"/>
                              </w:rPr>
                              <w:t>河南省荣康医院电子病历一体化项目</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河南省公共资源交易中心网（http://</w:t>
                            </w:r>
                            <w:r>
                              <w:rPr>
                                <w:rFonts w:hint="eastAsia" w:ascii="仿宋_GB2312" w:hAnsi="仿宋_GB2312" w:eastAsia="仿宋_GB2312" w:cs="仿宋_GB2312"/>
                                <w:b/>
                                <w:bCs/>
                                <w:sz w:val="28"/>
                                <w:szCs w:val="28"/>
                                <w:u w:val="single"/>
                                <w:lang w:val="en"/>
                              </w:rPr>
                              <w:t>www.hnggzy.net</w:t>
                            </w:r>
                            <w:r>
                              <w:rPr>
                                <w:rFonts w:hint="eastAsia" w:ascii="仿宋_GB2312" w:hAnsi="仿宋_GB2312" w:eastAsia="仿宋_GB2312" w:cs="仿宋_GB2312"/>
                                <w:b/>
                                <w:bCs/>
                                <w:sz w:val="28"/>
                                <w:szCs w:val="28"/>
                                <w:u w:val="single"/>
                              </w:rPr>
                              <w:t>）</w:t>
                            </w:r>
                            <w:r>
                              <w:rPr>
                                <w:rFonts w:hint="eastAsia" w:ascii="仿宋_GB2312" w:hAnsi="仿宋_GB2312" w:eastAsia="仿宋_GB2312" w:cs="仿宋_GB2312"/>
                                <w:sz w:val="28"/>
                                <w:szCs w:val="28"/>
                              </w:rPr>
                              <w:t>获取招标文件，并于</w:t>
                            </w:r>
                            <w:r>
                              <w:rPr>
                                <w:rFonts w:ascii="仿宋_GB2312" w:hAnsi="仿宋_GB2312" w:eastAsia="仿宋_GB2312" w:cs="仿宋_GB2312"/>
                                <w:b/>
                                <w:bCs/>
                                <w:sz w:val="28"/>
                                <w:szCs w:val="28"/>
                                <w:u w:val="single"/>
                                <w:lang w:val="en"/>
                              </w:rPr>
                              <w:t>2023年</w:t>
                            </w:r>
                            <w:r>
                              <w:rPr>
                                <w:rFonts w:hint="default" w:ascii="仿宋_GB2312" w:hAnsi="仿宋_GB2312" w:eastAsia="仿宋_GB2312" w:cs="仿宋_GB2312"/>
                                <w:b/>
                                <w:bCs/>
                                <w:sz w:val="28"/>
                                <w:szCs w:val="28"/>
                                <w:u w:val="single"/>
                                <w:lang w:val="en"/>
                              </w:rPr>
                              <w:t>5月1</w:t>
                            </w:r>
                            <w:r>
                              <w:rPr>
                                <w:rFonts w:hint="eastAsia" w:ascii="仿宋_GB2312" w:hAnsi="仿宋_GB2312" w:eastAsia="仿宋_GB2312" w:cs="仿宋_GB2312"/>
                                <w:b/>
                                <w:bCs/>
                                <w:sz w:val="28"/>
                                <w:szCs w:val="28"/>
                                <w:u w:val="single"/>
                                <w:lang w:val="en-US" w:eastAsia="zh-CN"/>
                              </w:rPr>
                              <w:t>5</w:t>
                            </w:r>
                            <w:r>
                              <w:rPr>
                                <w:rFonts w:hint="default" w:ascii="仿宋_GB2312" w:hAnsi="仿宋_GB2312" w:eastAsia="仿宋_GB2312" w:cs="仿宋_GB2312"/>
                                <w:b/>
                                <w:bCs/>
                                <w:sz w:val="28"/>
                                <w:szCs w:val="28"/>
                                <w:u w:val="single"/>
                                <w:lang w:val="en"/>
                              </w:rPr>
                              <w:t>日</w:t>
                            </w:r>
                            <w:r>
                              <w:rPr>
                                <w:rFonts w:hint="eastAsia" w:ascii="仿宋_GB2312" w:hAnsi="仿宋_GB2312" w:eastAsia="仿宋_GB2312" w:cs="仿宋_GB2312"/>
                                <w:b/>
                                <w:bCs/>
                                <w:sz w:val="28"/>
                                <w:szCs w:val="28"/>
                                <w:u w:val="single"/>
                              </w:rPr>
                              <w:t>09时00分（北京时间）</w:t>
                            </w:r>
                            <w:r>
                              <w:rPr>
                                <w:rFonts w:hint="eastAsia" w:ascii="仿宋_GB2312" w:hAnsi="仿宋_GB2312" w:eastAsia="仿宋_GB2312" w:cs="仿宋_GB2312"/>
                                <w:sz w:val="28"/>
                                <w:szCs w:val="28"/>
                              </w:rPr>
                              <w:t>前递交投标文件。</w:t>
                            </w:r>
                          </w:p>
                        </w:txbxContent>
                      </wps:txbx>
                      <wps:bodyPr wrap="square" upright="1"/>
                    </wps:wsp>
                  </a:graphicData>
                </a:graphic>
              </wp:anchor>
            </w:drawing>
          </mc:Choice>
          <mc:Fallback>
            <w:pict>
              <v:shape id="文本框 11" o:spid="_x0000_s1026" o:spt="202" type="#_x0000_t202" style="position:absolute;left:0pt;margin-left:-13.7pt;margin-top:13.55pt;height:118.45pt;width:468.1pt;mso-wrap-distance-bottom:0pt;mso-wrap-distance-top:0pt;z-index:251659264;mso-width-relative:page;mso-height-relative:page;" filled="f" stroked="t" coordsize="21600,21600" o:gfxdata="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IqCJK2AAAAAoBAAAPAAAAAAAAAAEAIAAAADgAAABkcnMvZG93bnJldi54bWxQSwEC&#10;FAAUAAAACACHTuJAHg+A2BcCAAArBAAADgAAAAAAAAABACAAAAA9AQAAZHJzL2Uyb0RvYy54bWxQ&#10;SwUGAAAAAAYABgBZAQAAxgUAAAAA&#10;">
                <v:fill on="f" focussize="0,0"/>
                <v:stroke color="#000000" joinstyle="miter"/>
                <v:imagedata o:title=""/>
                <o:lock v:ext="edit" aspectratio="f"/>
                <v:textbox>
                  <w:txbxContent>
                    <w:p>
                      <w:pPr>
                        <w:pStyle w:val="210"/>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210"/>
                        <w:spacing w:line="360" w:lineRule="auto"/>
                        <w:ind w:firstLine="562" w:firstLineChars="200"/>
                      </w:pPr>
                      <w:r>
                        <w:rPr>
                          <w:rFonts w:ascii="仿宋_GB2312" w:hAnsi="仿宋_GB2312" w:eastAsia="仿宋_GB2312" w:cs="仿宋_GB2312"/>
                          <w:b/>
                          <w:bCs/>
                          <w:sz w:val="28"/>
                          <w:szCs w:val="28"/>
                          <w:u w:val="single"/>
                          <w:lang w:val="en"/>
                        </w:rPr>
                        <w:t>河南省荣康医院电子病历一体化项目</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河南省公共资源交易中心网（http://</w:t>
                      </w:r>
                      <w:r>
                        <w:rPr>
                          <w:rFonts w:hint="eastAsia" w:ascii="仿宋_GB2312" w:hAnsi="仿宋_GB2312" w:eastAsia="仿宋_GB2312" w:cs="仿宋_GB2312"/>
                          <w:b/>
                          <w:bCs/>
                          <w:sz w:val="28"/>
                          <w:szCs w:val="28"/>
                          <w:u w:val="single"/>
                          <w:lang w:val="en"/>
                        </w:rPr>
                        <w:t>www.hnggzy.net</w:t>
                      </w:r>
                      <w:r>
                        <w:rPr>
                          <w:rFonts w:hint="eastAsia" w:ascii="仿宋_GB2312" w:hAnsi="仿宋_GB2312" w:eastAsia="仿宋_GB2312" w:cs="仿宋_GB2312"/>
                          <w:b/>
                          <w:bCs/>
                          <w:sz w:val="28"/>
                          <w:szCs w:val="28"/>
                          <w:u w:val="single"/>
                        </w:rPr>
                        <w:t>）</w:t>
                      </w:r>
                      <w:r>
                        <w:rPr>
                          <w:rFonts w:hint="eastAsia" w:ascii="仿宋_GB2312" w:hAnsi="仿宋_GB2312" w:eastAsia="仿宋_GB2312" w:cs="仿宋_GB2312"/>
                          <w:sz w:val="28"/>
                          <w:szCs w:val="28"/>
                        </w:rPr>
                        <w:t>获取招标文件，并于</w:t>
                      </w:r>
                      <w:r>
                        <w:rPr>
                          <w:rFonts w:ascii="仿宋_GB2312" w:hAnsi="仿宋_GB2312" w:eastAsia="仿宋_GB2312" w:cs="仿宋_GB2312"/>
                          <w:b/>
                          <w:bCs/>
                          <w:sz w:val="28"/>
                          <w:szCs w:val="28"/>
                          <w:u w:val="single"/>
                          <w:lang w:val="en"/>
                        </w:rPr>
                        <w:t>2023年</w:t>
                      </w:r>
                      <w:r>
                        <w:rPr>
                          <w:rFonts w:hint="default" w:ascii="仿宋_GB2312" w:hAnsi="仿宋_GB2312" w:eastAsia="仿宋_GB2312" w:cs="仿宋_GB2312"/>
                          <w:b/>
                          <w:bCs/>
                          <w:sz w:val="28"/>
                          <w:szCs w:val="28"/>
                          <w:u w:val="single"/>
                          <w:lang w:val="en"/>
                        </w:rPr>
                        <w:t>5月1</w:t>
                      </w:r>
                      <w:r>
                        <w:rPr>
                          <w:rFonts w:hint="eastAsia" w:ascii="仿宋_GB2312" w:hAnsi="仿宋_GB2312" w:eastAsia="仿宋_GB2312" w:cs="仿宋_GB2312"/>
                          <w:b/>
                          <w:bCs/>
                          <w:sz w:val="28"/>
                          <w:szCs w:val="28"/>
                          <w:u w:val="single"/>
                          <w:lang w:val="en-US" w:eastAsia="zh-CN"/>
                        </w:rPr>
                        <w:t>5</w:t>
                      </w:r>
                      <w:r>
                        <w:rPr>
                          <w:rFonts w:hint="default" w:ascii="仿宋_GB2312" w:hAnsi="仿宋_GB2312" w:eastAsia="仿宋_GB2312" w:cs="仿宋_GB2312"/>
                          <w:b/>
                          <w:bCs/>
                          <w:sz w:val="28"/>
                          <w:szCs w:val="28"/>
                          <w:u w:val="single"/>
                          <w:lang w:val="en"/>
                        </w:rPr>
                        <w:t>日</w:t>
                      </w:r>
                      <w:r>
                        <w:rPr>
                          <w:rFonts w:hint="eastAsia" w:ascii="仿宋_GB2312" w:hAnsi="仿宋_GB2312" w:eastAsia="仿宋_GB2312" w:cs="仿宋_GB2312"/>
                          <w:b/>
                          <w:bCs/>
                          <w:sz w:val="28"/>
                          <w:szCs w:val="28"/>
                          <w:u w:val="single"/>
                        </w:rPr>
                        <w:t>09时00分（北京时间）</w:t>
                      </w:r>
                      <w:r>
                        <w:rPr>
                          <w:rFonts w:hint="eastAsia" w:ascii="仿宋_GB2312" w:hAnsi="仿宋_GB2312" w:eastAsia="仿宋_GB2312" w:cs="仿宋_GB2312"/>
                          <w:sz w:val="28"/>
                          <w:szCs w:val="28"/>
                        </w:rPr>
                        <w:t>前递交投标文件。</w:t>
                      </w:r>
                    </w:p>
                  </w:txbxContent>
                </v:textbox>
                <w10:wrap type="topAndBottom"/>
              </v:shape>
            </w:pict>
          </mc:Fallback>
        </mc:AlternateContent>
      </w:r>
    </w:p>
    <w:p>
      <w:pPr>
        <w:spacing w:line="500" w:lineRule="exact"/>
        <w:ind w:firstLine="560" w:firstLineChars="200"/>
        <w:jc w:val="left"/>
        <w:rPr>
          <w:rFonts w:hint="default" w:ascii="Times New Roman" w:hAnsi="Times New Roman" w:eastAsia="方正小标宋_GBK" w:cs="Times New Roman"/>
          <w:color w:val="auto"/>
          <w:sz w:val="28"/>
          <w:szCs w:val="28"/>
          <w:lang w:eastAsia="zh-CN"/>
        </w:rPr>
      </w:pPr>
      <w:bookmarkStart w:id="22" w:name="_Toc2031125453_WPSOffice_Level2"/>
      <w:bookmarkStart w:id="23" w:name="_Toc1811351892_WPSOffice_Level2"/>
      <w:bookmarkStart w:id="24" w:name="_Toc1456310841_WPSOffice_Level2"/>
      <w:bookmarkStart w:id="25" w:name="_Toc1649568961_WPSOffice_Level2"/>
      <w:bookmarkStart w:id="26" w:name="_Toc1853601844_WPSOffice_Level2"/>
      <w:r>
        <w:rPr>
          <w:rFonts w:hint="default" w:ascii="Times New Roman" w:hAnsi="Times New Roman" w:eastAsia="方正小标宋_GBK" w:cs="Times New Roman"/>
          <w:color w:val="auto"/>
          <w:sz w:val="28"/>
          <w:szCs w:val="28"/>
          <w:lang w:eastAsia="zh-CN"/>
        </w:rPr>
        <w:t>一、项目基本情况</w:t>
      </w:r>
      <w:bookmarkEnd w:id="22"/>
      <w:bookmarkEnd w:id="23"/>
      <w:bookmarkEnd w:id="24"/>
      <w:bookmarkEnd w:id="25"/>
      <w:bookmarkEnd w:id="26"/>
    </w:p>
    <w:p>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bookmarkStart w:id="27" w:name="_Toc712505010_WPSOffice_Level3"/>
      <w:bookmarkStart w:id="28" w:name="_Toc632830029_WPSOffice_Level3"/>
      <w:bookmarkStart w:id="29" w:name="_Toc120342159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项目编号</w:t>
      </w:r>
      <w:r>
        <w:rPr>
          <w:rFonts w:hint="default" w:ascii="Times New Roman" w:hAnsi="Times New Roman" w:eastAsia="仿宋_GB2312" w:cs="Times New Roman"/>
          <w:color w:val="auto"/>
          <w:sz w:val="28"/>
          <w:szCs w:val="28"/>
          <w:lang w:eastAsia="zh-CN"/>
        </w:rPr>
        <w:t>：</w:t>
      </w:r>
      <w:bookmarkEnd w:id="27"/>
      <w:bookmarkEnd w:id="28"/>
      <w:bookmarkEnd w:id="29"/>
      <w:r>
        <w:rPr>
          <w:rFonts w:hint="default" w:ascii="Times New Roman" w:hAnsi="Times New Roman" w:eastAsia="仿宋_GB2312" w:cs="Times New Roman"/>
          <w:color w:val="auto"/>
          <w:sz w:val="28"/>
          <w:szCs w:val="28"/>
          <w:lang w:val="en" w:eastAsia="zh-CN"/>
        </w:rPr>
        <w:t>豫财招标采购-2023-161</w:t>
      </w:r>
    </w:p>
    <w:p>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bookmarkStart w:id="30" w:name="_Toc2136105441_WPSOffice_Level3"/>
      <w:bookmarkStart w:id="31" w:name="_Toc1461506997_WPSOffice_Level3"/>
      <w:bookmarkStart w:id="32" w:name="_Toc1019416_WPSOffice_Level3"/>
      <w:r>
        <w:rPr>
          <w:rFonts w:hint="default" w:ascii="Times New Roman" w:hAnsi="Times New Roman" w:eastAsia="仿宋_GB2312" w:cs="Times New Roman"/>
          <w:color w:val="auto"/>
          <w:sz w:val="28"/>
          <w:szCs w:val="28"/>
          <w:lang w:eastAsia="zh-CN"/>
        </w:rPr>
        <w:t>2、项目名称：</w:t>
      </w:r>
      <w:bookmarkEnd w:id="30"/>
      <w:bookmarkEnd w:id="31"/>
      <w:bookmarkEnd w:id="32"/>
      <w:r>
        <w:rPr>
          <w:rFonts w:hint="default" w:ascii="Times New Roman" w:hAnsi="Times New Roman" w:eastAsia="仿宋_GB2312" w:cs="Times New Roman"/>
          <w:color w:val="auto"/>
          <w:sz w:val="28"/>
          <w:szCs w:val="28"/>
          <w:lang w:val="en" w:eastAsia="zh-CN"/>
        </w:rPr>
        <w:t>河南省荣康医院电子病历一体化项目</w:t>
      </w:r>
    </w:p>
    <w:p>
      <w:pPr>
        <w:spacing w:line="500" w:lineRule="exact"/>
        <w:ind w:firstLine="560" w:firstLineChars="200"/>
        <w:jc w:val="left"/>
        <w:rPr>
          <w:rFonts w:hint="default" w:ascii="Times New Roman" w:hAnsi="Times New Roman" w:eastAsia="仿宋_GB2312" w:cs="Times New Roman"/>
          <w:color w:val="auto"/>
          <w:sz w:val="28"/>
          <w:szCs w:val="28"/>
          <w:lang w:eastAsia="zh-CN"/>
        </w:rPr>
      </w:pPr>
      <w:bookmarkStart w:id="33" w:name="_Toc1350258088_WPSOffice_Level3"/>
      <w:bookmarkStart w:id="34" w:name="_Toc1331877378_WPSOffice_Level3"/>
      <w:bookmarkStart w:id="35" w:name="_Toc997609044_WPSOffice_Level3"/>
      <w:r>
        <w:rPr>
          <w:rFonts w:hint="default" w:ascii="Times New Roman" w:hAnsi="Times New Roman" w:eastAsia="仿宋_GB2312" w:cs="Times New Roman"/>
          <w:color w:val="auto"/>
          <w:sz w:val="28"/>
          <w:szCs w:val="28"/>
          <w:lang w:eastAsia="zh-CN"/>
        </w:rPr>
        <w:t>3、采购方式：公开招标</w:t>
      </w:r>
      <w:bookmarkEnd w:id="33"/>
      <w:bookmarkEnd w:id="34"/>
      <w:bookmarkEnd w:id="35"/>
    </w:p>
    <w:p>
      <w:pPr>
        <w:spacing w:line="500" w:lineRule="exact"/>
        <w:ind w:firstLine="560" w:firstLineChars="200"/>
        <w:jc w:val="left"/>
        <w:rPr>
          <w:rFonts w:hint="default" w:ascii="Times New Roman" w:hAnsi="Times New Roman" w:eastAsia="仿宋_GB2312" w:cs="Times New Roman"/>
          <w:color w:val="auto"/>
          <w:sz w:val="28"/>
          <w:szCs w:val="28"/>
          <w:lang w:eastAsia="zh-CN"/>
        </w:rPr>
      </w:pPr>
      <w:bookmarkStart w:id="36" w:name="_Toc91128674_WPSOffice_Level3"/>
      <w:bookmarkStart w:id="37" w:name="_Toc2510158_WPSOffice_Level3"/>
      <w:bookmarkStart w:id="38" w:name="_Toc654106674_WPSOffice_Level3"/>
      <w:r>
        <w:rPr>
          <w:rFonts w:hint="default" w:ascii="Times New Roman" w:hAnsi="Times New Roman" w:eastAsia="仿宋_GB2312" w:cs="Times New Roman"/>
          <w:color w:val="auto"/>
          <w:sz w:val="28"/>
          <w:szCs w:val="28"/>
          <w:lang w:eastAsia="zh-CN"/>
        </w:rPr>
        <w:t>4、预算金额：</w:t>
      </w:r>
      <w:r>
        <w:rPr>
          <w:rFonts w:hint="default" w:ascii="Times New Roman" w:hAnsi="Times New Roman" w:eastAsia="仿宋_GB2312" w:cs="Times New Roman"/>
          <w:color w:val="auto"/>
          <w:sz w:val="28"/>
          <w:szCs w:val="28"/>
          <w:lang w:val="en" w:eastAsia="zh-CN"/>
        </w:rPr>
        <w:t>8600000</w:t>
      </w:r>
      <w:r>
        <w:rPr>
          <w:rFonts w:hint="default" w:ascii="Times New Roman" w:hAnsi="Times New Roman" w:eastAsia="仿宋_GB2312" w:cs="Times New Roman"/>
          <w:color w:val="auto"/>
          <w:sz w:val="28"/>
          <w:szCs w:val="28"/>
          <w:lang w:eastAsia="zh-CN"/>
        </w:rPr>
        <w:t>元</w:t>
      </w:r>
      <w:bookmarkEnd w:id="36"/>
      <w:bookmarkEnd w:id="37"/>
      <w:bookmarkEnd w:id="38"/>
    </w:p>
    <w:p>
      <w:pPr>
        <w:spacing w:line="500" w:lineRule="exact"/>
        <w:ind w:firstLine="977" w:firstLineChars="349"/>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最高限价：</w:t>
      </w:r>
      <w:r>
        <w:rPr>
          <w:rFonts w:hint="default" w:ascii="Times New Roman" w:hAnsi="Times New Roman" w:eastAsia="仿宋_GB2312" w:cs="Times New Roman"/>
          <w:color w:val="auto"/>
          <w:sz w:val="28"/>
          <w:szCs w:val="28"/>
          <w:lang w:val="en" w:eastAsia="zh-CN"/>
        </w:rPr>
        <w:t>8600000</w:t>
      </w:r>
      <w:r>
        <w:rPr>
          <w:rFonts w:hint="default" w:ascii="Times New Roman" w:hAnsi="Times New Roman" w:eastAsia="仿宋_GB2312" w:cs="Times New Roman"/>
          <w:color w:val="auto"/>
          <w:sz w:val="28"/>
          <w:szCs w:val="28"/>
          <w:lang w:eastAsia="zh-CN"/>
        </w:rPr>
        <w:t>元</w:t>
      </w:r>
    </w:p>
    <w:tbl>
      <w:tblPr>
        <w:tblStyle w:val="51"/>
        <w:tblW w:w="810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4"/>
        <w:gridCol w:w="2742"/>
        <w:gridCol w:w="2427"/>
        <w:gridCol w:w="1110"/>
        <w:gridCol w:w="138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序号</w:t>
            </w:r>
          </w:p>
        </w:tc>
        <w:tc>
          <w:tcPr>
            <w:tcW w:w="274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highlight w:val="none"/>
              </w:rPr>
              <w:t>包号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包预算（元）</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包最高限价（元）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0" w:hRule="atLeast"/>
          <w:jc w:val="center"/>
        </w:trPr>
        <w:tc>
          <w:tcPr>
            <w:tcW w:w="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rPr>
              <w:t>1</w:t>
            </w:r>
          </w:p>
        </w:tc>
        <w:tc>
          <w:tcPr>
            <w:tcW w:w="274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widowControl/>
              <w:suppressLineNumbers w:val="0"/>
              <w:spacing w:line="24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豫政采(1)20230026-1</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uto"/>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kern w:val="0"/>
                <w:sz w:val="24"/>
                <w:szCs w:val="24"/>
                <w:lang w:val="en" w:eastAsia="zh-CN"/>
              </w:rPr>
              <w:t>河南省荣康医院电子病历一体化项目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uto"/>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kern w:val="0"/>
                <w:sz w:val="24"/>
                <w:szCs w:val="24"/>
                <w:lang w:val="en" w:eastAsia="zh-CN"/>
              </w:rPr>
              <w:t>8600000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uto"/>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kern w:val="0"/>
                <w:sz w:val="24"/>
                <w:szCs w:val="24"/>
                <w:lang w:val="en" w:eastAsia="zh-CN"/>
              </w:rPr>
              <w:t>8600000</w:t>
            </w:r>
          </w:p>
        </w:tc>
      </w:tr>
    </w:tbl>
    <w:p>
      <w:pPr>
        <w:spacing w:line="500" w:lineRule="exact"/>
        <w:ind w:firstLine="560" w:firstLineChars="200"/>
        <w:jc w:val="left"/>
        <w:rPr>
          <w:rFonts w:hint="default" w:ascii="Times New Roman" w:hAnsi="Times New Roman" w:eastAsia="仿宋_GB2312" w:cs="Times New Roman"/>
          <w:color w:val="auto"/>
          <w:sz w:val="28"/>
          <w:szCs w:val="28"/>
          <w:lang w:val="en-US"/>
        </w:rPr>
      </w:pPr>
      <w:bookmarkStart w:id="39" w:name="_Toc1585577024_WPSOffice_Level3"/>
      <w:bookmarkStart w:id="40" w:name="_Toc530655014_WPSOffice_Level3"/>
      <w:bookmarkStart w:id="41" w:name="_Toc1882423541_WPSOffice_Level3"/>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rPr>
        <w:t>采购需求（包括但不限于标的的名称、数量、简要技术需求或服务要求等）</w:t>
      </w:r>
      <w:bookmarkEnd w:id="39"/>
      <w:bookmarkEnd w:id="40"/>
      <w:bookmarkEnd w:id="41"/>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（1）本项目共分1个包</w:t>
      </w:r>
      <w:r>
        <w:rPr>
          <w:rFonts w:hint="eastAsia" w:ascii="Times New Roman" w:hAnsi="Times New Roman" w:eastAsia="仿宋_GB2312" w:cs="Times New Roman"/>
          <w:color w:val="auto"/>
          <w:sz w:val="28"/>
          <w:szCs w:val="28"/>
          <w:lang w:val="en-US" w:eastAsia="zh-CN"/>
        </w:rPr>
        <w:t>；</w:t>
      </w:r>
    </w:p>
    <w:p>
      <w:pPr>
        <w:spacing w:line="500" w:lineRule="exact"/>
        <w:ind w:left="559" w:leftChars="266"/>
        <w:jc w:val="left"/>
        <w:rPr>
          <w:rFonts w:hint="default" w:ascii="Times New Roman" w:hAnsi="Times New Roman" w:eastAsia="仿宋_GB2312" w:cs="Times New Roman"/>
          <w:color w:val="auto"/>
          <w:sz w:val="28"/>
          <w:szCs w:val="28"/>
          <w:highlight w:val="none"/>
          <w:lang w:val="en"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highlight w:val="none"/>
          <w:lang w:val="en-US" w:eastAsia="zh-CN"/>
        </w:rPr>
        <w:t>2）采购内容：</w:t>
      </w:r>
      <w:r>
        <w:rPr>
          <w:rFonts w:hint="default" w:ascii="Times New Roman" w:hAnsi="Times New Roman" w:eastAsia="仿宋_GB2312" w:cs="Times New Roman"/>
          <w:color w:val="auto"/>
          <w:sz w:val="28"/>
          <w:szCs w:val="28"/>
          <w:highlight w:val="none"/>
          <w:lang w:val="en" w:eastAsia="zh-CN"/>
        </w:rPr>
        <w:t>河南省荣康医院电子病历一体化项目</w:t>
      </w:r>
      <w:r>
        <w:rPr>
          <w:rFonts w:hint="eastAsia" w:ascii="Times New Roman" w:hAnsi="Times New Roman" w:eastAsia="仿宋_GB2312" w:cs="Times New Roman"/>
          <w:color w:val="auto"/>
          <w:sz w:val="28"/>
          <w:szCs w:val="28"/>
          <w:highlight w:val="none"/>
          <w:lang w:val="en"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lang w:val="en-US" w:eastAsia="zh-CN"/>
        </w:rPr>
        <w:t>工</w:t>
      </w:r>
      <w:r>
        <w:rPr>
          <w:rFonts w:hint="default" w:ascii="Times New Roman" w:hAnsi="Times New Roman" w:eastAsia="仿宋_GB2312" w:cs="Times New Roman"/>
          <w:color w:val="auto"/>
          <w:sz w:val="28"/>
          <w:szCs w:val="28"/>
          <w:highlight w:val="none"/>
          <w:lang w:val="en-US" w:eastAsia="zh-CN"/>
        </w:rPr>
        <w:t>期：</w:t>
      </w:r>
      <w:r>
        <w:rPr>
          <w:rFonts w:hint="default" w:ascii="Times New Roman" w:hAnsi="Times New Roman" w:eastAsia="仿宋_GB2312" w:cs="Times New Roman"/>
          <w:color w:val="auto"/>
          <w:sz w:val="28"/>
          <w:szCs w:val="28"/>
          <w:lang w:val="en" w:eastAsia="zh-CN"/>
        </w:rPr>
        <w:t>合同签订后40个日历日内完成本项目的集成开发及部署</w:t>
      </w:r>
      <w:r>
        <w:rPr>
          <w:rFonts w:hint="eastAsia" w:ascii="Times New Roman" w:hAnsi="Times New Roman" w:eastAsia="仿宋_GB2312" w:cs="Times New Roman"/>
          <w:color w:val="auto"/>
          <w:sz w:val="28"/>
          <w:szCs w:val="28"/>
          <w:highlight w:val="none"/>
          <w:lang w:val="en-US" w:eastAsia="zh-CN"/>
        </w:rPr>
        <w:t>；</w:t>
      </w:r>
    </w:p>
    <w:p>
      <w:pPr>
        <w:spacing w:line="500" w:lineRule="exact"/>
        <w:ind w:firstLine="560" w:firstLineChars="20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（4）服务地点：采购人指定地点</w:t>
      </w:r>
      <w:bookmarkStart w:id="42" w:name="_Toc1866155745_WPSOffice_Level3"/>
      <w:r>
        <w:rPr>
          <w:rFonts w:hint="eastAsia" w:ascii="Times New Roman" w:hAnsi="Times New Roman" w:eastAsia="仿宋_GB2312" w:cs="Times New Roman"/>
          <w:color w:val="auto"/>
          <w:sz w:val="28"/>
          <w:szCs w:val="28"/>
          <w:highlight w:val="none"/>
          <w:lang w:val="en-US" w:eastAsia="zh-CN"/>
        </w:rPr>
        <w:t>；</w:t>
      </w:r>
    </w:p>
    <w:p>
      <w:pPr>
        <w:spacing w:line="500" w:lineRule="exact"/>
        <w:ind w:firstLine="560" w:firstLineChars="20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（5）服务质量：</w:t>
      </w:r>
      <w:bookmarkStart w:id="711" w:name="_GoBack"/>
      <w:bookmarkEnd w:id="711"/>
      <w:r>
        <w:rPr>
          <w:rFonts w:hint="default" w:ascii="Times New Roman" w:hAnsi="Times New Roman" w:eastAsia="仿宋_GB2312" w:cs="Times New Roman"/>
          <w:color w:val="auto"/>
          <w:sz w:val="28"/>
          <w:szCs w:val="28"/>
          <w:highlight w:val="none"/>
          <w:lang w:val="en-US" w:eastAsia="zh-CN"/>
        </w:rPr>
        <w:t>满足采购人需求</w:t>
      </w:r>
      <w:bookmarkStart w:id="43" w:name="_Toc1031072132_WPSOffice_Level3"/>
      <w:r>
        <w:rPr>
          <w:rFonts w:hint="eastAsia" w:ascii="Times New Roman" w:hAnsi="Times New Roman" w:eastAsia="仿宋_GB2312" w:cs="Times New Roman"/>
          <w:color w:val="auto"/>
          <w:sz w:val="28"/>
          <w:szCs w:val="28"/>
          <w:highlight w:val="none"/>
          <w:lang w:val="en-US" w:eastAsia="zh-CN"/>
        </w:rPr>
        <w:t>。</w:t>
      </w:r>
    </w:p>
    <w:p>
      <w:pPr>
        <w:spacing w:line="500" w:lineRule="exact"/>
        <w:ind w:firstLine="560" w:firstLineChars="200"/>
        <w:jc w:val="left"/>
        <w:rPr>
          <w:rFonts w:hint="default" w:ascii="Times New Roman" w:hAnsi="Times New Roman" w:eastAsia="仿宋_GB2312" w:cs="Times New Roman"/>
          <w:color w:val="auto"/>
          <w:sz w:val="28"/>
          <w:szCs w:val="28"/>
          <w:highlight w:val="none"/>
          <w:lang w:val="en-US"/>
        </w:rPr>
      </w:pPr>
      <w:bookmarkStart w:id="44" w:name="_Toc1826742135_WPSOffice_Level3"/>
      <w:r>
        <w:rPr>
          <w:rFonts w:hint="default" w:ascii="Times New Roman" w:hAnsi="Times New Roman" w:eastAsia="仿宋_GB2312" w:cs="Times New Roman"/>
          <w:color w:val="auto"/>
          <w:sz w:val="28"/>
          <w:szCs w:val="28"/>
          <w:highlight w:val="none"/>
          <w:lang w:val="en-US"/>
        </w:rPr>
        <w:t>6</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rPr>
        <w:t>合同履行期限：</w:t>
      </w:r>
      <w:bookmarkEnd w:id="42"/>
      <w:bookmarkEnd w:id="43"/>
      <w:bookmarkEnd w:id="44"/>
      <w:r>
        <w:rPr>
          <w:rFonts w:hint="default" w:ascii="Times New Roman" w:hAnsi="Times New Roman" w:eastAsia="仿宋_GB2312" w:cs="Times New Roman"/>
          <w:color w:val="auto"/>
          <w:sz w:val="28"/>
          <w:szCs w:val="28"/>
          <w:lang w:val="en" w:eastAsia="zh-CN"/>
        </w:rPr>
        <w:t>40个日历日</w:t>
      </w:r>
    </w:p>
    <w:p>
      <w:pPr>
        <w:spacing w:line="500" w:lineRule="exact"/>
        <w:ind w:firstLine="560" w:firstLineChars="200"/>
        <w:jc w:val="left"/>
        <w:rPr>
          <w:rFonts w:hint="default" w:ascii="Times New Roman" w:hAnsi="Times New Roman" w:eastAsia="仿宋_GB2312" w:cs="Times New Roman"/>
          <w:color w:val="auto"/>
          <w:sz w:val="28"/>
          <w:szCs w:val="28"/>
          <w:lang w:val="en-US"/>
        </w:rPr>
      </w:pPr>
      <w:bookmarkStart w:id="45" w:name="_Toc804008546_WPSOffice_Level3"/>
      <w:bookmarkStart w:id="46" w:name="_Toc1547155158_WPSOffice_Level3"/>
      <w:bookmarkStart w:id="47" w:name="_Toc634119560_WPSOffice_Level3"/>
      <w:r>
        <w:rPr>
          <w:rFonts w:hint="default" w:ascii="Times New Roman" w:hAnsi="Times New Roman" w:eastAsia="仿宋_GB2312" w:cs="Times New Roman"/>
          <w:color w:val="auto"/>
          <w:sz w:val="28"/>
          <w:szCs w:val="28"/>
          <w:lang w:val="en-US"/>
        </w:rPr>
        <w:t>7</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rPr>
        <w:t>本项目是否接受联合体投标：否</w:t>
      </w:r>
      <w:bookmarkEnd w:id="45"/>
      <w:bookmarkEnd w:id="46"/>
      <w:bookmarkEnd w:id="47"/>
    </w:p>
    <w:p>
      <w:pPr>
        <w:spacing w:line="500" w:lineRule="exact"/>
        <w:ind w:firstLine="560" w:firstLineChars="200"/>
        <w:jc w:val="left"/>
        <w:rPr>
          <w:rFonts w:hint="default" w:ascii="Times New Roman" w:hAnsi="Times New Roman" w:eastAsia="仿宋_GB2312" w:cs="Times New Roman"/>
          <w:color w:val="auto"/>
          <w:sz w:val="28"/>
          <w:szCs w:val="28"/>
          <w:lang w:val="en-US"/>
        </w:rPr>
      </w:pPr>
      <w:bookmarkStart w:id="48" w:name="_Toc1454916570_WPSOffice_Level3"/>
      <w:bookmarkStart w:id="49" w:name="_Toc1394357842_WPSOffice_Level3"/>
      <w:bookmarkStart w:id="50" w:name="_Toc1075148766_WPSOffice_Level3"/>
      <w:r>
        <w:rPr>
          <w:rFonts w:hint="default" w:ascii="Times New Roman" w:hAnsi="Times New Roman" w:eastAsia="仿宋_GB2312" w:cs="Times New Roman"/>
          <w:color w:val="auto"/>
          <w:sz w:val="28"/>
          <w:szCs w:val="28"/>
          <w:lang w:val="en-US"/>
        </w:rPr>
        <w:t>8</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rPr>
        <w:t>是否</w:t>
      </w:r>
      <w:r>
        <w:rPr>
          <w:rFonts w:hint="default" w:ascii="Times New Roman" w:hAnsi="Times New Roman" w:eastAsia="仿宋_GB2312" w:cs="Times New Roman"/>
          <w:color w:val="auto"/>
          <w:sz w:val="28"/>
          <w:szCs w:val="28"/>
          <w:lang w:val="en-US" w:eastAsia="zh-CN"/>
        </w:rPr>
        <w:t>允许采购</w:t>
      </w:r>
      <w:r>
        <w:rPr>
          <w:rFonts w:hint="default" w:ascii="Times New Roman" w:hAnsi="Times New Roman" w:eastAsia="仿宋_GB2312" w:cs="Times New Roman"/>
          <w:color w:val="auto"/>
          <w:sz w:val="28"/>
          <w:szCs w:val="28"/>
          <w:lang w:val="en-US"/>
        </w:rPr>
        <w:t>进口产品：否</w:t>
      </w:r>
      <w:bookmarkEnd w:id="48"/>
      <w:bookmarkEnd w:id="49"/>
      <w:bookmarkEnd w:id="50"/>
    </w:p>
    <w:p>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是否专门面向中小企业：</w:t>
      </w:r>
      <w:r>
        <w:rPr>
          <w:rFonts w:hint="eastAsia" w:ascii="Times New Roman" w:hAnsi="Times New Roman" w:eastAsia="仿宋_GB2312" w:cs="Times New Roman"/>
          <w:color w:val="auto"/>
          <w:sz w:val="28"/>
          <w:szCs w:val="28"/>
          <w:lang w:val="en-US" w:eastAsia="zh-CN"/>
        </w:rPr>
        <w:t>否</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51" w:name="_Toc2026118901_WPSOffice_Level2"/>
      <w:bookmarkStart w:id="52" w:name="_Toc584363550_WPSOffice_Level2"/>
      <w:bookmarkStart w:id="53" w:name="_Toc407944620_WPSOffice_Level2"/>
      <w:bookmarkStart w:id="54" w:name="_Toc1298400066_WPSOffice_Level2"/>
      <w:bookmarkStart w:id="55" w:name="_Toc1990946225_WPSOffice_Level2"/>
      <w:r>
        <w:rPr>
          <w:rFonts w:hint="default" w:ascii="Times New Roman" w:hAnsi="Times New Roman" w:eastAsia="方正小标宋_GBK" w:cs="Times New Roman"/>
          <w:color w:val="auto"/>
          <w:sz w:val="28"/>
          <w:szCs w:val="28"/>
          <w:lang w:val="en-US" w:eastAsia="zh-CN"/>
        </w:rPr>
        <w:t>二、申请人资格要求</w:t>
      </w:r>
      <w:bookmarkEnd w:id="51"/>
      <w:bookmarkEnd w:id="52"/>
      <w:bookmarkEnd w:id="53"/>
      <w:bookmarkEnd w:id="54"/>
      <w:r>
        <w:rPr>
          <w:rFonts w:hint="default" w:ascii="Times New Roman" w:hAnsi="Times New Roman" w:eastAsia="仿宋_GB2312" w:cs="Times New Roman"/>
          <w:color w:val="auto"/>
          <w:sz w:val="28"/>
          <w:szCs w:val="28"/>
          <w:lang w:val="en-US" w:eastAsia="zh-CN"/>
        </w:rPr>
        <w:t>：</w:t>
      </w:r>
      <w:bookmarkEnd w:id="55"/>
    </w:p>
    <w:p>
      <w:pPr>
        <w:spacing w:line="500" w:lineRule="exact"/>
        <w:ind w:firstLine="560" w:firstLineChars="200"/>
        <w:jc w:val="left"/>
        <w:rPr>
          <w:rFonts w:hint="default" w:ascii="Times New Roman" w:hAnsi="Times New Roman" w:eastAsia="仿宋_GB2312" w:cs="Times New Roman"/>
          <w:color w:val="auto"/>
          <w:sz w:val="28"/>
          <w:szCs w:val="28"/>
          <w:lang w:val="en-US"/>
        </w:rPr>
      </w:pPr>
      <w:bookmarkStart w:id="56" w:name="_Toc795001869_WPSOffice_Level3"/>
      <w:bookmarkStart w:id="57" w:name="_Toc786047326_WPSOffice_Level3"/>
      <w:bookmarkStart w:id="58" w:name="_Toc288167634_WPSOffice_Level3"/>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rPr>
        <w:t>满足《中华人民共和国政府采购法》第二十二条规定；</w:t>
      </w:r>
      <w:bookmarkEnd w:id="56"/>
      <w:bookmarkEnd w:id="57"/>
      <w:bookmarkEnd w:id="58"/>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9" w:name="_Toc1004075335_WPSOffice_Level3"/>
      <w:bookmarkStart w:id="60" w:name="_Toc1059537205_WPSOffice_Level3"/>
      <w:bookmarkStart w:id="61" w:name="_Toc282163985_WPSOffice_Level3"/>
      <w:r>
        <w:rPr>
          <w:rFonts w:hint="default" w:ascii="Times New Roman" w:hAnsi="Times New Roman" w:eastAsia="仿宋_GB2312" w:cs="Times New Roman"/>
          <w:color w:val="auto"/>
          <w:sz w:val="28"/>
          <w:szCs w:val="28"/>
          <w:lang w:val="en-US" w:eastAsia="zh-CN"/>
        </w:rPr>
        <w:t>2.</w:t>
      </w:r>
      <w:bookmarkEnd w:id="59"/>
      <w:r>
        <w:rPr>
          <w:rFonts w:hint="default" w:ascii="Times New Roman" w:hAnsi="Times New Roman" w:eastAsia="仿宋_GB2312" w:cs="Times New Roman"/>
          <w:color w:val="auto"/>
          <w:sz w:val="28"/>
          <w:szCs w:val="28"/>
          <w:lang w:val="en-US" w:eastAsia="zh-CN"/>
        </w:rPr>
        <w:t>落实政府采购政策满足的资格要求：</w:t>
      </w:r>
      <w:bookmarkEnd w:id="60"/>
    </w:p>
    <w:bookmarkEnd w:id="61"/>
    <w:p>
      <w:pPr>
        <w:spacing w:line="500" w:lineRule="exact"/>
        <w:ind w:firstLine="840" w:firstLineChars="300"/>
        <w:jc w:val="left"/>
        <w:rPr>
          <w:rFonts w:hint="default" w:ascii="Times New Roman" w:hAnsi="Times New Roman" w:eastAsia="仿宋_GB2312" w:cs="Times New Roman"/>
          <w:color w:val="auto"/>
          <w:sz w:val="28"/>
          <w:szCs w:val="28"/>
          <w:lang w:val="en-US" w:eastAsia="zh-CN"/>
        </w:rPr>
      </w:pPr>
      <w:bookmarkStart w:id="62" w:name="_Toc879078693_WPSOffice_Level3"/>
      <w:r>
        <w:rPr>
          <w:rFonts w:hint="default"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3.本项目的特定资格要求：</w:t>
      </w:r>
      <w:bookmarkEnd w:id="62"/>
    </w:p>
    <w:p>
      <w:pPr>
        <w:spacing w:line="500" w:lineRule="exact"/>
        <w:ind w:firstLine="840" w:firstLineChars="3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63" w:name="_Toc2045253496_WPSOffice_Level2"/>
      <w:bookmarkStart w:id="64" w:name="_Toc295468326_WPSOffice_Level2"/>
      <w:bookmarkStart w:id="65" w:name="_Toc872248170_WPSOffice_Level2"/>
      <w:bookmarkStart w:id="66" w:name="_Toc1677814303_WPSOffice_Level2"/>
      <w:bookmarkStart w:id="67" w:name="_Toc1144697108_WPSOffice_Level2"/>
      <w:r>
        <w:rPr>
          <w:rFonts w:hint="default" w:ascii="Times New Roman" w:hAnsi="Times New Roman" w:eastAsia="方正小标宋_GBK" w:cs="Times New Roman"/>
          <w:color w:val="auto"/>
          <w:sz w:val="28"/>
          <w:szCs w:val="28"/>
          <w:lang w:val="en-US" w:eastAsia="zh-CN"/>
        </w:rPr>
        <w:t>三、获取招标文件</w:t>
      </w:r>
      <w:bookmarkEnd w:id="63"/>
      <w:bookmarkEnd w:id="64"/>
      <w:bookmarkEnd w:id="65"/>
      <w:bookmarkEnd w:id="66"/>
      <w:bookmarkEnd w:id="67"/>
    </w:p>
    <w:p>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1.时间：</w:t>
      </w:r>
      <w:r>
        <w:rPr>
          <w:rFonts w:hint="default" w:ascii="Times New Roman" w:hAnsi="Times New Roman" w:eastAsia="仿宋_GB2312" w:cs="Times New Roman"/>
          <w:color w:val="auto"/>
          <w:sz w:val="28"/>
          <w:szCs w:val="28"/>
          <w:lang w:val="en-US" w:eastAsia="zh-CN"/>
        </w:rPr>
        <w:t>202</w:t>
      </w: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rPr>
        <w:t>年</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rPr>
        <w:t>月</w:t>
      </w:r>
      <w:r>
        <w:rPr>
          <w:rFonts w:hint="eastAsia"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val="en-US"/>
        </w:rPr>
        <w:t>日至</w:t>
      </w:r>
      <w:r>
        <w:rPr>
          <w:rFonts w:hint="default" w:ascii="Times New Roman" w:hAnsi="Times New Roman" w:eastAsia="仿宋_GB2312" w:cs="Times New Roman"/>
          <w:color w:val="auto"/>
          <w:sz w:val="28"/>
          <w:szCs w:val="28"/>
          <w:lang w:val="en-US" w:eastAsia="zh-CN"/>
        </w:rPr>
        <w:t>202</w:t>
      </w: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rPr>
        <w:t>年</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rPr>
        <w:t>月</w:t>
      </w:r>
      <w:r>
        <w:rPr>
          <w:rFonts w:hint="eastAsia" w:ascii="Times New Roman" w:hAnsi="Times New Roman" w:eastAsia="仿宋_GB2312" w:cs="Times New Roman"/>
          <w:color w:val="auto"/>
          <w:sz w:val="28"/>
          <w:szCs w:val="28"/>
          <w:lang w:val="en-US" w:eastAsia="zh-CN"/>
        </w:rPr>
        <w:t>28</w:t>
      </w:r>
      <w:r>
        <w:rPr>
          <w:rFonts w:hint="default" w:ascii="Times New Roman" w:hAnsi="Times New Roman" w:eastAsia="仿宋_GB2312" w:cs="Times New Roman"/>
          <w:color w:val="auto"/>
          <w:sz w:val="28"/>
          <w:szCs w:val="28"/>
          <w:lang w:val="en-US"/>
        </w:rPr>
        <w:t xml:space="preserve">日，每天上午00:00至12:00，下午12:00至23:59（北京时间，法定节假日除外。） </w:t>
      </w:r>
    </w:p>
    <w:p>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2.地点：河南省公共资源交易中心网（http://</w:t>
      </w:r>
      <w:r>
        <w:rPr>
          <w:rFonts w:hint="default" w:ascii="Times New Roman" w:hAnsi="Times New Roman" w:eastAsia="仿宋_GB2312" w:cs="Times New Roman"/>
          <w:color w:val="auto"/>
          <w:sz w:val="28"/>
          <w:szCs w:val="28"/>
          <w:lang w:val="en"/>
        </w:rPr>
        <w:t>www.hnggzy.net</w:t>
      </w:r>
      <w:r>
        <w:rPr>
          <w:rFonts w:hint="default" w:ascii="Times New Roman" w:hAnsi="Times New Roman" w:eastAsia="仿宋_GB2312" w:cs="Times New Roman"/>
          <w:color w:val="auto"/>
          <w:sz w:val="28"/>
          <w:szCs w:val="28"/>
          <w:lang w:val="en-US"/>
        </w:rPr>
        <w:t>）。</w:t>
      </w:r>
    </w:p>
    <w:p>
      <w:pPr>
        <w:spacing w:line="500" w:lineRule="exact"/>
        <w:ind w:firstLine="560" w:firstLineChars="200"/>
        <w:rPr>
          <w:rFonts w:hint="default" w:ascii="Times New Roman" w:hAnsi="Times New Roman" w:eastAsia="仿宋" w:cs="Times New Roman"/>
          <w:sz w:val="28"/>
          <w:szCs w:val="28"/>
          <w:lang w:val="en-US"/>
        </w:rPr>
      </w:pPr>
      <w:r>
        <w:rPr>
          <w:rFonts w:hint="default" w:ascii="Times New Roman" w:hAnsi="Times New Roman" w:eastAsia="仿宋_GB2312" w:cs="Times New Roman"/>
          <w:color w:val="auto"/>
          <w:sz w:val="28"/>
          <w:szCs w:val="28"/>
          <w:lang w:val="en-US"/>
        </w:rPr>
        <w:t>3.方式：投标人</w:t>
      </w:r>
      <w:r>
        <w:rPr>
          <w:rFonts w:hint="default" w:ascii="Times New Roman" w:hAnsi="Times New Roman" w:eastAsia="仿宋" w:cs="Times New Roman"/>
          <w:sz w:val="28"/>
          <w:szCs w:val="28"/>
        </w:rPr>
        <w:t>使用CA数字证书登录“河南省公共资源交易中心（http://www.hnggzy.net）”，并按网上提示下载投标项目所含格式(.hnzf)的招标文件及资料。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 xml:space="preserve">4.售价：0元 </w:t>
      </w:r>
    </w:p>
    <w:p>
      <w:pPr>
        <w:spacing w:line="500" w:lineRule="exact"/>
        <w:ind w:firstLine="560" w:firstLineChars="200"/>
        <w:jc w:val="left"/>
        <w:rPr>
          <w:rFonts w:hint="default" w:ascii="Times New Roman" w:hAnsi="Times New Roman" w:eastAsia="仿宋_GB2312" w:cs="Times New Roman"/>
          <w:color w:val="auto"/>
          <w:sz w:val="28"/>
          <w:szCs w:val="28"/>
          <w:lang w:val="en-US"/>
        </w:rPr>
      </w:pPr>
      <w:bookmarkStart w:id="68" w:name="_Toc1432496505_WPSOffice_Level2"/>
      <w:bookmarkStart w:id="69" w:name="_Toc2091398558_WPSOffice_Level2"/>
      <w:bookmarkStart w:id="70" w:name="_Toc1740030706_WPSOffice_Level2"/>
      <w:bookmarkStart w:id="71" w:name="_Toc1361166934_WPSOffice_Level2"/>
      <w:bookmarkStart w:id="72" w:name="_Toc994305580_WPSOffice_Level2"/>
      <w:r>
        <w:rPr>
          <w:rFonts w:hint="default" w:ascii="Times New Roman" w:hAnsi="Times New Roman" w:eastAsia="方正小标宋_GBK" w:cs="Times New Roman"/>
          <w:color w:val="auto"/>
          <w:sz w:val="28"/>
          <w:szCs w:val="28"/>
          <w:lang w:val="en-US" w:eastAsia="zh-CN"/>
        </w:rPr>
        <w:t>四、投标截止时间及地点</w:t>
      </w:r>
      <w:bookmarkEnd w:id="68"/>
      <w:bookmarkEnd w:id="69"/>
      <w:bookmarkEnd w:id="70"/>
      <w:bookmarkEnd w:id="71"/>
      <w:bookmarkEnd w:id="72"/>
    </w:p>
    <w:p>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1.时间：</w:t>
      </w:r>
      <w:r>
        <w:rPr>
          <w:rFonts w:hint="default" w:ascii="Times New Roman" w:hAnsi="Times New Roman" w:eastAsia="仿宋_GB2312" w:cs="Times New Roman"/>
          <w:color w:val="auto"/>
          <w:sz w:val="28"/>
          <w:szCs w:val="28"/>
          <w:lang w:val="en" w:eastAsia="zh-CN"/>
        </w:rPr>
        <w:t>2023年5月1</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日</w:t>
      </w:r>
      <w:r>
        <w:rPr>
          <w:rFonts w:hint="default" w:ascii="Times New Roman" w:hAnsi="Times New Roman" w:eastAsia="仿宋_GB2312" w:cs="Times New Roman"/>
          <w:color w:val="auto"/>
          <w:sz w:val="28"/>
          <w:szCs w:val="28"/>
          <w:lang w:val="en-US"/>
        </w:rPr>
        <w:t>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2.地点：</w:t>
      </w:r>
      <w:r>
        <w:rPr>
          <w:rFonts w:hint="default" w:ascii="Times New Roman" w:hAnsi="Times New Roman" w:eastAsia="仿宋" w:cs="Times New Roman"/>
          <w:sz w:val="28"/>
          <w:szCs w:val="28"/>
        </w:rPr>
        <w:t>河南省公共资源交易中心</w:t>
      </w:r>
      <w:r>
        <w:rPr>
          <w:rFonts w:hint="default" w:ascii="Times New Roman" w:hAnsi="Times New Roman" w:eastAsia="仿宋" w:cs="Times New Roman"/>
          <w:sz w:val="28"/>
          <w:szCs w:val="28"/>
          <w:lang w:eastAsia="zh-CN"/>
        </w:rPr>
        <w:t>网</w:t>
      </w:r>
      <w:r>
        <w:rPr>
          <w:rFonts w:hint="default" w:ascii="Times New Roman" w:hAnsi="Times New Roman" w:eastAsia="仿宋" w:cs="Times New Roman"/>
          <w:sz w:val="28"/>
          <w:szCs w:val="28"/>
        </w:rPr>
        <w:t>（http://www.hnggzy.net）</w:t>
      </w:r>
      <w:r>
        <w:rPr>
          <w:rFonts w:hint="default" w:ascii="Times New Roman" w:hAnsi="Times New Roman" w:eastAsia="仿宋_GB2312" w:cs="Times New Roman"/>
          <w:color w:val="auto"/>
          <w:sz w:val="28"/>
          <w:szCs w:val="28"/>
          <w:lang w:val="en-US"/>
        </w:rPr>
        <w:t>。</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3" w:name="_Toc2015382973_WPSOffice_Level2"/>
      <w:bookmarkStart w:id="74" w:name="_Toc1340501896_WPSOffice_Level2"/>
      <w:bookmarkStart w:id="75" w:name="_Toc1501260250_WPSOffice_Level2"/>
      <w:bookmarkStart w:id="76" w:name="_Toc843072336_WPSOffice_Level2"/>
      <w:bookmarkStart w:id="77" w:name="_Toc29068487_WPSOffice_Level2"/>
      <w:r>
        <w:rPr>
          <w:rFonts w:hint="default" w:ascii="Times New Roman" w:hAnsi="Times New Roman" w:eastAsia="方正小标宋_GBK" w:cs="Times New Roman"/>
          <w:color w:val="auto"/>
          <w:sz w:val="28"/>
          <w:szCs w:val="28"/>
          <w:lang w:val="en-US" w:eastAsia="zh-CN"/>
        </w:rPr>
        <w:t>五、开标时间及地点</w:t>
      </w:r>
      <w:bookmarkEnd w:id="73"/>
      <w:bookmarkEnd w:id="74"/>
      <w:bookmarkEnd w:id="75"/>
      <w:bookmarkEnd w:id="76"/>
      <w:bookmarkEnd w:id="77"/>
    </w:p>
    <w:p>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1.时间：</w:t>
      </w:r>
      <w:r>
        <w:rPr>
          <w:rFonts w:hint="default" w:ascii="Times New Roman" w:hAnsi="Times New Roman" w:eastAsia="仿宋_GB2312" w:cs="Times New Roman"/>
          <w:color w:val="auto"/>
          <w:sz w:val="28"/>
          <w:szCs w:val="28"/>
          <w:lang w:val="en" w:eastAsia="zh-CN"/>
        </w:rPr>
        <w:t>2023年5月1</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日</w:t>
      </w:r>
      <w:r>
        <w:rPr>
          <w:rFonts w:hint="default" w:ascii="Times New Roman" w:hAnsi="Times New Roman" w:eastAsia="仿宋_GB2312" w:cs="Times New Roman"/>
          <w:color w:val="auto"/>
          <w:sz w:val="28"/>
          <w:szCs w:val="28"/>
          <w:lang w:val="en-US"/>
        </w:rPr>
        <w:t>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rPr>
        <w:t>2.地点：</w:t>
      </w:r>
      <w:bookmarkStart w:id="78" w:name="_Toc74330375_WPSOffice_Level2"/>
      <w:bookmarkStart w:id="79" w:name="_Toc847108981_WPSOffice_Level2"/>
      <w:bookmarkStart w:id="80" w:name="_Toc1101443234_WPSOffice_Level2"/>
      <w:r>
        <w:rPr>
          <w:rFonts w:hint="default" w:ascii="Times New Roman" w:hAnsi="Times New Roman" w:eastAsia="仿宋_GB2312" w:cs="Times New Roman"/>
          <w:color w:val="auto"/>
          <w:sz w:val="28"/>
          <w:szCs w:val="28"/>
          <w:lang w:val="en-US" w:eastAsia="zh-CN"/>
        </w:rPr>
        <w:t>河南省公共资源交易中心开标室；“河南省公共资源交易中心”（http://www.hnggzy.net）——不见面开标大厅。</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1" w:name="_Toc1299643612_WPSOffice_Level2"/>
      <w:bookmarkStart w:id="82" w:name="_Toc2023413763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8"/>
      <w:bookmarkEnd w:id="79"/>
      <w:bookmarkEnd w:id="80"/>
      <w:bookmarkEnd w:id="81"/>
      <w:bookmarkEnd w:id="82"/>
    </w:p>
    <w:p>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本次招标公告在《河南省政府采购网》《河南省公共资源交易中心网》上发布，招标公告期限为五个工作日。</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3" w:name="_Toc811435245_WPSOffice_Level2"/>
      <w:bookmarkStart w:id="84" w:name="_Toc1765891161_WPSOffice_Level2"/>
      <w:bookmarkStart w:id="85" w:name="_Toc934758795_WPSOffice_Level2"/>
      <w:bookmarkStart w:id="86" w:name="_Toc1849985481_WPSOffice_Level2"/>
      <w:bookmarkStart w:id="87" w:name="_Toc271688487_WPSOffice_Level2"/>
      <w:r>
        <w:rPr>
          <w:rFonts w:hint="default" w:ascii="Times New Roman" w:hAnsi="Times New Roman" w:eastAsia="方正小标宋_GBK" w:cs="Times New Roman"/>
          <w:color w:val="auto"/>
          <w:sz w:val="28"/>
          <w:szCs w:val="28"/>
          <w:lang w:val="en-US" w:eastAsia="zh-CN"/>
        </w:rPr>
        <w:t>七、其他补充事宜</w:t>
      </w:r>
      <w:bookmarkEnd w:id="83"/>
      <w:bookmarkEnd w:id="84"/>
      <w:bookmarkEnd w:id="85"/>
      <w:bookmarkEnd w:id="86"/>
      <w:bookmarkEnd w:id="87"/>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8" w:name="_Toc104417590_WPSOffice_Level2"/>
      <w:bookmarkStart w:id="89" w:name="_Toc1528591159_WPSOffice_Level2"/>
      <w:bookmarkStart w:id="90" w:name="_Toc1643921422_WPSOffice_Level2"/>
      <w:r>
        <w:rPr>
          <w:rFonts w:hint="default"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91" w:name="_Toc1844119755_WPSOffice_Level2"/>
      <w:bookmarkStart w:id="92" w:name="_Toc163594944_WPSOffice_Level2"/>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8"/>
      <w:bookmarkEnd w:id="89"/>
      <w:bookmarkEnd w:id="90"/>
      <w:bookmarkEnd w:id="91"/>
      <w:bookmarkEnd w:id="92"/>
    </w:p>
    <w:p>
      <w:pPr>
        <w:spacing w:line="500" w:lineRule="exact"/>
        <w:ind w:firstLine="560" w:firstLineChars="200"/>
        <w:jc w:val="left"/>
        <w:rPr>
          <w:rFonts w:hint="default" w:ascii="Times New Roman" w:hAnsi="Times New Roman" w:eastAsia="仿宋_GB2312" w:cs="Times New Roman"/>
          <w:color w:val="auto"/>
          <w:sz w:val="28"/>
          <w:szCs w:val="28"/>
          <w:highlight w:val="none"/>
          <w:lang w:val="en-US"/>
        </w:rPr>
      </w:pPr>
      <w:bookmarkStart w:id="93" w:name="_Toc116085146_WPSOffice_Level3"/>
      <w:bookmarkStart w:id="94" w:name="_Toc1644240802_WPSOffice_Level3"/>
      <w:r>
        <w:rPr>
          <w:rFonts w:hint="default" w:ascii="Times New Roman" w:hAnsi="Times New Roman" w:eastAsia="仿宋_GB2312" w:cs="Times New Roman"/>
          <w:color w:val="auto"/>
          <w:sz w:val="28"/>
          <w:szCs w:val="28"/>
          <w:highlight w:val="none"/>
          <w:lang w:val="en-US"/>
        </w:rPr>
        <w:t>1.采购人信息</w:t>
      </w:r>
      <w:bookmarkEnd w:id="93"/>
      <w:bookmarkEnd w:id="94"/>
    </w:p>
    <w:p>
      <w:pPr>
        <w:spacing w:line="500" w:lineRule="exact"/>
        <w:ind w:firstLine="560" w:firstLineChars="200"/>
        <w:jc w:val="left"/>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lang w:val="en-US" w:eastAsia="zh-CN"/>
        </w:rPr>
        <w:t>名称</w:t>
      </w:r>
      <w:r>
        <w:rPr>
          <w:rFonts w:hint="default" w:ascii="Times New Roman" w:hAnsi="Times New Roman" w:eastAsia="仿宋_GB2312" w:cs="Times New Roman"/>
          <w:color w:val="auto"/>
          <w:sz w:val="28"/>
          <w:szCs w:val="28"/>
          <w:highlight w:val="none"/>
          <w:lang w:val="en-US"/>
        </w:rPr>
        <w:t>：河南省荣康医院</w:t>
      </w:r>
    </w:p>
    <w:p>
      <w:pPr>
        <w:spacing w:line="500" w:lineRule="exact"/>
        <w:ind w:firstLine="560" w:firstLineChars="20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rPr>
        <w:t>地址：河南省洛阳市白马寺路490号</w:t>
      </w:r>
    </w:p>
    <w:p>
      <w:pPr>
        <w:spacing w:line="500" w:lineRule="exact"/>
        <w:ind w:firstLine="560" w:firstLineChars="200"/>
        <w:jc w:val="left"/>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rPr>
        <w:t>联系人：王</w:t>
      </w:r>
      <w:r>
        <w:rPr>
          <w:rFonts w:hint="eastAsia" w:ascii="Times New Roman" w:hAnsi="Times New Roman" w:eastAsia="仿宋_GB2312" w:cs="Times New Roman"/>
          <w:color w:val="auto"/>
          <w:sz w:val="28"/>
          <w:szCs w:val="28"/>
          <w:highlight w:val="none"/>
          <w:lang w:val="en-US" w:eastAsia="zh-CN"/>
        </w:rPr>
        <w:t>老师、</w:t>
      </w:r>
      <w:r>
        <w:rPr>
          <w:rFonts w:hint="default" w:ascii="Times New Roman" w:hAnsi="Times New Roman" w:eastAsia="仿宋_GB2312" w:cs="Times New Roman"/>
          <w:color w:val="auto"/>
          <w:sz w:val="28"/>
          <w:szCs w:val="28"/>
          <w:highlight w:val="none"/>
          <w:lang w:val="en-US"/>
        </w:rPr>
        <w:t>杨</w:t>
      </w:r>
      <w:r>
        <w:rPr>
          <w:rFonts w:hint="eastAsia" w:ascii="Times New Roman" w:hAnsi="Times New Roman" w:eastAsia="仿宋_GB2312" w:cs="Times New Roman"/>
          <w:color w:val="auto"/>
          <w:sz w:val="28"/>
          <w:szCs w:val="28"/>
          <w:highlight w:val="none"/>
          <w:lang w:val="en-US" w:eastAsia="zh-CN"/>
        </w:rPr>
        <w:t>老师</w:t>
      </w:r>
    </w:p>
    <w:p>
      <w:pPr>
        <w:spacing w:line="500" w:lineRule="exact"/>
        <w:ind w:firstLine="560" w:firstLineChars="20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rPr>
        <w:t>联系方式：</w:t>
      </w:r>
      <w:r>
        <w:rPr>
          <w:rFonts w:hint="eastAsia" w:ascii="Times New Roman" w:hAnsi="Times New Roman" w:eastAsia="仿宋_GB2312" w:cs="Times New Roman"/>
          <w:color w:val="auto"/>
          <w:sz w:val="28"/>
          <w:szCs w:val="28"/>
          <w:highlight w:val="none"/>
          <w:lang w:val="en-US"/>
        </w:rPr>
        <w:t>0379-63780652</w:t>
      </w:r>
      <w:r>
        <w:rPr>
          <w:rFonts w:hint="eastAsia"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rPr>
        <w:t>63783948</w:t>
      </w:r>
    </w:p>
    <w:p>
      <w:pPr>
        <w:spacing w:line="500" w:lineRule="exact"/>
        <w:ind w:firstLine="560" w:firstLineChars="200"/>
        <w:jc w:val="left"/>
        <w:rPr>
          <w:rFonts w:hint="default" w:ascii="Times New Roman" w:hAnsi="Times New Roman" w:eastAsia="仿宋_GB2312" w:cs="Times New Roman"/>
          <w:color w:val="auto"/>
          <w:sz w:val="28"/>
          <w:szCs w:val="28"/>
          <w:lang w:val="en-US"/>
        </w:rPr>
      </w:pPr>
      <w:bookmarkStart w:id="95" w:name="_Toc465930042_WPSOffice_Level3"/>
      <w:bookmarkStart w:id="96" w:name="_Toc1196430650_WPSOffice_Level3"/>
      <w:r>
        <w:rPr>
          <w:rFonts w:hint="default" w:ascii="Times New Roman" w:hAnsi="Times New Roman" w:eastAsia="仿宋_GB2312" w:cs="Times New Roman"/>
          <w:color w:val="auto"/>
          <w:sz w:val="28"/>
          <w:szCs w:val="28"/>
          <w:lang w:val="en-US"/>
        </w:rPr>
        <w:t>2.</w:t>
      </w:r>
      <w:r>
        <w:rPr>
          <w:rFonts w:hint="default" w:ascii="Times New Roman" w:hAnsi="Times New Roman" w:eastAsia="仿宋_GB2312" w:cs="Times New Roman"/>
          <w:color w:val="auto"/>
          <w:sz w:val="28"/>
          <w:szCs w:val="28"/>
          <w:lang w:val="en-US" w:eastAsia="zh-CN"/>
        </w:rPr>
        <w:t>集中</w:t>
      </w:r>
      <w:r>
        <w:rPr>
          <w:rFonts w:hint="default" w:ascii="Times New Roman" w:hAnsi="Times New Roman" w:eastAsia="仿宋_GB2312" w:cs="Times New Roman"/>
          <w:color w:val="auto"/>
          <w:sz w:val="28"/>
          <w:szCs w:val="28"/>
          <w:lang w:val="en-US"/>
        </w:rPr>
        <w:t>采购机构信息（如有）</w:t>
      </w:r>
      <w:bookmarkEnd w:id="95"/>
      <w:bookmarkEnd w:id="96"/>
    </w:p>
    <w:p>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eastAsia="zh-CN"/>
        </w:rPr>
        <w:t>名称</w:t>
      </w:r>
      <w:r>
        <w:rPr>
          <w:rFonts w:hint="default" w:ascii="Times New Roman" w:hAnsi="Times New Roman" w:eastAsia="仿宋_GB2312" w:cs="Times New Roman"/>
          <w:color w:val="auto"/>
          <w:sz w:val="28"/>
          <w:szCs w:val="28"/>
          <w:lang w:val="en-US"/>
        </w:rPr>
        <w:t>：河南省公共资源交易中心</w:t>
      </w:r>
    </w:p>
    <w:p>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地址：郑州市经二路12号</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rPr>
        <w:t>联系人：郭老师、余老师</w:t>
      </w:r>
      <w:r>
        <w:rPr>
          <w:rFonts w:ascii="Times New Roman" w:hAnsi="Times New Roman" w:eastAsia="仿宋_GB2312" w:cs="Times New Roman"/>
          <w:color w:val="auto"/>
          <w:sz w:val="28"/>
          <w:szCs w:val="28"/>
          <w:lang w:val="en-US" w:eastAsia="zh-CN"/>
        </w:rPr>
        <w:t>、沈老师</w:t>
      </w:r>
    </w:p>
    <w:p>
      <w:pPr>
        <w:spacing w:line="500" w:lineRule="exact"/>
        <w:ind w:firstLine="560" w:firstLineChars="2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rPr>
        <w:t>联系方式：0371-65915560</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rPr>
        <w:t>6591556</w:t>
      </w:r>
      <w:r>
        <w:rPr>
          <w:rFonts w:ascii="Times New Roman" w:hAnsi="Times New Roman" w:eastAsia="仿宋_GB2312" w:cs="Times New Roman"/>
          <w:color w:val="auto"/>
          <w:sz w:val="28"/>
          <w:szCs w:val="28"/>
          <w:lang w:val="en-US" w:eastAsia="zh-CN"/>
        </w:rPr>
        <w:t>3</w:t>
      </w:r>
    </w:p>
    <w:p>
      <w:pPr>
        <w:spacing w:line="500" w:lineRule="exact"/>
        <w:ind w:firstLine="560" w:firstLineChars="200"/>
        <w:rPr>
          <w:rFonts w:hint="default" w:ascii="Times New Roman" w:hAnsi="Times New Roman" w:eastAsia="仿宋_GB2312" w:cs="Times New Roman"/>
          <w:color w:val="auto"/>
          <w:sz w:val="28"/>
          <w:szCs w:val="28"/>
          <w:lang w:val="en-US"/>
        </w:rPr>
      </w:pPr>
      <w:bookmarkStart w:id="97" w:name="_Toc483693177_WPSOffice_Level3"/>
      <w:bookmarkStart w:id="98" w:name="_Toc384972299_WPSOffice_Level3"/>
      <w:r>
        <w:rPr>
          <w:rFonts w:hint="default" w:ascii="Times New Roman" w:hAnsi="Times New Roman" w:eastAsia="仿宋_GB2312" w:cs="Times New Roman"/>
          <w:color w:val="auto"/>
          <w:sz w:val="28"/>
          <w:szCs w:val="28"/>
          <w:lang w:val="en-US"/>
        </w:rPr>
        <w:t>3.项目联系方式</w:t>
      </w:r>
      <w:bookmarkEnd w:id="97"/>
      <w:bookmarkEnd w:id="98"/>
    </w:p>
    <w:p>
      <w:pPr>
        <w:spacing w:line="500" w:lineRule="exact"/>
        <w:ind w:firstLine="560" w:firstLineChars="200"/>
        <w:rPr>
          <w:rFonts w:hint="default" w:ascii="Times New Roman" w:hAnsi="Times New Roman" w:eastAsia="仿宋_GB2312" w:cs="Times New Roman"/>
          <w:color w:val="auto"/>
          <w:sz w:val="28"/>
          <w:szCs w:val="28"/>
          <w:lang w:val="en-US"/>
        </w:rPr>
      </w:pPr>
      <w:r>
        <w:rPr>
          <w:rFonts w:ascii="Times New Roman" w:hAnsi="Times New Roman" w:eastAsia="仿宋_GB2312" w:cs="Times New Roman"/>
          <w:color w:val="auto"/>
          <w:sz w:val="28"/>
          <w:szCs w:val="28"/>
          <w:lang w:val="en-US" w:eastAsia="zh-CN"/>
        </w:rPr>
        <w:t>项目</w:t>
      </w:r>
      <w:r>
        <w:rPr>
          <w:rFonts w:ascii="Times New Roman" w:hAnsi="Times New Roman" w:eastAsia="仿宋_GB2312" w:cs="Times New Roman"/>
          <w:color w:val="auto"/>
          <w:sz w:val="28"/>
          <w:szCs w:val="28"/>
          <w:lang w:val="en-US"/>
        </w:rPr>
        <w:t>联系人：</w:t>
      </w:r>
      <w:r>
        <w:rPr>
          <w:rFonts w:hint="default" w:ascii="Times New Roman" w:hAnsi="Times New Roman" w:eastAsia="仿宋_GB2312" w:cs="Times New Roman"/>
          <w:color w:val="auto"/>
          <w:sz w:val="28"/>
          <w:szCs w:val="28"/>
          <w:highlight w:val="none"/>
          <w:lang w:val="en-US"/>
        </w:rPr>
        <w:t>王</w:t>
      </w:r>
      <w:r>
        <w:rPr>
          <w:rFonts w:hint="eastAsia" w:ascii="Times New Roman" w:hAnsi="Times New Roman" w:eastAsia="仿宋_GB2312" w:cs="Times New Roman"/>
          <w:color w:val="auto"/>
          <w:sz w:val="28"/>
          <w:szCs w:val="28"/>
          <w:highlight w:val="none"/>
          <w:lang w:val="en-US" w:eastAsia="zh-CN"/>
        </w:rPr>
        <w:t>老师、</w:t>
      </w:r>
      <w:r>
        <w:rPr>
          <w:rFonts w:hint="default" w:ascii="Times New Roman" w:hAnsi="Times New Roman" w:eastAsia="仿宋_GB2312" w:cs="Times New Roman"/>
          <w:color w:val="auto"/>
          <w:sz w:val="28"/>
          <w:szCs w:val="28"/>
          <w:highlight w:val="none"/>
          <w:lang w:val="en-US"/>
        </w:rPr>
        <w:t>杨</w:t>
      </w:r>
      <w:r>
        <w:rPr>
          <w:rFonts w:hint="eastAsia" w:ascii="Times New Roman" w:hAnsi="Times New Roman" w:eastAsia="仿宋_GB2312" w:cs="Times New Roman"/>
          <w:color w:val="auto"/>
          <w:sz w:val="28"/>
          <w:szCs w:val="28"/>
          <w:highlight w:val="none"/>
          <w:lang w:val="en-US" w:eastAsia="zh-CN"/>
        </w:rPr>
        <w:t>老师</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rPr>
        <w:t>联系方式：</w:t>
      </w:r>
      <w:r>
        <w:rPr>
          <w:rFonts w:hint="eastAsia" w:ascii="Times New Roman" w:hAnsi="Times New Roman" w:eastAsia="仿宋_GB2312" w:cs="Times New Roman"/>
          <w:color w:val="auto"/>
          <w:sz w:val="28"/>
          <w:szCs w:val="28"/>
          <w:lang w:val="en-US"/>
        </w:rPr>
        <w:t>0379-63780652、63783948</w:t>
      </w:r>
    </w:p>
    <w:p>
      <w:pPr>
        <w:pStyle w:val="49"/>
        <w:rPr>
          <w:rFonts w:hint="default" w:ascii="Times New Roman" w:hAnsi="Times New Roman" w:cs="Times New Roman"/>
          <w:lang w:val="en-US" w:eastAsia="zh-CN"/>
        </w:rPr>
      </w:pPr>
    </w:p>
    <w:p>
      <w:pPr>
        <w:pStyle w:val="49"/>
        <w:rPr>
          <w:rFonts w:hint="default" w:ascii="Times New Roman" w:hAnsi="Times New Roman" w:cs="Times New Roman"/>
          <w:lang w:val="en-US"/>
        </w:rPr>
        <w:sectPr>
          <w:footerReference r:id="rId3" w:type="default"/>
          <w:pgSz w:w="11900" w:h="16840"/>
          <w:pgMar w:top="1440" w:right="1174" w:bottom="1440" w:left="1797" w:header="851" w:footer="992" w:gutter="0"/>
          <w:cols w:space="720" w:num="1"/>
        </w:sectPr>
      </w:pPr>
    </w:p>
    <w:p>
      <w:pPr>
        <w:pStyle w:val="3"/>
        <w:spacing w:before="0" w:after="0" w:line="240" w:lineRule="auto"/>
        <w:jc w:val="center"/>
        <w:rPr>
          <w:rFonts w:hint="default" w:ascii="Times New Roman" w:hAnsi="Times New Roman" w:eastAsia="宋体" w:cs="Times New Roman"/>
          <w:color w:val="auto"/>
          <w:sz w:val="36"/>
          <w:szCs w:val="36"/>
          <w:lang w:eastAsia="zh-CN"/>
        </w:rPr>
      </w:pPr>
      <w:bookmarkStart w:id="99" w:name="_Toc1043881812"/>
      <w:bookmarkStart w:id="100" w:name="_Toc969346985"/>
      <w:bookmarkStart w:id="101" w:name="_Toc543843355"/>
      <w:bookmarkStart w:id="102" w:name="_Toc403451568"/>
      <w:bookmarkStart w:id="103" w:name="_Toc1378990171"/>
      <w:bookmarkStart w:id="104" w:name="_Toc1932859446_WPSOffice_Level1"/>
      <w:bookmarkStart w:id="105" w:name="_Toc894622228"/>
      <w:bookmarkStart w:id="106" w:name="_Toc2032132179"/>
      <w:bookmarkStart w:id="107" w:name="_Toc2106074957"/>
      <w:bookmarkStart w:id="108" w:name="_Toc675732986"/>
      <w:bookmarkStart w:id="109" w:name="_Toc1158409811_WPSOffice_Level1"/>
      <w:bookmarkStart w:id="110" w:name="_Toc1016738770_WPSOffice_Level1"/>
      <w:bookmarkStart w:id="111" w:name="_Toc1520451966"/>
      <w:bookmarkStart w:id="112" w:name="_Toc1562014060"/>
      <w:bookmarkStart w:id="113" w:name="_Toc27631594"/>
      <w:bookmarkStart w:id="114" w:name="_Toc719882491_WPSOffice_Level1"/>
      <w:bookmarkStart w:id="115" w:name="_Toc339222953_WPSOffice_Level1"/>
      <w:bookmarkStart w:id="116" w:name="_Toc401873220"/>
      <w:bookmarkStart w:id="117" w:name="_Toc337485847"/>
      <w:r>
        <w:rPr>
          <w:rFonts w:hint="default" w:ascii="Times New Roman" w:hAnsi="Times New Roman" w:eastAsia="宋体" w:cs="Times New Roman"/>
          <w:color w:val="auto"/>
          <w:sz w:val="36"/>
          <w:szCs w:val="36"/>
          <w:lang w:eastAsia="zh-CN"/>
        </w:rPr>
        <w:t>第二章 投标人须知前附表</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本表是对投标人须知的具体补充和修改，如有矛盾，应以本表为准。</w:t>
      </w:r>
    </w:p>
    <w:tbl>
      <w:tblPr>
        <w:tblStyle w:val="51"/>
        <w:tblW w:w="8703"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0"/>
            <w:vAlign w:val="center"/>
          </w:tcPr>
          <w:p>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条款号</w:t>
            </w:r>
          </w:p>
        </w:tc>
        <w:tc>
          <w:tcPr>
            <w:tcW w:w="7751" w:type="dxa"/>
            <w:noWrap w:val="0"/>
            <w:vAlign w:val="center"/>
          </w:tcPr>
          <w:p>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7751" w:type="dxa"/>
            <w:noWrap w:val="0"/>
            <w:vAlign w:val="center"/>
          </w:tcPr>
          <w:p>
            <w:pPr>
              <w:spacing w:line="360" w:lineRule="auto"/>
              <w:jc w:val="left"/>
              <w:rPr>
                <w:rFonts w:hint="default" w:ascii="Times New Roman" w:hAnsi="Times New Roman" w:eastAsia="仿宋_GB2312" w:cs="Times New Roman"/>
                <w:sz w:val="24"/>
                <w:szCs w:val="24"/>
                <w:lang w:val="en" w:eastAsia="zh-CN"/>
              </w:rPr>
            </w:pPr>
            <w:r>
              <w:rPr>
                <w:rFonts w:hint="default" w:ascii="Times New Roman" w:hAnsi="Times New Roman" w:eastAsia="仿宋_GB2312" w:cs="Times New Roman"/>
                <w:sz w:val="24"/>
                <w:szCs w:val="24"/>
                <w:lang w:val="en"/>
              </w:rPr>
              <w:t>采购项目</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 w:eastAsia="zh-CN"/>
              </w:rPr>
              <w:t>河南省荣康医院电子病历一体化项目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8"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7751" w:type="dxa"/>
            <w:noWrap w:val="0"/>
            <w:vAlign w:val="center"/>
          </w:tcPr>
          <w:p>
            <w:pPr>
              <w:spacing w:line="360" w:lineRule="auto"/>
              <w:jc w:val="left"/>
              <w:rPr>
                <w:rFonts w:hint="default" w:ascii="Times New Roman" w:hAnsi="Times New Roman" w:eastAsia="仿宋_GB2312" w:cs="Times New Roman"/>
                <w:sz w:val="24"/>
                <w:szCs w:val="24"/>
                <w:lang w:val="en" w:eastAsia="zh-CN"/>
              </w:rPr>
            </w:pPr>
            <w:r>
              <w:rPr>
                <w:rFonts w:hint="default" w:ascii="Times New Roman" w:hAnsi="Times New Roman" w:eastAsia="仿宋_GB2312" w:cs="Times New Roman"/>
                <w:sz w:val="24"/>
                <w:szCs w:val="24"/>
              </w:rPr>
              <w:t>采购</w:t>
            </w:r>
            <w:r>
              <w:rPr>
                <w:rFonts w:hint="default" w:ascii="Times New Roman" w:hAnsi="Times New Roman" w:eastAsia="仿宋_GB2312" w:cs="Times New Roman"/>
                <w:sz w:val="24"/>
                <w:szCs w:val="24"/>
                <w:lang w:val="en"/>
              </w:rPr>
              <w:t>编号</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 w:eastAsia="zh-CN"/>
              </w:rPr>
              <w:t>豫财招标采购-2023-161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w:t>
            </w:r>
          </w:p>
        </w:tc>
        <w:tc>
          <w:tcPr>
            <w:tcW w:w="7751" w:type="dxa"/>
            <w:noWrap w:val="0"/>
            <w:vAlign w:val="center"/>
          </w:tcPr>
          <w:p>
            <w:pPr>
              <w:spacing w:line="360" w:lineRule="auto"/>
              <w:jc w:val="left"/>
              <w:rPr>
                <w:rFonts w:hint="default" w:ascii="Times New Roman" w:hAnsi="Times New Roman" w:eastAsia="仿宋_GB2312" w:cs="Times New Roman"/>
                <w:sz w:val="24"/>
                <w:szCs w:val="24"/>
                <w:highlight w:val="none"/>
                <w:lang w:val="zh-CN" w:eastAsia="zh-CN"/>
              </w:rPr>
            </w:pPr>
            <w:r>
              <w:rPr>
                <w:rFonts w:hint="default"/>
              </w:rPr>
              <w:t>采</w:t>
            </w:r>
            <w:r>
              <w:rPr>
                <w:rFonts w:hint="default" w:ascii="Times New Roman" w:hAnsi="Times New Roman" w:eastAsia="仿宋_GB2312" w:cs="Times New Roman"/>
                <w:sz w:val="24"/>
                <w:szCs w:val="24"/>
                <w:highlight w:val="none"/>
                <w:lang w:val="zh-CN" w:eastAsia="zh-CN"/>
              </w:rPr>
              <w:t>购项目简要说明：</w:t>
            </w:r>
          </w:p>
          <w:p>
            <w:pPr>
              <w:spacing w:line="360" w:lineRule="auto"/>
              <w:jc w:val="left"/>
              <w:rPr>
                <w:rFonts w:hint="default" w:ascii="Times New Roman" w:hAnsi="Times New Roman" w:eastAsia="仿宋_GB2312" w:cs="Times New Roman"/>
                <w:sz w:val="24"/>
                <w:szCs w:val="24"/>
                <w:highlight w:val="none"/>
                <w:lang w:val="zh-CN" w:eastAsia="zh-CN"/>
              </w:rPr>
            </w:pP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val="zh-CN" w:eastAsia="zh-CN"/>
              </w:rPr>
              <w:t>预算金额和最高限价：详见“第一章 投标邀请”</w:t>
            </w:r>
          </w:p>
          <w:p>
            <w:pPr>
              <w:spacing w:line="360" w:lineRule="auto"/>
              <w:jc w:val="left"/>
              <w:rPr>
                <w:rFonts w:hint="default" w:ascii="Times New Roman" w:hAnsi="Times New Roman" w:eastAsia="仿宋_GB2312" w:cs="Times New Roman"/>
                <w:sz w:val="24"/>
                <w:szCs w:val="24"/>
                <w:highlight w:val="none"/>
                <w:lang w:val="en" w:eastAsia="zh-CN"/>
              </w:rPr>
            </w:pPr>
            <w:r>
              <w:rPr>
                <w:rFonts w:hint="default" w:ascii="Times New Roman" w:hAnsi="Times New Roman" w:eastAsia="仿宋_GB2312" w:cs="Times New Roman"/>
                <w:sz w:val="24"/>
                <w:szCs w:val="24"/>
                <w:highlight w:val="none"/>
                <w:lang w:val="en-US" w:eastAsia="zh-CN"/>
              </w:rPr>
              <w:t>2.招标内容：</w:t>
            </w:r>
            <w:r>
              <w:rPr>
                <w:rFonts w:hint="default" w:ascii="Times New Roman" w:hAnsi="Times New Roman" w:eastAsia="仿宋_GB2312" w:cs="Times New Roman"/>
                <w:sz w:val="24"/>
                <w:szCs w:val="24"/>
                <w:highlight w:val="none"/>
                <w:lang w:val="en" w:eastAsia="zh-CN"/>
              </w:rPr>
              <w:t>河南省荣康医院电子病历一体化项目</w:t>
            </w:r>
          </w:p>
          <w:p>
            <w:pPr>
              <w:spacing w:line="360" w:lineRule="auto"/>
              <w:jc w:val="lef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（1）本项目共分1个包</w:t>
            </w:r>
            <w:r>
              <w:rPr>
                <w:rFonts w:hint="eastAsia" w:ascii="Times New Roman" w:hAnsi="Times New Roman" w:eastAsia="仿宋_GB2312" w:cs="Times New Roman"/>
                <w:sz w:val="24"/>
                <w:szCs w:val="24"/>
                <w:highlight w:val="none"/>
                <w:lang w:val="en-US" w:eastAsia="zh-CN"/>
              </w:rPr>
              <w:t>；</w:t>
            </w:r>
          </w:p>
          <w:p>
            <w:pPr>
              <w:spacing w:line="360" w:lineRule="auto"/>
              <w:jc w:val="left"/>
              <w:rPr>
                <w:rFonts w:hint="default" w:ascii="Times New Roman" w:hAnsi="Times New Roman" w:eastAsia="仿宋_GB2312" w:cs="Times New Roman"/>
                <w:sz w:val="24"/>
                <w:szCs w:val="24"/>
                <w:highlight w:val="none"/>
                <w:lang w:val="en" w:eastAsia="zh-CN"/>
              </w:rPr>
            </w:pPr>
            <w:r>
              <w:rPr>
                <w:rFonts w:hint="default" w:ascii="Times New Roman" w:hAnsi="Times New Roman" w:eastAsia="仿宋_GB2312" w:cs="Times New Roman"/>
                <w:sz w:val="24"/>
                <w:szCs w:val="24"/>
                <w:highlight w:val="none"/>
                <w:lang w:val="en-US" w:eastAsia="zh-CN"/>
              </w:rPr>
              <w:t>（2）采购内容：</w:t>
            </w:r>
            <w:r>
              <w:rPr>
                <w:rFonts w:hint="default" w:ascii="Times New Roman" w:hAnsi="Times New Roman" w:eastAsia="仿宋_GB2312" w:cs="Times New Roman"/>
                <w:sz w:val="24"/>
                <w:szCs w:val="24"/>
                <w:highlight w:val="none"/>
                <w:lang w:val="en" w:eastAsia="zh-CN"/>
              </w:rPr>
              <w:t>河南省荣康医院电子病历一体化项目</w:t>
            </w:r>
            <w:r>
              <w:rPr>
                <w:rFonts w:hint="eastAsia" w:ascii="Times New Roman" w:hAnsi="Times New Roman" w:eastAsia="仿宋_GB2312" w:cs="Times New Roman"/>
                <w:sz w:val="24"/>
                <w:szCs w:val="24"/>
                <w:highlight w:val="none"/>
                <w:lang w:val="en" w:eastAsia="zh-CN"/>
              </w:rPr>
              <w:t>；</w:t>
            </w:r>
          </w:p>
          <w:p>
            <w:pPr>
              <w:spacing w:line="360" w:lineRule="auto"/>
              <w:jc w:val="lef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（3）工期：</w:t>
            </w:r>
            <w:r>
              <w:rPr>
                <w:rFonts w:hint="default" w:ascii="Times New Roman" w:hAnsi="Times New Roman" w:eastAsia="仿宋_GB2312" w:cs="Times New Roman"/>
                <w:sz w:val="24"/>
                <w:szCs w:val="24"/>
                <w:highlight w:val="none"/>
                <w:lang w:val="en" w:eastAsia="zh-CN"/>
              </w:rPr>
              <w:t>合同签订后40个日历日内完成本项目的集成开发及部署</w:t>
            </w:r>
            <w:r>
              <w:rPr>
                <w:rFonts w:hint="eastAsia" w:ascii="Times New Roman" w:hAnsi="Times New Roman" w:eastAsia="仿宋_GB2312" w:cs="Times New Roman"/>
                <w:sz w:val="24"/>
                <w:szCs w:val="24"/>
                <w:highlight w:val="none"/>
                <w:lang w:val="en-US" w:eastAsia="zh-CN"/>
              </w:rPr>
              <w:t>；</w:t>
            </w:r>
          </w:p>
          <w:p>
            <w:pPr>
              <w:spacing w:line="360" w:lineRule="auto"/>
              <w:jc w:val="lef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（4）服务地点：采购人指定地点</w:t>
            </w:r>
            <w:r>
              <w:rPr>
                <w:rFonts w:hint="eastAsia" w:ascii="Times New Roman" w:hAnsi="Times New Roman" w:eastAsia="仿宋_GB2312" w:cs="Times New Roman"/>
                <w:sz w:val="24"/>
                <w:szCs w:val="24"/>
                <w:highlight w:val="none"/>
                <w:lang w:val="en-US" w:eastAsia="zh-CN"/>
              </w:rPr>
              <w:t>；</w:t>
            </w:r>
          </w:p>
          <w:p>
            <w:pPr>
              <w:spacing w:line="360" w:lineRule="auto"/>
              <w:jc w:val="left"/>
              <w:rPr>
                <w:rFonts w:hint="default"/>
              </w:rPr>
            </w:pPr>
            <w:r>
              <w:rPr>
                <w:rFonts w:hint="default" w:ascii="Times New Roman" w:hAnsi="Times New Roman" w:eastAsia="仿宋_GB2312" w:cs="Times New Roman"/>
                <w:sz w:val="24"/>
                <w:szCs w:val="24"/>
                <w:highlight w:val="none"/>
                <w:lang w:val="en-US" w:eastAsia="zh-CN"/>
              </w:rPr>
              <w:t>（5）服务质量：满足采购人需求</w:t>
            </w:r>
            <w:r>
              <w:rPr>
                <w:rFonts w:hint="eastAsia" w:ascii="Times New Roman" w:hAnsi="Times New Roman" w:eastAsia="仿宋_GB2312" w:cs="Times New Roman"/>
                <w:sz w:val="24"/>
                <w:szCs w:val="24"/>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w:t>
            </w:r>
          </w:p>
        </w:tc>
        <w:tc>
          <w:tcPr>
            <w:tcW w:w="7751" w:type="dxa"/>
            <w:noWrap w:val="0"/>
            <w:vAlign w:val="center"/>
          </w:tcPr>
          <w:p>
            <w:pPr>
              <w:spacing w:line="360" w:lineRule="auto"/>
              <w:jc w:val="left"/>
              <w:rPr>
                <w:rFonts w:hint="default" w:ascii="Times New Roman" w:hAnsi="Times New Roman" w:eastAsia="仿宋_GB2312" w:cs="Times New Roman"/>
                <w:sz w:val="24"/>
                <w:szCs w:val="24"/>
                <w:highlight w:val="none"/>
                <w:lang w:val="zh-CN" w:eastAsia="zh-CN"/>
              </w:rPr>
            </w:pPr>
            <w:r>
              <w:rPr>
                <w:rFonts w:hint="default" w:ascii="Times New Roman" w:hAnsi="Times New Roman" w:eastAsia="仿宋_GB2312" w:cs="Times New Roman"/>
                <w:sz w:val="24"/>
                <w:szCs w:val="24"/>
                <w:highlight w:val="none"/>
                <w:lang w:val="zh-CN" w:eastAsia="zh-CN"/>
              </w:rPr>
              <w:t>采购人：河南省荣康医院</w:t>
            </w:r>
          </w:p>
          <w:p>
            <w:pPr>
              <w:spacing w:line="360" w:lineRule="auto"/>
              <w:jc w:val="left"/>
              <w:rPr>
                <w:rFonts w:hint="default" w:ascii="Times New Roman" w:hAnsi="Times New Roman" w:eastAsia="仿宋_GB2312" w:cs="Times New Roman"/>
                <w:sz w:val="24"/>
                <w:szCs w:val="24"/>
                <w:highlight w:val="none"/>
                <w:lang w:val="zh-CN" w:eastAsia="zh-CN"/>
              </w:rPr>
            </w:pPr>
            <w:r>
              <w:rPr>
                <w:rFonts w:hint="default" w:ascii="Times New Roman" w:hAnsi="Times New Roman" w:eastAsia="仿宋_GB2312" w:cs="Times New Roman"/>
                <w:sz w:val="24"/>
                <w:szCs w:val="24"/>
                <w:highlight w:val="none"/>
                <w:lang w:val="zh-CN" w:eastAsia="zh-CN"/>
              </w:rPr>
              <w:t>地址：河南省洛阳市白马寺路490号</w:t>
            </w:r>
          </w:p>
          <w:p>
            <w:pPr>
              <w:spacing w:line="360" w:lineRule="auto"/>
              <w:jc w:val="left"/>
              <w:rPr>
                <w:rFonts w:hint="default" w:ascii="Times New Roman" w:hAnsi="Times New Roman" w:eastAsia="仿宋_GB2312" w:cs="Times New Roman"/>
                <w:sz w:val="24"/>
                <w:szCs w:val="24"/>
                <w:highlight w:val="none"/>
                <w:lang w:val="zh-CN" w:eastAsia="zh-CN"/>
              </w:rPr>
            </w:pPr>
            <w:r>
              <w:rPr>
                <w:rFonts w:hint="default" w:ascii="Times New Roman" w:hAnsi="Times New Roman" w:eastAsia="仿宋_GB2312" w:cs="Times New Roman"/>
                <w:sz w:val="24"/>
                <w:szCs w:val="24"/>
                <w:highlight w:val="none"/>
                <w:lang w:val="zh-CN" w:eastAsia="zh-CN"/>
              </w:rPr>
              <w:t>联系人：王老师、杨老师</w:t>
            </w:r>
          </w:p>
          <w:p>
            <w:pPr>
              <w:pStyle w:val="14"/>
              <w:spacing w:before="0"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zh-CN" w:eastAsia="zh-CN"/>
              </w:rPr>
              <w:t>联系方式：0379-63780652、63783948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w:t>
            </w:r>
          </w:p>
        </w:tc>
        <w:tc>
          <w:tcPr>
            <w:tcW w:w="7751" w:type="dxa"/>
            <w:noWrap w:val="0"/>
            <w:vAlign w:val="center"/>
          </w:tcPr>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集中采购机构：河南省公共资源交易中心</w:t>
            </w:r>
          </w:p>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地址：郑州市经二路12号</w:t>
            </w:r>
          </w:p>
          <w:p>
            <w:pPr>
              <w:spacing w:line="360"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联系人：郭老师、余老师</w:t>
            </w:r>
            <w:r>
              <w:rPr>
                <w:rFonts w:hint="default" w:ascii="Times New Roman" w:hAnsi="Times New Roman" w:eastAsia="仿宋_GB2312" w:cs="Times New Roman"/>
                <w:sz w:val="24"/>
                <w:szCs w:val="24"/>
                <w:lang w:eastAsia="zh-CN"/>
              </w:rPr>
              <w:t>、沈老师</w:t>
            </w:r>
          </w:p>
          <w:p>
            <w:pPr>
              <w:spacing w:line="360" w:lineRule="auto"/>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rPr>
              <w:t>联系电话：0371-65915560、</w:t>
            </w:r>
            <w:r>
              <w:rPr>
                <w:rFonts w:hint="default" w:ascii="Times New Roman" w:hAnsi="Times New Roman" w:eastAsia="仿宋_GB2312" w:cs="Times New Roman"/>
                <w:sz w:val="24"/>
                <w:szCs w:val="24"/>
                <w:lang w:val="en-US"/>
              </w:rPr>
              <w:t>65915563</w:t>
            </w:r>
          </w:p>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邮箱：hnggzyzfcg@163.com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5"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2.5.1</w:t>
            </w:r>
          </w:p>
        </w:tc>
        <w:tc>
          <w:tcPr>
            <w:tcW w:w="7751" w:type="dxa"/>
            <w:noWrap w:val="0"/>
            <w:vAlign w:val="center"/>
          </w:tcPr>
          <w:p>
            <w:pPr>
              <w:spacing w:line="360" w:lineRule="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color w:val="auto"/>
                <w:sz w:val="24"/>
                <w:szCs w:val="24"/>
                <w:lang w:val="en-US" w:eastAsia="zh-CN"/>
              </w:rPr>
              <w:t>是否为专门面向中小企业采购：</w:t>
            </w:r>
            <w:r>
              <w:rPr>
                <w:rFonts w:hint="eastAsia" w:ascii="Times New Roman" w:hAnsi="Times New Roman" w:eastAsia="仿宋_GB2312" w:cs="Times New Roman"/>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2.5.2</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rPr>
              <w:t>是否</w:t>
            </w:r>
            <w:r>
              <w:rPr>
                <w:rFonts w:hint="default" w:ascii="Times New Roman" w:hAnsi="Times New Roman" w:eastAsia="仿宋_GB2312" w:cs="Times New Roman"/>
                <w:color w:val="auto"/>
                <w:sz w:val="24"/>
                <w:szCs w:val="24"/>
                <w:lang w:val="en-US" w:eastAsia="zh-CN"/>
              </w:rPr>
              <w:t>允许采购</w:t>
            </w:r>
            <w:r>
              <w:rPr>
                <w:rFonts w:hint="default" w:ascii="Times New Roman" w:hAnsi="Times New Roman" w:eastAsia="仿宋_GB2312" w:cs="Times New Roman"/>
                <w:color w:val="auto"/>
                <w:sz w:val="24"/>
                <w:szCs w:val="24"/>
                <w:lang w:val="en-US"/>
              </w:rPr>
              <w:t>进口产品：</w:t>
            </w:r>
            <w:r>
              <w:rPr>
                <w:rFonts w:hint="default" w:ascii="Times New Roman" w:hAnsi="Times New Roman" w:eastAsia="仿宋_GB2312" w:cs="Times New Roman"/>
                <w:b/>
                <w:bCs/>
                <w:color w:val="auto"/>
                <w:sz w:val="24"/>
                <w:szCs w:val="24"/>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90"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7751" w:type="dxa"/>
            <w:noWrap w:val="0"/>
            <w:vAlign w:val="center"/>
          </w:tcPr>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踏勘现场：</w:t>
            </w:r>
          </w:p>
          <w:p>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fldChar w:fldCharType="begin"/>
            </w:r>
            <w:r>
              <w:rPr>
                <w:rFonts w:hint="default" w:ascii="Times New Roman" w:hAnsi="Times New Roman" w:eastAsia="仿宋_GB2312" w:cs="Times New Roman"/>
                <w:b/>
                <w:bCs/>
                <w:sz w:val="24"/>
                <w:szCs w:val="24"/>
              </w:rPr>
              <w:instrText xml:space="preserve"> eq \o\ac(</w:instrText>
            </w:r>
            <w:r>
              <w:rPr>
                <w:rFonts w:hint="default" w:ascii="Times New Roman" w:hAnsi="Times New Roman" w:eastAsia="仿宋_GB2312" w:cs="Times New Roman"/>
                <w:b/>
                <w:bCs/>
                <w:position w:val="-4"/>
                <w:sz w:val="36"/>
                <w:szCs w:val="24"/>
              </w:rPr>
              <w:instrText xml:space="preserve">□</w:instrText>
            </w:r>
            <w:r>
              <w:rPr>
                <w:rFonts w:hint="default" w:ascii="Times New Roman" w:hAnsi="Times New Roman" w:eastAsia="仿宋_GB2312" w:cs="Times New Roman"/>
                <w:b/>
                <w:bCs/>
                <w:sz w:val="24"/>
                <w:szCs w:val="24"/>
              </w:rPr>
              <w:instrText xml:space="preserve">,√)</w:instrText>
            </w:r>
            <w:r>
              <w:rPr>
                <w:rFonts w:hint="default" w:ascii="Times New Roman" w:hAnsi="Times New Roman" w:eastAsia="仿宋_GB2312" w:cs="Times New Roman"/>
                <w:b/>
                <w:bCs/>
                <w:sz w:val="24"/>
                <w:szCs w:val="24"/>
              </w:rPr>
              <w:fldChar w:fldCharType="end"/>
            </w:r>
            <w:r>
              <w:rPr>
                <w:rFonts w:hint="default" w:ascii="Times New Roman" w:hAnsi="Times New Roman" w:eastAsia="仿宋_GB2312" w:cs="Times New Roman"/>
                <w:b/>
                <w:bCs/>
                <w:sz w:val="24"/>
                <w:szCs w:val="24"/>
              </w:rPr>
              <w:t>不组织</w:t>
            </w:r>
            <w:r>
              <w:rPr>
                <w:rFonts w:hint="default" w:ascii="Times New Roman" w:hAnsi="Times New Roman" w:eastAsia="仿宋_GB2312" w:cs="Times New Roman"/>
                <w:sz w:val="24"/>
                <w:szCs w:val="24"/>
              </w:rPr>
              <w:t>，投标人可自行对项目现场和周围环境进行踏勘，踏勘现场所发生的费用由投标人自己承担。出现事故，责任由投标人自行承担。</w:t>
            </w:r>
          </w:p>
          <w:p>
            <w:pPr>
              <w:spacing w:line="360" w:lineRule="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b/>
                <w:bCs/>
                <w:sz w:val="24"/>
                <w:szCs w:val="24"/>
              </w:rPr>
              <w:t>□组织</w:t>
            </w:r>
            <w:r>
              <w:rPr>
                <w:rFonts w:hint="default" w:ascii="Times New Roman" w:hAnsi="Times New Roman" w:eastAsia="仿宋_GB2312" w:cs="Times New Roman"/>
                <w:sz w:val="24"/>
                <w:szCs w:val="24"/>
              </w:rPr>
              <w:t>，踏勘时间：</w:t>
            </w:r>
            <w:r>
              <w:rPr>
                <w:rFonts w:hint="default" w:ascii="Times New Roman" w:hAnsi="Times New Roman" w:eastAsia="仿宋_GB2312" w:cs="Times New Roman"/>
                <w:sz w:val="24"/>
                <w:szCs w:val="24"/>
                <w:u w:val="single"/>
              </w:rPr>
              <w:t xml:space="preserve">  /  </w:t>
            </w:r>
          </w:p>
          <w:p>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踏勘集中地点：</w:t>
            </w:r>
            <w:r>
              <w:rPr>
                <w:rFonts w:hint="default" w:ascii="Times New Roman" w:hAnsi="Times New Roman" w:eastAsia="仿宋_GB2312" w:cs="Times New Roman"/>
                <w:sz w:val="24"/>
                <w:szCs w:val="24"/>
                <w:u w:val="single"/>
              </w:rPr>
              <w:t xml:space="preserve">  /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val="en" w:eastAsia="zh-CN"/>
              </w:rPr>
            </w:pPr>
            <w:r>
              <w:rPr>
                <w:rFonts w:hint="default" w:ascii="Times New Roman" w:hAnsi="Times New Roman" w:eastAsia="仿宋_GB2312" w:cs="Times New Roman"/>
                <w:sz w:val="24"/>
                <w:szCs w:val="24"/>
                <w:lang w:val="en" w:eastAsia="zh-CN"/>
              </w:rPr>
              <w:t>6.6</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是否允许联合体投标：</w:t>
            </w:r>
            <w:r>
              <w:rPr>
                <w:rFonts w:hint="default" w:ascii="Times New Roman" w:hAnsi="Times New Roman" w:eastAsia="仿宋_GB2312" w:cs="Times New Roman"/>
                <w:b/>
                <w:bCs/>
                <w:color w:val="auto"/>
                <w:sz w:val="24"/>
                <w:szCs w:val="24"/>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19"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16</w:t>
            </w:r>
          </w:p>
        </w:tc>
        <w:tc>
          <w:tcPr>
            <w:tcW w:w="7751" w:type="dxa"/>
            <w:noWrap w:val="0"/>
            <w:vAlign w:val="center"/>
          </w:tcPr>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color w:val="auto"/>
                <w:sz w:val="24"/>
                <w:szCs w:val="24"/>
                <w:lang w:val="en-US" w:eastAsia="zh-CN"/>
              </w:rPr>
              <w:t>如投标人对多个分包进行投标，按照分包顺序可以中标：</w:t>
            </w:r>
            <w:r>
              <w:rPr>
                <w:rFonts w:hint="default" w:ascii="Times New Roman" w:hAnsi="Times New Roman" w:eastAsia="仿宋_GB2312" w:cs="Times New Roman"/>
                <w:b/>
                <w:bCs/>
                <w:color w:val="auto"/>
                <w:sz w:val="24"/>
                <w:szCs w:val="24"/>
                <w:lang w:val="en-US" w:eastAsia="zh-CN"/>
              </w:rPr>
              <w:t>一个包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952" w:type="dxa"/>
            <w:noWrap w:val="0"/>
            <w:vAlign w:val="center"/>
          </w:tcPr>
          <w:p>
            <w:pPr>
              <w:spacing w:line="360" w:lineRule="auto"/>
              <w:jc w:val="center"/>
              <w:rPr>
                <w:rFonts w:hint="default" w:ascii="Times New Roman" w:hAnsi="Times New Roman" w:eastAsia="仿宋_GB2312" w:cs="Times New Roman"/>
                <w:strike/>
                <w:sz w:val="24"/>
                <w:szCs w:val="24"/>
                <w:highlight w:val="cyan"/>
              </w:rPr>
            </w:pPr>
            <w:r>
              <w:rPr>
                <w:rFonts w:hint="default" w:ascii="Times New Roman" w:hAnsi="Times New Roman" w:eastAsia="仿宋_GB2312" w:cs="Times New Roman"/>
                <w:sz w:val="24"/>
                <w:szCs w:val="24"/>
                <w:lang w:val="en-US" w:eastAsia="zh-CN"/>
              </w:rPr>
              <w:t>17.2</w:t>
            </w:r>
          </w:p>
        </w:tc>
        <w:tc>
          <w:tcPr>
            <w:tcW w:w="7751" w:type="dxa"/>
            <w:noWrap w:val="0"/>
            <w:vAlign w:val="center"/>
          </w:tcPr>
          <w:p>
            <w:pPr>
              <w:spacing w:line="360" w:lineRule="auto"/>
              <w:rPr>
                <w:rFonts w:hint="default" w:ascii="Times New Roman" w:hAnsi="Times New Roman" w:eastAsia="仿宋_GB2312" w:cs="Times New Roman"/>
                <w:strike/>
                <w:sz w:val="24"/>
                <w:szCs w:val="24"/>
                <w:highlight w:val="cyan"/>
              </w:rPr>
            </w:pPr>
            <w:r>
              <w:rPr>
                <w:rFonts w:hint="default" w:ascii="Times New Roman" w:hAnsi="Times New Roman" w:eastAsia="仿宋_GB2312" w:cs="Times New Roman"/>
                <w:sz w:val="24"/>
                <w:szCs w:val="24"/>
                <w:lang w:eastAsia="zh-CN"/>
              </w:rPr>
              <w:t>资格证明文件：须上传到“资格审查材料”中。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18.3</w:t>
            </w:r>
          </w:p>
        </w:tc>
        <w:tc>
          <w:tcPr>
            <w:tcW w:w="7751" w:type="dxa"/>
            <w:noWrap w:val="0"/>
            <w:vAlign w:val="center"/>
          </w:tcPr>
          <w:p>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投标报价：完成招标文件规定的服务范围的所有费用，包括本次</w:t>
            </w:r>
            <w:r>
              <w:rPr>
                <w:rFonts w:hint="default" w:ascii="Times New Roman" w:hAnsi="Times New Roman" w:eastAsia="仿宋_GB2312" w:cs="Times New Roman"/>
                <w:sz w:val="24"/>
                <w:szCs w:val="24"/>
                <w:lang w:eastAsia="zh-CN"/>
              </w:rPr>
              <w:t>采购</w:t>
            </w:r>
            <w:r>
              <w:rPr>
                <w:rFonts w:hint="default" w:ascii="Times New Roman" w:hAnsi="Times New Roman" w:eastAsia="仿宋_GB2312" w:cs="Times New Roman"/>
                <w:sz w:val="24"/>
                <w:szCs w:val="24"/>
              </w:rPr>
              <w:t>项目的所有成本、管理费、利润、税金、人员工资、加班费国家相关规定的保险费以及投标人按有关规定应在报价中考虑的费用等。</w:t>
            </w:r>
          </w:p>
          <w:p>
            <w:pPr>
              <w:spacing w:line="360" w:lineRule="auto"/>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kern w:val="0"/>
                <w:sz w:val="24"/>
                <w:szCs w:val="24"/>
                <w:lang w:eastAsia="zh-CN"/>
              </w:rPr>
              <w:t>（</w:t>
            </w:r>
            <w:r>
              <w:rPr>
                <w:rFonts w:hint="eastAsia" w:ascii="Times New Roman" w:hAnsi="Times New Roman" w:eastAsia="仿宋_GB2312" w:cs="Times New Roman"/>
                <w:bCs/>
                <w:kern w:val="0"/>
                <w:sz w:val="24"/>
                <w:szCs w:val="24"/>
                <w:lang w:val="en-US" w:eastAsia="zh-CN"/>
              </w:rPr>
              <w:t>2</w:t>
            </w:r>
            <w:r>
              <w:rPr>
                <w:rFonts w:hint="default" w:ascii="Times New Roman" w:hAnsi="Times New Roman" w:eastAsia="仿宋_GB2312" w:cs="Times New Roman"/>
                <w:bCs/>
                <w:kern w:val="0"/>
                <w:sz w:val="24"/>
                <w:szCs w:val="24"/>
                <w:lang w:eastAsia="zh-CN"/>
              </w:rPr>
              <w:t>）</w:t>
            </w:r>
            <w:r>
              <w:rPr>
                <w:rFonts w:hint="default" w:ascii="Times New Roman" w:hAnsi="Times New Roman" w:eastAsia="仿宋_GB2312" w:cs="Times New Roman"/>
                <w:bCs/>
                <w:sz w:val="24"/>
                <w:szCs w:val="24"/>
              </w:rPr>
              <w:t>投标报价超过</w:t>
            </w:r>
            <w:r>
              <w:rPr>
                <w:rFonts w:hint="default" w:ascii="Times New Roman" w:hAnsi="Times New Roman" w:eastAsia="仿宋_GB2312" w:cs="Times New Roman"/>
                <w:bCs/>
                <w:kern w:val="0"/>
                <w:sz w:val="24"/>
                <w:szCs w:val="24"/>
              </w:rPr>
              <w:t>最高限价</w:t>
            </w:r>
            <w:r>
              <w:rPr>
                <w:rFonts w:hint="default" w:ascii="Times New Roman" w:hAnsi="Times New Roman" w:eastAsia="仿宋_GB2312" w:cs="Times New Roman"/>
                <w:bCs/>
                <w:sz w:val="24"/>
                <w:szCs w:val="24"/>
              </w:rPr>
              <w:t>的按无效投标处理。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napToGrid w:val="0"/>
                <w:sz w:val="24"/>
                <w:szCs w:val="24"/>
              </w:rPr>
              <w:t>19</w:t>
            </w:r>
          </w:p>
        </w:tc>
        <w:tc>
          <w:tcPr>
            <w:tcW w:w="7751" w:type="dxa"/>
            <w:noWrap w:val="0"/>
            <w:vAlign w:val="center"/>
          </w:tcPr>
          <w:p>
            <w:pPr>
              <w:spacing w:line="360" w:lineRule="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投标货币：人民币。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39"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20</w:t>
            </w:r>
          </w:p>
        </w:tc>
        <w:tc>
          <w:tcPr>
            <w:tcW w:w="7751" w:type="dxa"/>
            <w:noWrap w:val="0"/>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投标人资格证明文件：</w:t>
            </w:r>
          </w:p>
          <w:p>
            <w:pPr>
              <w:tabs>
                <w:tab w:val="left" w:pos="5580"/>
              </w:tabs>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color w:val="auto"/>
                <w:kern w:val="0"/>
                <w:sz w:val="24"/>
                <w:szCs w:val="24"/>
              </w:rPr>
              <w:t>法人或者</w:t>
            </w:r>
            <w:r>
              <w:rPr>
                <w:rFonts w:hint="default" w:ascii="Times New Roman" w:hAnsi="Times New Roman" w:eastAsia="仿宋_GB2312" w:cs="Times New Roman"/>
                <w:color w:val="auto"/>
                <w:kern w:val="0"/>
                <w:sz w:val="24"/>
                <w:szCs w:val="24"/>
                <w:lang w:eastAsia="zh-CN"/>
              </w:rPr>
              <w:t>其他</w:t>
            </w:r>
            <w:r>
              <w:rPr>
                <w:rFonts w:hint="default" w:ascii="Times New Roman" w:hAnsi="Times New Roman" w:eastAsia="仿宋_GB2312" w:cs="Times New Roman"/>
                <w:color w:val="auto"/>
                <w:kern w:val="0"/>
                <w:sz w:val="24"/>
                <w:szCs w:val="24"/>
              </w:rPr>
              <w:t>组织的营业执照等证明文件或自然人的身份证明</w:t>
            </w:r>
            <w:r>
              <w:rPr>
                <w:rFonts w:hint="default" w:ascii="Times New Roman" w:hAnsi="Times New Roman" w:eastAsia="仿宋_GB2312" w:cs="Times New Roman"/>
                <w:sz w:val="24"/>
                <w:szCs w:val="24"/>
                <w:lang w:val="en-US" w:eastAsia="zh-CN"/>
              </w:rPr>
              <w:t>；</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（2）2021或</w:t>
            </w:r>
            <w:r>
              <w:rPr>
                <w:rFonts w:ascii="Times New Roman" w:hAnsi="Times New Roman" w:eastAsia="仿宋_GB2312" w:cs="Times New Roman"/>
                <w:sz w:val="24"/>
                <w:szCs w:val="24"/>
                <w:lang w:val="en-US" w:eastAsia="zh-CN"/>
              </w:rPr>
              <w:t>2022</w:t>
            </w:r>
            <w:r>
              <w:rPr>
                <w:rFonts w:hint="default" w:ascii="Times New Roman" w:hAnsi="Times New Roman" w:eastAsia="仿宋_GB2312" w:cs="Times New Roman"/>
                <w:sz w:val="24"/>
                <w:szCs w:val="24"/>
                <w:lang w:val="en-US" w:eastAsia="zh-CN"/>
              </w:rPr>
              <w:t>年度财务审计报告扫描件（要求注册会计师签字并加盖会计师印章；如截止到投标截止时间，投标人成立时间不足要求时限的，可提供银行资信证明材料）；</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color w:val="auto"/>
                <w:sz w:val="24"/>
                <w:szCs w:val="24"/>
                <w:lang w:val="en-US" w:eastAsia="zh-CN"/>
              </w:rPr>
              <w:t>依法缴纳税收和社会保障资金的相关材料（提供自2022年1月1日以来至少一个月的纳税证明和社保缴纳证明，依法免税或不需要缴纳社会保障资金的，应提供相应文件证明其依法免税或不需要缴纳）。</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（4）具备履行合同所必需的设备和专业技术能力的证明材料；</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color w:val="auto"/>
                <w:kern w:val="0"/>
                <w:sz w:val="24"/>
                <w:szCs w:val="24"/>
              </w:rPr>
              <w:t>参加政府采购活动前</w:t>
            </w:r>
            <w:r>
              <w:rPr>
                <w:rFonts w:hint="default" w:ascii="Times New Roman" w:hAnsi="Times New Roman" w:eastAsia="仿宋_GB2312" w:cs="Times New Roman"/>
                <w:color w:val="auto"/>
                <w:kern w:val="0"/>
                <w:sz w:val="24"/>
                <w:szCs w:val="24"/>
                <w:lang w:val="en-US"/>
              </w:rPr>
              <w:t>3</w:t>
            </w:r>
            <w:r>
              <w:rPr>
                <w:rFonts w:hint="default" w:ascii="Times New Roman" w:hAnsi="Times New Roman" w:eastAsia="仿宋_GB2312" w:cs="Times New Roman"/>
                <w:color w:val="auto"/>
                <w:kern w:val="0"/>
                <w:sz w:val="24"/>
                <w:szCs w:val="24"/>
              </w:rPr>
              <w:t>年内在经营活动中没有重大违法记录</w:t>
            </w:r>
            <w:r>
              <w:rPr>
                <w:rFonts w:hint="default" w:ascii="Times New Roman" w:hAnsi="Times New Roman" w:eastAsia="仿宋_GB2312" w:cs="Times New Roman"/>
                <w:color w:val="auto"/>
                <w:kern w:val="0"/>
                <w:sz w:val="24"/>
                <w:szCs w:val="24"/>
                <w:lang w:eastAsia="zh-CN"/>
              </w:rPr>
              <w:t>的书面</w:t>
            </w:r>
            <w:r>
              <w:rPr>
                <w:rFonts w:hint="default" w:ascii="Times New Roman" w:hAnsi="Times New Roman" w:eastAsia="仿宋_GB2312" w:cs="Times New Roman"/>
                <w:sz w:val="24"/>
                <w:szCs w:val="24"/>
                <w:lang w:val="en-US" w:eastAsia="zh-CN"/>
              </w:rPr>
              <w:t>声明。</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（以上要求中，如有投标人成立时限不足要求时限的，由投标人根据自身成立时间提供证明资料。）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.1</w:t>
            </w:r>
          </w:p>
        </w:tc>
        <w:tc>
          <w:tcPr>
            <w:tcW w:w="7751" w:type="dxa"/>
            <w:noWrap w:val="0"/>
            <w:vAlign w:val="center"/>
          </w:tcPr>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投标有效期：从投标截止之日起60</w:t>
            </w:r>
            <w:r>
              <w:rPr>
                <w:rFonts w:hint="default" w:ascii="Times New Roman" w:hAnsi="Times New Roman" w:eastAsia="仿宋_GB2312" w:cs="Times New Roman"/>
                <w:sz w:val="24"/>
                <w:szCs w:val="24"/>
                <w:lang w:eastAsia="zh-CN"/>
              </w:rPr>
              <w:t>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.1</w:t>
            </w:r>
          </w:p>
        </w:tc>
        <w:tc>
          <w:tcPr>
            <w:tcW w:w="7751" w:type="dxa"/>
            <w:noWrap w:val="0"/>
            <w:vAlign w:val="center"/>
          </w:tcPr>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加密电子投标文件的上传：加密电子投标文件须在投标截止时间前通过“河南省公共资源交易中心（http://www.hnggzy.net）”电子交易平台加密上传。逾期上传的投标文件，采购人不予受理。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.1</w:t>
            </w:r>
          </w:p>
        </w:tc>
        <w:tc>
          <w:tcPr>
            <w:tcW w:w="7751" w:type="dxa"/>
            <w:noWrap w:val="0"/>
            <w:vAlign w:val="center"/>
          </w:tcPr>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投标截止时间：</w:t>
            </w:r>
            <w:r>
              <w:rPr>
                <w:rFonts w:hint="default" w:ascii="Times New Roman" w:hAnsi="Times New Roman" w:eastAsia="仿宋_GB2312" w:cs="Times New Roman"/>
                <w:sz w:val="24"/>
                <w:szCs w:val="24"/>
                <w:lang w:eastAsia="zh-CN"/>
              </w:rPr>
              <w:t>详见“第一章 投标邀请”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77"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.1</w:t>
            </w:r>
          </w:p>
        </w:tc>
        <w:tc>
          <w:tcPr>
            <w:tcW w:w="7751" w:type="dxa"/>
            <w:noWrap w:val="0"/>
            <w:vAlign w:val="center"/>
          </w:tcPr>
          <w:p>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.2</w:t>
            </w:r>
          </w:p>
        </w:tc>
        <w:tc>
          <w:tcPr>
            <w:tcW w:w="7751" w:type="dxa"/>
            <w:noWrap w:val="0"/>
            <w:vAlign w:val="center"/>
          </w:tcPr>
          <w:p>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远程开标大厅网址：河南省公共资源交易中心 （http://www.hnggzy.net）——不见面开标大厅。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.3</w:t>
            </w:r>
          </w:p>
        </w:tc>
        <w:tc>
          <w:tcPr>
            <w:tcW w:w="7751" w:type="dxa"/>
            <w:noWrap w:val="0"/>
            <w:vAlign w:val="center"/>
          </w:tcPr>
          <w:p>
            <w:pPr>
              <w:widowControl w:val="0"/>
              <w:spacing w:line="360" w:lineRule="auto"/>
              <w:rPr>
                <w:rFonts w:hint="default" w:ascii="Times New Roman" w:hAnsi="Times New Roman" w:eastAsia="仿宋_GB2312" w:cs="Times New Roman"/>
                <w:color w:val="auto"/>
                <w:sz w:val="24"/>
                <w:szCs w:val="24"/>
                <w:u w:val="single"/>
                <w:lang w:val="en-US" w:eastAsia="zh-CN"/>
              </w:rPr>
            </w:pPr>
            <w:r>
              <w:rPr>
                <w:rFonts w:hint="default" w:ascii="Times New Roman" w:hAnsi="Times New Roman" w:eastAsia="仿宋_GB2312" w:cs="Times New Roman"/>
                <w:color w:val="auto"/>
                <w:sz w:val="24"/>
                <w:szCs w:val="24"/>
                <w:lang w:val="en-US" w:eastAsia="zh-CN"/>
              </w:rPr>
              <w:t>开标时间：详见“第一章 投标邀请”</w:t>
            </w:r>
          </w:p>
          <w:p>
            <w:pPr>
              <w:spacing w:line="360" w:lineRule="auto"/>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color w:val="auto"/>
                <w:sz w:val="24"/>
                <w:szCs w:val="24"/>
                <w:lang w:val="en-US" w:eastAsia="zh-CN"/>
              </w:rPr>
              <w:t>开标地点：</w:t>
            </w:r>
            <w:r>
              <w:rPr>
                <w:rFonts w:hint="default" w:ascii="Times New Roman" w:hAnsi="Times New Roman" w:eastAsia="仿宋_GB2312" w:cs="Times New Roman"/>
                <w:sz w:val="24"/>
                <w:szCs w:val="24"/>
                <w:lang w:eastAsia="zh-CN"/>
              </w:rPr>
              <w:t>详见“第一章 投标邀请”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31</w:t>
            </w:r>
            <w:r>
              <w:rPr>
                <w:rFonts w:hint="default" w:ascii="Times New Roman" w:hAnsi="Times New Roman" w:eastAsia="仿宋_GB2312" w:cs="Times New Roman"/>
                <w:sz w:val="24"/>
                <w:szCs w:val="24"/>
              </w:rPr>
              <w:t>.3</w:t>
            </w:r>
          </w:p>
        </w:tc>
        <w:tc>
          <w:tcPr>
            <w:tcW w:w="7751" w:type="dxa"/>
            <w:noWrap w:val="0"/>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采购人依据以下标准对投标人的资格进行审查，有一项不符合审查标准的，该投标人资格为不合格。</w:t>
            </w:r>
          </w:p>
          <w:p>
            <w:pPr>
              <w:tabs>
                <w:tab w:val="left" w:pos="5580"/>
              </w:tabs>
              <w:spacing w:line="360" w:lineRule="auto"/>
              <w:rPr>
                <w:rFonts w:hint="default" w:ascii="Times New Roman" w:hAnsi="Times New Roman" w:eastAsia="仿宋_GB2312" w:cs="Times New Roman"/>
                <w:sz w:val="24"/>
                <w:szCs w:val="24"/>
                <w:lang w:val="en" w:eastAsia="zh-CN"/>
              </w:rPr>
            </w:pPr>
            <w:r>
              <w:rPr>
                <w:rFonts w:hint="default" w:ascii="Times New Roman" w:hAnsi="Times New Roman" w:eastAsia="仿宋_GB2312" w:cs="Times New Roman"/>
                <w:sz w:val="24"/>
                <w:szCs w:val="24"/>
                <w:lang w:val="en" w:eastAsia="zh-CN"/>
              </w:rPr>
              <w:t>（1）法人</w:t>
            </w:r>
            <w:r>
              <w:rPr>
                <w:rFonts w:hint="default" w:ascii="Times New Roman" w:hAnsi="Times New Roman" w:eastAsia="仿宋_GB2312" w:cs="Times New Roman"/>
                <w:color w:val="auto"/>
                <w:kern w:val="0"/>
                <w:sz w:val="24"/>
                <w:szCs w:val="24"/>
              </w:rPr>
              <w:t>或者</w:t>
            </w:r>
            <w:r>
              <w:rPr>
                <w:rFonts w:hint="default" w:ascii="Times New Roman" w:hAnsi="Times New Roman" w:eastAsia="仿宋_GB2312" w:cs="Times New Roman"/>
                <w:color w:val="auto"/>
                <w:kern w:val="0"/>
                <w:sz w:val="24"/>
                <w:szCs w:val="24"/>
                <w:lang w:eastAsia="zh-CN"/>
              </w:rPr>
              <w:t>其他</w:t>
            </w:r>
            <w:r>
              <w:rPr>
                <w:rFonts w:hint="default" w:ascii="Times New Roman" w:hAnsi="Times New Roman" w:eastAsia="仿宋_GB2312" w:cs="Times New Roman"/>
                <w:color w:val="auto"/>
                <w:kern w:val="0"/>
                <w:sz w:val="24"/>
                <w:szCs w:val="24"/>
              </w:rPr>
              <w:t>组织的营业执照等证明文件或自然人的身份证明</w:t>
            </w:r>
            <w:r>
              <w:rPr>
                <w:rFonts w:hint="default" w:ascii="Times New Roman" w:hAnsi="Times New Roman" w:eastAsia="仿宋_GB2312" w:cs="Times New Roman"/>
                <w:color w:val="auto"/>
                <w:kern w:val="0"/>
                <w:sz w:val="24"/>
                <w:szCs w:val="24"/>
                <w:lang w:eastAsia="zh-CN"/>
              </w:rPr>
              <w:t>符合招标文件规定</w:t>
            </w:r>
            <w:r>
              <w:rPr>
                <w:rFonts w:hint="default" w:ascii="Times New Roman" w:hAnsi="Times New Roman" w:eastAsia="仿宋_GB2312" w:cs="Times New Roman"/>
                <w:color w:val="auto"/>
                <w:kern w:val="0"/>
                <w:sz w:val="24"/>
                <w:szCs w:val="24"/>
                <w:lang w:val="en"/>
              </w:rPr>
              <w:t>；</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（2）财务审计报告（</w:t>
            </w:r>
            <w:r>
              <w:rPr>
                <w:rFonts w:hint="default" w:ascii="Times New Roman" w:hAnsi="Times New Roman" w:eastAsia="仿宋_GB2312" w:cs="Times New Roman"/>
                <w:sz w:val="24"/>
                <w:szCs w:val="24"/>
              </w:rPr>
              <w:t>2021或</w:t>
            </w:r>
            <w:r>
              <w:rPr>
                <w:rFonts w:ascii="Times New Roman" w:hAnsi="Times New Roman" w:eastAsia="仿宋_GB2312" w:cs="Times New Roman"/>
                <w:sz w:val="24"/>
                <w:szCs w:val="24"/>
                <w:lang w:eastAsia="zh-CN"/>
              </w:rPr>
              <w:t>2022</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highlight w:val="none"/>
                <w:lang w:val="en-US" w:eastAsia="zh-CN"/>
              </w:rPr>
              <w:t>等材料</w:t>
            </w:r>
            <w:r>
              <w:rPr>
                <w:rFonts w:hint="default" w:ascii="Times New Roman" w:hAnsi="Times New Roman" w:eastAsia="仿宋_GB2312" w:cs="Times New Roman"/>
                <w:sz w:val="24"/>
                <w:szCs w:val="24"/>
                <w:lang w:val="en-US" w:eastAsia="zh-CN"/>
              </w:rPr>
              <w:t>符合招标文件规定；</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（3）依法缴纳税收和依法缴纳社会保障资金的证明材料符合招标文件规定（自2022年1月1日以来至少一个月）；</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（4）具备履行合同所必需的设备和专业技术能力；</w:t>
            </w:r>
          </w:p>
          <w:p>
            <w:pPr>
              <w:spacing w:line="360" w:lineRule="auto"/>
              <w:rPr>
                <w:rFonts w:hint="default" w:ascii="Times New Roman" w:hAnsi="Times New Roman" w:eastAsia="仿宋_GB2312" w:cs="Times New Roman"/>
                <w:sz w:val="24"/>
                <w:szCs w:val="24"/>
                <w:lang w:val="en" w:eastAsia="zh-CN"/>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color w:val="auto"/>
                <w:kern w:val="0"/>
                <w:sz w:val="24"/>
                <w:szCs w:val="24"/>
              </w:rPr>
              <w:t>参加政府采购活动前</w:t>
            </w:r>
            <w:r>
              <w:rPr>
                <w:rFonts w:hint="default" w:ascii="Times New Roman" w:hAnsi="Times New Roman" w:eastAsia="仿宋_GB2312" w:cs="Times New Roman"/>
                <w:color w:val="auto"/>
                <w:kern w:val="0"/>
                <w:sz w:val="24"/>
                <w:szCs w:val="24"/>
                <w:lang w:val="en-US"/>
              </w:rPr>
              <w:t>3</w:t>
            </w:r>
            <w:r>
              <w:rPr>
                <w:rFonts w:hint="default" w:ascii="Times New Roman" w:hAnsi="Times New Roman" w:eastAsia="仿宋_GB2312" w:cs="Times New Roman"/>
                <w:color w:val="auto"/>
                <w:kern w:val="0"/>
                <w:sz w:val="24"/>
                <w:szCs w:val="24"/>
              </w:rPr>
              <w:t>年内在经营活动中没有重大违法记录</w:t>
            </w:r>
            <w:r>
              <w:rPr>
                <w:rFonts w:hint="default" w:ascii="Times New Roman" w:hAnsi="Times New Roman" w:eastAsia="仿宋_GB2312" w:cs="Times New Roman"/>
                <w:sz w:val="24"/>
                <w:szCs w:val="24"/>
                <w:lang w:val="en-US" w:eastAsia="zh-CN"/>
              </w:rPr>
              <w:t>声明符合招标文件规定</w:t>
            </w:r>
            <w:r>
              <w:rPr>
                <w:rFonts w:hint="default" w:ascii="Times New Roman" w:hAnsi="Times New Roman" w:eastAsia="仿宋_GB2312" w:cs="Times New Roman"/>
                <w:sz w:val="24"/>
                <w:szCs w:val="24"/>
                <w:lang w:val="en" w:eastAsia="zh-CN"/>
              </w:rPr>
              <w:t>;</w:t>
            </w:r>
          </w:p>
          <w:p>
            <w:pPr>
              <w:spacing w:line="360" w:lineRule="auto"/>
              <w:rPr>
                <w:rFonts w:hint="default" w:ascii="Times New Roman" w:hAnsi="Times New Roman" w:cs="Times New Roman"/>
                <w:sz w:val="24"/>
                <w:szCs w:val="24"/>
              </w:rPr>
            </w:pPr>
            <w:r>
              <w:rPr>
                <w:rFonts w:hint="default" w:ascii="Times New Roman" w:hAnsi="Times New Roman" w:eastAsia="仿宋_GB2312" w:cs="Times New Roman"/>
                <w:sz w:val="24"/>
                <w:szCs w:val="24"/>
                <w:lang w:val="en-US" w:eastAsia="zh-CN"/>
              </w:rPr>
              <w:t>（6）信用查询记录符合招标文件规定</w:t>
            </w:r>
            <w:r>
              <w:rPr>
                <w:rFonts w:hint="default" w:ascii="Times New Roman" w:hAnsi="Times New Roman" w:eastAsia="仿宋_GB2312" w:cs="Times New Roman"/>
                <w:sz w:val="24"/>
                <w:szCs w:val="24"/>
                <w:lang w:val="en"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.4</w:t>
            </w:r>
          </w:p>
        </w:tc>
        <w:tc>
          <w:tcPr>
            <w:tcW w:w="7751" w:type="dxa"/>
            <w:noWrap w:val="0"/>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信用记录:</w:t>
            </w:r>
            <w:r>
              <w:rPr>
                <w:rFonts w:hint="default" w:ascii="Times New Roman" w:hAnsi="Times New Roman" w:eastAsia="仿宋_GB2312" w:cs="Times New Roman"/>
                <w:sz w:val="24"/>
                <w:szCs w:val="24"/>
                <w:lang w:val="en-US" w:eastAsia="zh-CN"/>
              </w:rPr>
              <w:t>根据《关于在政府采购活动中查询及使用信用记录有关问题的通知》(财库〔2016〕125号)文的要求，采购人将在投标截止时间后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查询及记录方式：</w:t>
            </w:r>
            <w:r>
              <w:rPr>
                <w:rFonts w:hint="default" w:ascii="Times New Roman" w:hAnsi="Times New Roman" w:eastAsia="仿宋_GB2312" w:cs="Times New Roman"/>
                <w:sz w:val="24"/>
                <w:szCs w:val="24"/>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.1</w:t>
            </w:r>
          </w:p>
        </w:tc>
        <w:tc>
          <w:tcPr>
            <w:tcW w:w="7751" w:type="dxa"/>
            <w:noWrap w:val="0"/>
            <w:vAlign w:val="center"/>
          </w:tcPr>
          <w:p>
            <w:pPr>
              <w:spacing w:line="360" w:lineRule="auto"/>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评标委员会负责具体评标事务。评标委员会由采购人代表和评审专家组成，成员人数应当为</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人，其中评审专家不得少于成员总数的三分之二。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35.4</w:t>
            </w:r>
          </w:p>
        </w:tc>
        <w:tc>
          <w:tcPr>
            <w:tcW w:w="7751" w:type="dxa"/>
            <w:noWrap w:val="0"/>
            <w:vAlign w:val="center"/>
          </w:tcPr>
          <w:p>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节能环保政策</w:t>
            </w:r>
          </w:p>
          <w:p>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（1）本项目若含有节能产品政府采购品目清单内政府强制采购产品，投标人须选用国家确定的认证机构认证的处于有效期之内的政府强制采购节能产品。</w:t>
            </w:r>
          </w:p>
          <w:p>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本项目若含有节能产品、环境标志产品政府采购品目清单内政府优先采购产品，对选用国家公布的认证机构认证的处于有效期之内的政府优先采购节能产品（政府强制采购产品除外）、环境标志产品的，在评标时予以优先采购。</w:t>
            </w:r>
          </w:p>
          <w:p>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（3）投标人应提供国家确定的认证机构出具的处于有效期之内的节能产品、环境标志产品认证证书。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val="en-US"/>
              </w:rPr>
            </w:pPr>
            <w:r>
              <w:rPr>
                <w:rFonts w:ascii="Times New Roman" w:hAnsi="Times New Roman" w:eastAsia="仿宋_GB2312" w:cs="Times New Roman"/>
                <w:sz w:val="24"/>
                <w:szCs w:val="24"/>
                <w:lang w:val="en-US" w:eastAsia="zh-CN"/>
              </w:rPr>
              <w:t>35.</w:t>
            </w:r>
            <w:r>
              <w:rPr>
                <w:rFonts w:hint="eastAsia" w:ascii="Times New Roman" w:hAnsi="Times New Roman" w:eastAsia="仿宋_GB2312" w:cs="Times New Roman"/>
                <w:sz w:val="24"/>
                <w:szCs w:val="24"/>
                <w:lang w:val="en-US" w:eastAsia="zh-CN"/>
              </w:rPr>
              <w:t>5</w:t>
            </w:r>
          </w:p>
        </w:tc>
        <w:tc>
          <w:tcPr>
            <w:tcW w:w="7751" w:type="dxa"/>
            <w:noWrap w:val="0"/>
            <w:vAlign w:val="center"/>
          </w:tcPr>
          <w:p>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投标人承诺商品包装符合《商品包装政府采购需求标准（试行）》，快递包装符合《快递包装政府采购需求标准（试行）》</w:t>
            </w:r>
            <w:r>
              <w:rPr>
                <w:rFonts w:ascii="Times New Roman" w:hAnsi="Times New Roman" w:eastAsia="仿宋_GB2312" w:cs="Times New Roman"/>
                <w:sz w:val="24"/>
                <w:szCs w:val="24"/>
                <w:lang w:eastAsia="zh-CN"/>
              </w:rPr>
              <w:t>的，在评标时优先采购。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2"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.1</w:t>
            </w:r>
          </w:p>
        </w:tc>
        <w:tc>
          <w:tcPr>
            <w:tcW w:w="7751" w:type="dxa"/>
            <w:noWrap w:val="0"/>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小微企业扶持：</w:t>
            </w:r>
            <w:r>
              <w:rPr>
                <w:rFonts w:hint="default" w:ascii="Times New Roman" w:hAnsi="Times New Roman" w:eastAsia="仿宋_GB2312" w:cs="Times New Roman"/>
                <w:sz w:val="24"/>
                <w:szCs w:val="24"/>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第五章 投标文件格式）进行。</w:t>
            </w:r>
          </w:p>
          <w:p>
            <w:pPr>
              <w:spacing w:line="360" w:lineRule="auto"/>
              <w:rPr>
                <w:rFonts w:hint="default" w:ascii="Times New Roman" w:hAnsi="Times New Roman" w:cs="Times New Roman"/>
                <w:sz w:val="24"/>
                <w:szCs w:val="24"/>
                <w:lang w:val="en-US" w:eastAsia="zh-CN"/>
              </w:rPr>
            </w:pPr>
            <w:r>
              <w:rPr>
                <w:rFonts w:hint="default" w:ascii="Times New Roman" w:hAnsi="Times New Roman" w:eastAsia="仿宋_GB2312" w:cs="Times New Roman"/>
                <w:sz w:val="24"/>
                <w:szCs w:val="24"/>
                <w:lang w:val="en-US" w:eastAsia="zh-CN"/>
              </w:rPr>
              <w:t>本采购项目所属行业：</w:t>
            </w:r>
            <w:r>
              <w:rPr>
                <w:rFonts w:hint="default" w:ascii="Times New Roman" w:hAnsi="Times New Roman" w:eastAsia="仿宋_GB2312" w:cs="Times New Roman"/>
                <w:b/>
                <w:bCs/>
                <w:sz w:val="24"/>
                <w:szCs w:val="24"/>
                <w:u w:val="single"/>
                <w:lang w:val="en-US" w:eastAsia="zh-CN"/>
              </w:rPr>
              <w:t>软件和信息技术服务业</w:t>
            </w:r>
            <w:r>
              <w:rPr>
                <w:rFonts w:hint="default" w:ascii="Times New Roman" w:hAnsi="Times New Roman" w:eastAsia="仿宋_GB2312" w:cs="Times New Roman"/>
                <w:b/>
                <w:bCs/>
                <w:sz w:val="24"/>
                <w:szCs w:val="24"/>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1</w:t>
            </w:r>
          </w:p>
        </w:tc>
        <w:tc>
          <w:tcPr>
            <w:tcW w:w="7751" w:type="dxa"/>
            <w:noWrap w:val="0"/>
            <w:vAlign w:val="center"/>
          </w:tcPr>
          <w:p>
            <w:pPr>
              <w:spacing w:line="360" w:lineRule="auto"/>
              <w:jc w:val="left"/>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评标方法：综合评分法。</w:t>
            </w:r>
          </w:p>
          <w:p>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评标委员会对满足招标文件全部实质性要求的投标文件，按照招标文件规定的评审因素的量化指标进行评审打分，以评审得分从高到低顺序确定中标候选人。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38</w:t>
            </w:r>
          </w:p>
        </w:tc>
        <w:tc>
          <w:tcPr>
            <w:tcW w:w="7751" w:type="dxa"/>
            <w:noWrap w:val="0"/>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（1）根据评审后得分由高到低的顺序推荐3名中标候选人；</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（2）评审得分相同的，按投标报价由低到高顺序推荐排列；评审得分且投标报价相同的并列。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41.1</w:t>
            </w:r>
          </w:p>
        </w:tc>
        <w:tc>
          <w:tcPr>
            <w:tcW w:w="7751" w:type="dxa"/>
            <w:noWrap w:val="0"/>
            <w:vAlign w:val="center"/>
          </w:tcPr>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中标结果公告媒介：《河南省政府采购网》《河南省公共资源交易中心网》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471"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4</w:t>
            </w:r>
            <w:r>
              <w:rPr>
                <w:rFonts w:hint="default" w:ascii="Times New Roman" w:hAnsi="Times New Roman" w:eastAsia="仿宋_GB2312" w:cs="Times New Roman"/>
                <w:sz w:val="24"/>
                <w:szCs w:val="24"/>
                <w:lang w:val="en-US" w:eastAsia="zh-CN"/>
              </w:rPr>
              <w:t>4</w:t>
            </w:r>
          </w:p>
        </w:tc>
        <w:tc>
          <w:tcPr>
            <w:tcW w:w="7751" w:type="dxa"/>
            <w:noWrap w:val="0"/>
            <w:vAlign w:val="center"/>
          </w:tcPr>
          <w:p>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w:t>
            </w:r>
            <w:r>
              <w:rPr>
                <w:rFonts w:hint="default" w:ascii="Times New Roman" w:hAnsi="Times New Roman" w:eastAsia="仿宋_GB2312" w:cs="Times New Roman"/>
                <w:sz w:val="24"/>
                <w:szCs w:val="24"/>
                <w:lang w:eastAsia="zh-CN"/>
              </w:rPr>
              <w:t>调整</w:t>
            </w:r>
            <w:r>
              <w:rPr>
                <w:rFonts w:hint="default" w:ascii="Times New Roman" w:hAnsi="Times New Roman" w:eastAsia="仿宋_GB2312" w:cs="Times New Roman"/>
                <w:sz w:val="24"/>
                <w:szCs w:val="24"/>
              </w:rPr>
              <w:t>范围：采购人需追加与合同标的相同的服务的，在不改变合同其它条款的前提下，可以与</w:t>
            </w:r>
            <w:r>
              <w:rPr>
                <w:rFonts w:hint="default" w:ascii="Times New Roman" w:hAnsi="Times New Roman" w:eastAsia="仿宋_GB2312" w:cs="Times New Roman"/>
                <w:sz w:val="24"/>
                <w:szCs w:val="24"/>
                <w:lang w:eastAsia="zh-CN"/>
              </w:rPr>
              <w:t>投标人</w:t>
            </w:r>
            <w:r>
              <w:rPr>
                <w:rFonts w:hint="default" w:ascii="Times New Roman" w:hAnsi="Times New Roman" w:eastAsia="仿宋_GB2312" w:cs="Times New Roman"/>
                <w:sz w:val="24"/>
                <w:szCs w:val="24"/>
              </w:rPr>
              <w:t>签订补充合同，但所有补充合同的采购金额不得超过原合同金额的百分之十。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7"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48</w:t>
            </w:r>
          </w:p>
        </w:tc>
        <w:tc>
          <w:tcPr>
            <w:tcW w:w="7751" w:type="dxa"/>
            <w:noWrap w:val="0"/>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招标代理费</w:t>
            </w:r>
            <w:r>
              <w:rPr>
                <w:rFonts w:hint="default" w:ascii="Times New Roman" w:hAnsi="Times New Roman" w:eastAsia="仿宋_GB2312" w:cs="Times New Roman"/>
                <w:sz w:val="24"/>
                <w:szCs w:val="24"/>
              </w:rPr>
              <w:t>：免费。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58"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49.2</w:t>
            </w:r>
          </w:p>
        </w:tc>
        <w:tc>
          <w:tcPr>
            <w:tcW w:w="7751" w:type="dxa"/>
            <w:noWrap w:val="0"/>
            <w:vAlign w:val="center"/>
          </w:tcPr>
          <w:p>
            <w:pPr>
              <w:spacing w:line="360" w:lineRule="auto"/>
              <w:rPr>
                <w:rFonts w:hint="default" w:ascii="Times New Roman" w:hAnsi="Times New Roman" w:cs="Times New Roman"/>
                <w:sz w:val="24"/>
                <w:szCs w:val="24"/>
              </w:rPr>
            </w:pPr>
            <w:r>
              <w:rPr>
                <w:rFonts w:hint="default" w:ascii="Times New Roman" w:hAnsi="Times New Roman" w:eastAsia="仿宋_GB2312" w:cs="Times New Roman"/>
                <w:sz w:val="24"/>
                <w:szCs w:val="24"/>
                <w:lang w:val="en-US" w:eastAsia="zh-CN"/>
              </w:rPr>
              <w:t>投标人应在法定质疑期内针对同一采购程序环节的质疑次数：一次。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val="en-US" w:eastAsia="zh-CN"/>
              </w:rPr>
            </w:pPr>
          </w:p>
        </w:tc>
        <w:tc>
          <w:tcPr>
            <w:tcW w:w="7751" w:type="dxa"/>
            <w:noWrap w:val="0"/>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65"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val="en" w:eastAsia="zh-CN"/>
              </w:rPr>
            </w:pPr>
            <w:r>
              <w:rPr>
                <w:rFonts w:hint="default" w:ascii="Times New Roman" w:hAnsi="Times New Roman" w:eastAsia="仿宋_GB2312" w:cs="Times New Roman"/>
                <w:sz w:val="24"/>
                <w:szCs w:val="24"/>
                <w:lang w:val="en-US" w:eastAsia="zh-CN"/>
              </w:rPr>
              <w:t>50</w:t>
            </w:r>
            <w:r>
              <w:rPr>
                <w:rFonts w:hint="default" w:ascii="Times New Roman" w:hAnsi="Times New Roman" w:eastAsia="仿宋_GB2312" w:cs="Times New Roman"/>
                <w:sz w:val="24"/>
                <w:szCs w:val="24"/>
                <w:lang w:val="en" w:eastAsia="zh-CN"/>
              </w:rPr>
              <w:t>.1</w:t>
            </w:r>
          </w:p>
        </w:tc>
        <w:tc>
          <w:tcPr>
            <w:tcW w:w="7751" w:type="dxa"/>
            <w:noWrap w:val="0"/>
            <w:vAlign w:val="center"/>
          </w:tcPr>
          <w:p>
            <w:pPr>
              <w:spacing w:line="440" w:lineRule="exact"/>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b/>
                <w:bCs/>
                <w:color w:val="auto"/>
                <w:sz w:val="24"/>
                <w:szCs w:val="24"/>
              </w:rPr>
              <w:t>付款方法和条件：</w:t>
            </w:r>
          </w:p>
          <w:p>
            <w:pPr>
              <w:spacing w:line="440" w:lineRule="exact"/>
              <w:rPr>
                <w:rFonts w:hint="default" w:ascii="Times New Roman" w:hAnsi="Times New Roman" w:eastAsia="仿宋_GB2312" w:cs="Times New Roman"/>
                <w:color w:val="auto"/>
                <w:sz w:val="24"/>
                <w:szCs w:val="24"/>
              </w:rPr>
            </w:pPr>
            <w:r>
              <w:rPr>
                <w:rFonts w:ascii="Times New Roman" w:hAnsi="Times New Roman" w:eastAsia="仿宋_GB2312" w:cs="Times New Roman"/>
                <w:b/>
                <w:bCs/>
                <w:color w:val="auto"/>
                <w:sz w:val="24"/>
                <w:szCs w:val="24"/>
                <w:lang w:val="en-US" w:eastAsia="zh-CN"/>
              </w:rPr>
              <w:t>1、</w:t>
            </w:r>
            <w:r>
              <w:rPr>
                <w:rFonts w:hint="default" w:ascii="Times New Roman" w:hAnsi="Times New Roman" w:eastAsia="仿宋_GB2312" w:cs="Times New Roman"/>
                <w:b/>
                <w:bCs/>
                <w:color w:val="auto"/>
                <w:sz w:val="24"/>
                <w:szCs w:val="24"/>
              </w:rPr>
              <w:t>支付方式：</w:t>
            </w:r>
            <w:r>
              <w:rPr>
                <w:rFonts w:hint="default" w:ascii="Times New Roman" w:hAnsi="Times New Roman" w:eastAsia="仿宋_GB2312" w:cs="Times New Roman"/>
                <w:color w:val="auto"/>
                <w:sz w:val="24"/>
                <w:szCs w:val="24"/>
              </w:rPr>
              <w:t>第一阶段：签订合同并开工15日历天内，甲方向乙方支付合同总额的30%；第二阶段：系统软硬件部署完成后15日历天内，甲方向乙方支付合同总额的30%；第三阶段：项目验收合格15日历天内，甲方向乙方支付合同总额的40%。</w:t>
            </w:r>
          </w:p>
          <w:p>
            <w:pPr>
              <w:spacing w:line="44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备注：系统软硬件部署完成是指本系统采购除定制开发外的软硬件设备全部部署完成；项目验收合格是指软件上线运行</w:t>
            </w:r>
            <w:r>
              <w:rPr>
                <w:rFonts w:ascii="Times New Roman" w:hAnsi="Times New Roman" w:eastAsia="仿宋_GB2312" w:cs="Times New Roman"/>
                <w:color w:val="auto"/>
                <w:sz w:val="24"/>
                <w:szCs w:val="24"/>
              </w:rPr>
              <w:t>三个月以上且</w:t>
            </w:r>
            <w:r>
              <w:rPr>
                <w:rFonts w:hint="default" w:ascii="Times New Roman" w:hAnsi="Times New Roman" w:eastAsia="仿宋_GB2312" w:cs="Times New Roman"/>
                <w:color w:val="auto"/>
                <w:sz w:val="24"/>
                <w:szCs w:val="24"/>
              </w:rPr>
              <w:t>医院电子病历四级评审通过；在每次支付费用前，乙方需提前7个日历天向甲方提供发票，否则甲方有权拒绝或延迟付款而不承担违约责任。</w:t>
            </w:r>
          </w:p>
          <w:p>
            <w:pPr>
              <w:spacing w:line="440" w:lineRule="exact"/>
              <w:rPr>
                <w:rFonts w:hint="default" w:ascii="Times New Roman" w:hAnsi="Times New Roman" w:eastAsia="仿宋_GB2312" w:cs="Times New Roman"/>
                <w:color w:val="auto"/>
                <w:sz w:val="24"/>
                <w:szCs w:val="24"/>
              </w:rPr>
            </w:pPr>
            <w:r>
              <w:rPr>
                <w:rFonts w:ascii="Times New Roman" w:hAnsi="Times New Roman" w:eastAsia="仿宋_GB2312" w:cs="Times New Roman"/>
                <w:b/>
                <w:bCs/>
                <w:color w:val="auto"/>
                <w:sz w:val="24"/>
                <w:szCs w:val="24"/>
                <w:lang w:val="en-US" w:eastAsia="zh-CN"/>
              </w:rPr>
              <w:t>2、</w:t>
            </w:r>
            <w:r>
              <w:rPr>
                <w:rFonts w:hint="default" w:ascii="Times New Roman" w:hAnsi="Times New Roman" w:eastAsia="仿宋_GB2312" w:cs="Times New Roman"/>
                <w:b/>
                <w:bCs/>
                <w:color w:val="auto"/>
                <w:sz w:val="24"/>
                <w:szCs w:val="24"/>
              </w:rPr>
              <w:t>付款条件：</w:t>
            </w:r>
            <w:r>
              <w:rPr>
                <w:rFonts w:hint="default" w:ascii="Times New Roman" w:hAnsi="Times New Roman" w:eastAsia="仿宋_GB2312" w:cs="Times New Roman"/>
                <w:color w:val="auto"/>
                <w:sz w:val="24"/>
                <w:szCs w:val="24"/>
              </w:rPr>
              <w:t>申请付款时必须提交以下文件和资料。</w:t>
            </w:r>
          </w:p>
          <w:p>
            <w:pPr>
              <w:spacing w:line="440" w:lineRule="exact"/>
              <w:ind w:firstLine="480"/>
              <w:rPr>
                <w:rFonts w:hint="default"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rPr>
              <w:t>（</w:t>
            </w:r>
            <w:r>
              <w:rPr>
                <w:rFonts w:ascii="Times New Roman" w:hAnsi="Times New Roman" w:eastAsia="仿宋_GB2312" w:cs="Times New Roman"/>
                <w:color w:val="auto"/>
                <w:sz w:val="24"/>
                <w:szCs w:val="24"/>
                <w:lang w:val="en-US" w:eastAsia="zh-CN"/>
              </w:rPr>
              <w:t>1</w:t>
            </w:r>
            <w:r>
              <w:rPr>
                <w:rFonts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合同；</w:t>
            </w:r>
          </w:p>
          <w:p>
            <w:pPr>
              <w:spacing w:line="440" w:lineRule="exact"/>
              <w:ind w:firstLine="480"/>
              <w:rPr>
                <w:rFonts w:hint="default"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lang w:eastAsia="zh-CN"/>
              </w:rPr>
              <w:t>（</w:t>
            </w:r>
            <w:r>
              <w:rPr>
                <w:rFonts w:ascii="Times New Roman" w:hAnsi="Times New Roman" w:eastAsia="仿宋_GB2312" w:cs="Times New Roman"/>
                <w:color w:val="auto"/>
                <w:sz w:val="24"/>
                <w:szCs w:val="24"/>
                <w:lang w:val="en-US" w:eastAsia="zh-CN"/>
              </w:rPr>
              <w:t>2</w:t>
            </w:r>
            <w:r>
              <w:rPr>
                <w:rFonts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合规发票；</w:t>
            </w:r>
          </w:p>
          <w:p>
            <w:pPr>
              <w:spacing w:line="360" w:lineRule="auto"/>
              <w:ind w:firstLine="480" w:firstLineChars="200"/>
              <w:jc w:val="left"/>
              <w:rPr>
                <w:rFonts w:hint="default" w:ascii="Times New Roman" w:hAnsi="Times New Roman" w:eastAsia="仿宋_GB2312" w:cs="Times New Roman"/>
                <w:sz w:val="24"/>
                <w:szCs w:val="24"/>
              </w:rPr>
            </w:pPr>
            <w:r>
              <w:rPr>
                <w:rFonts w:eastAsia="仿宋_GB2312" w:cs="Times New Roman"/>
                <w:color w:val="auto"/>
                <w:sz w:val="24"/>
                <w:szCs w:val="24"/>
                <w:lang w:eastAsia="zh-CN"/>
              </w:rPr>
              <w:t>（</w:t>
            </w:r>
            <w:r>
              <w:rPr>
                <w:rFonts w:eastAsia="仿宋_GB2312" w:cs="Times New Roman"/>
                <w:color w:val="auto"/>
                <w:sz w:val="24"/>
                <w:szCs w:val="24"/>
                <w:lang w:val="en-US" w:eastAsia="zh-CN"/>
              </w:rPr>
              <w:t>3</w:t>
            </w:r>
            <w:r>
              <w:rPr>
                <w:rFonts w:eastAsia="仿宋_GB2312" w:cs="Times New Roman"/>
                <w:color w:val="auto"/>
                <w:sz w:val="24"/>
                <w:szCs w:val="24"/>
                <w:lang w:eastAsia="zh-CN"/>
              </w:rPr>
              <w:t>）</w:t>
            </w:r>
            <w:r>
              <w:rPr>
                <w:rFonts w:hint="default" w:eastAsia="仿宋_GB2312" w:cs="Times New Roman"/>
                <w:color w:val="auto"/>
                <w:sz w:val="24"/>
                <w:szCs w:val="24"/>
              </w:rPr>
              <w:t>由需方签字的验收报告（或需方委托的第三方验收检验报告）。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8" w:hRule="atLeast"/>
        </w:trPr>
        <w:tc>
          <w:tcPr>
            <w:tcW w:w="952" w:type="dxa"/>
            <w:noWrap w:val="0"/>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50.2</w:t>
            </w:r>
          </w:p>
        </w:tc>
        <w:tc>
          <w:tcPr>
            <w:tcW w:w="7751" w:type="dxa"/>
            <w:noWrap w:val="0"/>
            <w:vAlign w:val="center"/>
          </w:tcPr>
          <w:p>
            <w:pPr>
              <w:tabs>
                <w:tab w:val="left" w:pos="3150"/>
              </w:tabs>
              <w:spacing w:line="360" w:lineRule="auto"/>
              <w:jc w:val="left"/>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kern w:val="0"/>
                <w:sz w:val="24"/>
                <w:szCs w:val="24"/>
                <w:lang w:val="en-US" w:eastAsia="zh-CN" w:bidi="ar"/>
              </w:rPr>
              <w:t>“</w:t>
            </w:r>
            <w:r>
              <w:rPr>
                <w:rFonts w:hint="default" w:ascii="Times New Roman" w:hAnsi="Times New Roman" w:eastAsia="仿宋_GB2312" w:cs="Times New Roman"/>
                <w:b/>
                <w:bCs/>
                <w:sz w:val="24"/>
                <w:szCs w:val="24"/>
                <w:lang w:val="en-US" w:eastAsia="zh-CN"/>
              </w:rPr>
              <w:t>一号咨询”服务：</w:t>
            </w:r>
            <w:r>
              <w:rPr>
                <w:rFonts w:hint="default" w:ascii="Times New Roman" w:hAnsi="Times New Roman" w:eastAsia="仿宋_GB2312" w:cs="Times New Roman"/>
                <w:kern w:val="0"/>
                <w:sz w:val="24"/>
                <w:szCs w:val="24"/>
                <w:lang w:val="en-US" w:eastAsia="zh-CN" w:bidi="ar"/>
              </w:rPr>
              <w:t>市场主体拨打0371-61335566即可咨询河南省公共资源交易中心业务的相关问题。</w:t>
            </w:r>
          </w:p>
        </w:tc>
      </w:tr>
    </w:tbl>
    <w:p>
      <w:pPr>
        <w:spacing w:line="480" w:lineRule="exact"/>
        <w:ind w:left="1077" w:hanging="539"/>
        <w:rPr>
          <w:rFonts w:hint="default" w:ascii="Times New Roman" w:hAnsi="Times New Roman" w:eastAsia="宋体" w:cs="Times New Roman"/>
          <w:color w:val="auto"/>
        </w:rPr>
        <w:sectPr>
          <w:pgSz w:w="11900" w:h="16840"/>
          <w:pgMar w:top="1440" w:right="1797" w:bottom="1440" w:left="1797" w:header="851" w:footer="992" w:gutter="0"/>
          <w:cols w:space="720" w:num="1"/>
        </w:sectPr>
      </w:pPr>
    </w:p>
    <w:p>
      <w:pPr>
        <w:pStyle w:val="3"/>
        <w:spacing w:before="0" w:after="0" w:line="240" w:lineRule="auto"/>
        <w:jc w:val="center"/>
        <w:rPr>
          <w:rFonts w:hint="default" w:ascii="Times New Roman" w:hAnsi="Times New Roman" w:eastAsia="宋体" w:cs="Times New Roman"/>
          <w:color w:val="auto"/>
          <w:sz w:val="36"/>
          <w:szCs w:val="36"/>
          <w:lang w:val="en-US" w:eastAsia="zh-CN"/>
        </w:rPr>
      </w:pPr>
      <w:bookmarkStart w:id="118" w:name="_Toc1855516403"/>
      <w:bookmarkStart w:id="119" w:name="_Toc1810187627_WPSOffice_Level1"/>
      <w:bookmarkStart w:id="120" w:name="_Toc696406431"/>
      <w:bookmarkStart w:id="121" w:name="_Toc435542012"/>
      <w:bookmarkStart w:id="122" w:name="_Toc672784450_WPSOffice_Level1"/>
      <w:bookmarkStart w:id="123" w:name="_Toc1484219635"/>
      <w:bookmarkStart w:id="124" w:name="_Toc511855247"/>
      <w:bookmarkStart w:id="125" w:name="_Toc309192439"/>
      <w:bookmarkStart w:id="126" w:name="_Toc457436968_WPSOffice_Level1"/>
      <w:bookmarkStart w:id="127" w:name="_Toc1341383622_WPSOffice_Level1"/>
      <w:bookmarkStart w:id="128" w:name="_Toc194396107"/>
      <w:bookmarkStart w:id="129" w:name="_Toc540794793"/>
      <w:bookmarkStart w:id="130" w:name="_Toc549888105"/>
      <w:bookmarkStart w:id="131" w:name="_Toc914717081"/>
      <w:bookmarkStart w:id="132" w:name="_Toc1344387214"/>
      <w:bookmarkStart w:id="133" w:name="_Toc754728636"/>
      <w:bookmarkStart w:id="134" w:name="_Toc2118786865_WPSOffice_Level1"/>
      <w:bookmarkStart w:id="135" w:name="_Toc580298809"/>
      <w:bookmarkStart w:id="136" w:name="_Toc1639549268"/>
      <w:bookmarkStart w:id="137" w:name="_Toc653624039"/>
      <w:r>
        <w:rPr>
          <w:rFonts w:hint="default" w:ascii="Times New Roman" w:hAnsi="Times New Roman" w:eastAsia="宋体" w:cs="Times New Roman"/>
          <w:color w:val="auto"/>
          <w:sz w:val="36"/>
          <w:szCs w:val="36"/>
          <w:lang w:val="en-US" w:eastAsia="zh-CN"/>
        </w:rPr>
        <w:t xml:space="preserve">第三章 </w:t>
      </w:r>
      <w:r>
        <w:rPr>
          <w:rFonts w:hint="default" w:ascii="Times New Roman" w:hAnsi="Times New Roman" w:eastAsia="宋体" w:cs="Times New Roman"/>
          <w:color w:val="auto"/>
          <w:sz w:val="36"/>
          <w:szCs w:val="36"/>
          <w:lang w:eastAsia="zh-CN"/>
        </w:rPr>
        <w:t>投标人须知</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8" w:name="_Toc547533145"/>
      <w:bookmarkStart w:id="139" w:name="_Toc1420306246"/>
      <w:bookmarkStart w:id="140" w:name="_Toc753331058"/>
      <w:bookmarkStart w:id="141" w:name="_Toc1724158210_WPSOffice_Level2"/>
      <w:bookmarkStart w:id="142" w:name="_Toc2103873687_WPSOffice_Level2"/>
      <w:bookmarkStart w:id="143" w:name="_Toc1875035149"/>
      <w:bookmarkStart w:id="144" w:name="_Toc72595909_WPSOffice_Level2"/>
      <w:bookmarkStart w:id="145" w:name="_Toc1820077040_WPSOffice_Level2"/>
      <w:bookmarkStart w:id="146" w:name="_Toc795505054"/>
      <w:bookmarkStart w:id="147" w:name="_Toc1605126531"/>
      <w:bookmarkStart w:id="148" w:name="_Toc587412607"/>
      <w:bookmarkStart w:id="149" w:name="_Toc1239566703"/>
      <w:bookmarkStart w:id="150" w:name="_Toc1547883234"/>
      <w:bookmarkStart w:id="151" w:name="_Toc1698066625"/>
      <w:bookmarkStart w:id="152" w:name="_Toc963499806"/>
      <w:bookmarkStart w:id="153" w:name="_Toc6348"/>
      <w:bookmarkStart w:id="154" w:name="_Toc1053718759_WPSOffice_Level2"/>
      <w:bookmarkStart w:id="155" w:name="_Toc225324457"/>
      <w:r>
        <w:rPr>
          <w:rFonts w:hint="default" w:ascii="Times New Roman" w:hAnsi="Times New Roman" w:eastAsia="方正小标宋_GBK" w:cs="Times New Roman"/>
          <w:bCs/>
          <w:color w:val="auto"/>
          <w:kern w:val="0"/>
          <w:sz w:val="30"/>
          <w:szCs w:val="30"/>
          <w:lang w:val="en-US" w:eastAsia="zh-CN"/>
        </w:rPr>
        <w:t>一、说  明</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rPr>
        <w:t>适用范围</w:t>
      </w:r>
    </w:p>
    <w:p>
      <w:pPr>
        <w:spacing w:line="360" w:lineRule="auto"/>
        <w:rPr>
          <w:rFonts w:hint="default" w:ascii="Times New Roman" w:hAnsi="Times New Roman" w:eastAsia="仿宋_GB2312" w:cs="Times New Roman"/>
          <w:sz w:val="28"/>
          <w:szCs w:val="28"/>
        </w:rPr>
      </w:pPr>
      <w:bookmarkStart w:id="156" w:name="_Toc196648728_WPSOffice_Level3"/>
      <w:bookmarkStart w:id="157" w:name="_Toc532150620_WPSOffice_Level3"/>
      <w:bookmarkStart w:id="158" w:name="_Toc187354401_WPSOffice_Level3"/>
      <w:r>
        <w:rPr>
          <w:rFonts w:hint="default" w:ascii="Times New Roman" w:hAnsi="Times New Roman" w:eastAsia="仿宋_GB2312" w:cs="Times New Roman"/>
          <w:sz w:val="28"/>
          <w:szCs w:val="28"/>
        </w:rPr>
        <w:t>1.1本招标文件仅适用于本次公开招标所述的</w:t>
      </w:r>
      <w:r>
        <w:rPr>
          <w:rFonts w:hint="default" w:ascii="Times New Roman" w:hAnsi="Times New Roman" w:eastAsia="仿宋_GB2312" w:cs="Times New Roman"/>
          <w:sz w:val="28"/>
          <w:szCs w:val="28"/>
          <w:lang w:eastAsia="zh-CN"/>
        </w:rPr>
        <w:t>服务</w:t>
      </w:r>
      <w:r>
        <w:rPr>
          <w:rFonts w:hint="default" w:ascii="Times New Roman" w:hAnsi="Times New Roman" w:eastAsia="仿宋_GB2312" w:cs="Times New Roman"/>
          <w:sz w:val="28"/>
          <w:szCs w:val="28"/>
        </w:rPr>
        <w:t>。</w:t>
      </w:r>
      <w:bookmarkEnd w:id="156"/>
      <w:bookmarkEnd w:id="157"/>
      <w:bookmarkEnd w:id="158"/>
    </w:p>
    <w:p>
      <w:pPr>
        <w:spacing w:line="360" w:lineRule="auto"/>
        <w:rPr>
          <w:rFonts w:hint="default" w:ascii="Times New Roman" w:hAnsi="Times New Roman" w:eastAsia="仿宋_GB2312" w:cs="Times New Roman"/>
          <w:sz w:val="28"/>
          <w:szCs w:val="28"/>
        </w:rPr>
      </w:pPr>
      <w:bookmarkStart w:id="159" w:name="_Toc900722191_WPSOffice_Level3"/>
      <w:bookmarkStart w:id="160" w:name="_Toc1359847161_WPSOffice_Level3"/>
      <w:bookmarkStart w:id="161" w:name="_Toc548249303_WPSOffice_Level3"/>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lang w:val="en"/>
        </w:rPr>
        <w:t>采购项目</w:t>
      </w:r>
      <w:r>
        <w:rPr>
          <w:rFonts w:hint="default" w:ascii="Times New Roman" w:hAnsi="Times New Roman" w:eastAsia="仿宋_GB2312" w:cs="Times New Roman"/>
          <w:sz w:val="28"/>
          <w:szCs w:val="28"/>
        </w:rPr>
        <w:t>：见“投标人须知前附表”。</w:t>
      </w:r>
      <w:bookmarkEnd w:id="159"/>
      <w:bookmarkEnd w:id="160"/>
      <w:bookmarkEnd w:id="161"/>
    </w:p>
    <w:p>
      <w:pPr>
        <w:spacing w:line="360" w:lineRule="auto"/>
        <w:rPr>
          <w:rFonts w:hint="default" w:ascii="Times New Roman" w:hAnsi="Times New Roman" w:eastAsia="仿宋_GB2312" w:cs="Times New Roman"/>
          <w:sz w:val="28"/>
          <w:szCs w:val="28"/>
        </w:rPr>
      </w:pPr>
      <w:bookmarkStart w:id="162" w:name="_Toc334765003_WPSOffice_Level3"/>
      <w:bookmarkStart w:id="163" w:name="_Toc1100833192_WPSOffice_Level3"/>
      <w:bookmarkStart w:id="164" w:name="_Toc1512585633_WPSOffice_Level3"/>
      <w:r>
        <w:rPr>
          <w:rFonts w:hint="default" w:ascii="Times New Roman" w:hAnsi="Times New Roman" w:eastAsia="仿宋_GB2312" w:cs="Times New Roman"/>
          <w:sz w:val="28"/>
          <w:szCs w:val="28"/>
        </w:rPr>
        <w:t>1.3采购</w:t>
      </w:r>
      <w:r>
        <w:rPr>
          <w:rFonts w:hint="default" w:ascii="Times New Roman" w:hAnsi="Times New Roman" w:eastAsia="仿宋_GB2312" w:cs="Times New Roman"/>
          <w:sz w:val="28"/>
          <w:szCs w:val="28"/>
          <w:lang w:val="en"/>
        </w:rPr>
        <w:t>编号</w:t>
      </w:r>
      <w:r>
        <w:rPr>
          <w:rFonts w:hint="default" w:ascii="Times New Roman" w:hAnsi="Times New Roman" w:eastAsia="仿宋_GB2312" w:cs="Times New Roman"/>
          <w:sz w:val="28"/>
          <w:szCs w:val="28"/>
        </w:rPr>
        <w:t>：见“投标人须知前附表”。</w:t>
      </w:r>
      <w:bookmarkEnd w:id="162"/>
      <w:bookmarkEnd w:id="163"/>
      <w:bookmarkEnd w:id="164"/>
    </w:p>
    <w:p>
      <w:pPr>
        <w:spacing w:line="360" w:lineRule="auto"/>
        <w:rPr>
          <w:rFonts w:hint="default" w:ascii="Times New Roman" w:hAnsi="Times New Roman" w:eastAsia="仿宋_GB2312" w:cs="Times New Roman"/>
          <w:sz w:val="28"/>
          <w:szCs w:val="28"/>
        </w:rPr>
      </w:pPr>
      <w:bookmarkStart w:id="165" w:name="_Toc979196621_WPSOffice_Level3"/>
      <w:bookmarkStart w:id="166" w:name="_Toc2062433103_WPSOffice_Level3"/>
      <w:bookmarkStart w:id="167" w:name="_Toc1513112147_WPSOffice_Level3"/>
      <w:r>
        <w:rPr>
          <w:rFonts w:hint="default" w:ascii="Times New Roman" w:hAnsi="Times New Roman" w:eastAsia="仿宋_GB2312" w:cs="Times New Roman"/>
          <w:sz w:val="28"/>
          <w:szCs w:val="28"/>
        </w:rPr>
        <w:t>1.4采购项目简要说明：见“投标人须知前附表”。</w:t>
      </w:r>
      <w:bookmarkEnd w:id="165"/>
      <w:bookmarkEnd w:id="166"/>
      <w:bookmarkEnd w:id="167"/>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rPr>
        <w:t>定义</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2.1政府采购监督管理部门：河南省财政厅。</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是指依法进行政府采购的国家机关、事业单位、团体组织。本项目的采购人见投标人须知前附表。</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2.3集中采购机构：“投标人须知前附表”中所述的受采购人委托组织集中采购的代理机构。</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2.4集中采购：是指政府集中采购目录及限额标准规定的集中采购项目的采购活动。</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2.5合格投标人：提供资格证明</w:t>
      </w:r>
      <w:r>
        <w:rPr>
          <w:rFonts w:hint="default" w:ascii="Times New Roman" w:hAnsi="Times New Roman" w:eastAsia="仿宋_GB2312" w:cs="Times New Roman"/>
          <w:sz w:val="28"/>
          <w:szCs w:val="28"/>
          <w:lang w:eastAsia="zh-CN"/>
        </w:rPr>
        <w:t>文件</w:t>
      </w:r>
      <w:r>
        <w:rPr>
          <w:rFonts w:hint="default" w:ascii="Times New Roman" w:hAnsi="Times New Roman" w:eastAsia="仿宋_GB2312" w:cs="Times New Roman"/>
          <w:sz w:val="28"/>
          <w:szCs w:val="28"/>
        </w:rPr>
        <w:t>并通过资格审查的投标人。</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2.5.1若投标人须知前附表中写明专门面向中小企业采购的，如投标人为非中小企业，其投标将被认定为投标无效。</w:t>
      </w:r>
    </w:p>
    <w:p>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rPr>
        <w:t>若投标人须知前附表中写明允许采购进口产品，但不限制满足招标文件要求的国内产品参与采购活动</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投标人应保证所投产品可履行合法报通关手续进入中国关境内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若投标人须知前附表中未写明允许采购进口产品，如投标人提供产品为进口产品，其投标文件将被认定为无效投标文件。</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2.6投标文件：指投标人根据招标文件提交的所有文件。</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rPr>
        <w:t>投标费用</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投标人须自行承担所有与参加投标有关的费用，无论投标的结果如何，采购人和集中采购机构在任何情况下均无义务和责任承担这些费用。</w:t>
      </w:r>
    </w:p>
    <w:p>
      <w:pPr>
        <w:spacing w:line="360" w:lineRule="auto"/>
        <w:rPr>
          <w:rFonts w:hint="default" w:ascii="Times New Roman" w:hAnsi="Times New Roman" w:eastAsia="仿宋_GB2312" w:cs="Times New Roman"/>
          <w:b/>
          <w:bCs/>
          <w:sz w:val="28"/>
          <w:szCs w:val="28"/>
        </w:rPr>
      </w:pPr>
      <w:bookmarkStart w:id="168" w:name="_Toc441214089"/>
      <w:bookmarkStart w:id="169" w:name="_Toc337225031"/>
      <w:bookmarkStart w:id="170" w:name="_Toc284337471"/>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rPr>
        <w:t>踏勘现场</w:t>
      </w:r>
      <w:bookmarkEnd w:id="168"/>
      <w:bookmarkEnd w:id="169"/>
      <w:bookmarkEnd w:id="170"/>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4.1“投标人须知前附表”规定组织踏勘现场的，</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按“投标人须知前附表”规定的时间、地点组织投标人踏勘项目现场。</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4.2投标人踏勘现场发生的费用自理。</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4.3除</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的原因外，投标人自行负责在踏勘现场中所发生的人员伤亡和财产损失。</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在踏勘现场中介绍的项目现场和相关的周边环境情况，供投标人在编制投标文件时参考，</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不对投标人据此作出的判断和决策负责。</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5.知识产权</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GB"/>
        </w:rPr>
        <w:t>所有涉及知识产权的成果，</w:t>
      </w:r>
      <w:r>
        <w:rPr>
          <w:rFonts w:hint="default" w:ascii="Times New Roman" w:hAnsi="Times New Roman" w:eastAsia="仿宋_GB2312" w:cs="Times New Roman"/>
          <w:sz w:val="28"/>
          <w:szCs w:val="28"/>
        </w:rPr>
        <w:t>投标人</w:t>
      </w:r>
      <w:r>
        <w:rPr>
          <w:rFonts w:hint="default" w:ascii="Times New Roman" w:hAnsi="Times New Roman" w:eastAsia="仿宋_GB2312" w:cs="Times New Roman"/>
          <w:sz w:val="28"/>
          <w:szCs w:val="28"/>
          <w:lang w:val="en-GB"/>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rPr>
        <w:t>投标人</w:t>
      </w:r>
      <w:r>
        <w:rPr>
          <w:rFonts w:hint="default" w:ascii="Times New Roman" w:hAnsi="Times New Roman" w:eastAsia="仿宋_GB2312" w:cs="Times New Roman"/>
          <w:sz w:val="28"/>
          <w:szCs w:val="28"/>
          <w:lang w:val="en-GB"/>
        </w:rPr>
        <w:t>承担。</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rPr>
        <w:t>.联合体投标</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6.1除非本项目明确要求不接受联合体形式投标外，两个或两个以上投标人可以组成一个联合体，以一个投标人的身份共同参加投标。</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6.3联合体中有同类资质的投标人按照联合体分工承担相同工作的，应当按照资质等级较低的投标人确定资质等级。</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6.4联合体投标的，可以由联合体中的牵头人或者共同提交投标承诺函，以牵头人名义提交投标承诺函的，对联合体各方均具有约束力。</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6.5以联合体形式参加政府采购活动的，联合体各方不得再单独参加或者与其他投标人另外组成联合体参加同一合同项下的政府采购活动。</w:t>
      </w:r>
    </w:p>
    <w:p>
      <w:pPr>
        <w:pStyle w:val="14"/>
        <w:spacing w:line="360" w:lineRule="auto"/>
        <w:rPr>
          <w:rFonts w:hint="default" w:ascii="Times New Roman" w:hAnsi="Times New Roman" w:cs="Times New Roman"/>
          <w:lang w:val="en"/>
        </w:rPr>
      </w:pPr>
      <w:r>
        <w:rPr>
          <w:rFonts w:hint="default" w:ascii="Times New Roman" w:hAnsi="Times New Roman" w:eastAsia="仿宋_GB2312" w:cs="Times New Roman"/>
          <w:sz w:val="28"/>
          <w:szCs w:val="28"/>
          <w:lang w:val="en"/>
        </w:rPr>
        <w:t>6.6</w:t>
      </w:r>
      <w:r>
        <w:rPr>
          <w:rFonts w:hint="default" w:ascii="Times New Roman" w:hAnsi="Times New Roman" w:eastAsia="仿宋_GB2312" w:cs="Times New Roman"/>
          <w:sz w:val="28"/>
          <w:szCs w:val="28"/>
          <w:lang w:val="en-US" w:eastAsia="zh-CN"/>
        </w:rPr>
        <w:t>是否允许联合体投标见投标人须知前附表。</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7.保密</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参与招标投标活动的各方应对招标文件和投标文件中的商业和技术等秘密保密，违者应对由此造成的后果承担法律责任。</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8.市场主体信息库</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（1）投标人应及时对入库信息进行补充、更新，若投标人提供虚假信息或未及时对入库信息进行补充、更新，由投标人承担全部责任。</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（2）投标人</w:t>
      </w:r>
      <w:r>
        <w:rPr>
          <w:rFonts w:hint="default" w:ascii="Times New Roman" w:hAnsi="Times New Roman" w:eastAsia="仿宋_GB2312" w:cs="Times New Roman"/>
          <w:sz w:val="28"/>
          <w:szCs w:val="28"/>
          <w:lang w:eastAsia="zh-CN"/>
        </w:rPr>
        <w:t>可</w:t>
      </w:r>
      <w:r>
        <w:rPr>
          <w:rFonts w:hint="default" w:ascii="Times New Roman" w:hAnsi="Times New Roman" w:eastAsia="仿宋_GB2312" w:cs="Times New Roman"/>
          <w:sz w:val="28"/>
          <w:szCs w:val="28"/>
        </w:rPr>
        <w:t>将本项目评审涉及到的资质、业绩、人员、获奖、证书、纳税、社保等信息补充到其市场主体信息库中。</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9.采购信息的发布</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与本次采购活动相关的信息，将在《河南省政府采购网》《河南省公共资源交易中心网》上及时发布。</w:t>
      </w:r>
    </w:p>
    <w:p>
      <w:pPr>
        <w:spacing w:line="360" w:lineRule="auto"/>
        <w:rPr>
          <w:rFonts w:hint="default" w:ascii="Times New Roman" w:hAnsi="Times New Roman" w:eastAsia="仿宋_GB2312" w:cs="Times New Roman"/>
          <w:sz w:val="28"/>
          <w:szCs w:val="28"/>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71" w:name="_Toc1225442179_WPSOffice_Level2"/>
      <w:bookmarkStart w:id="172" w:name="_Toc1045699149"/>
      <w:bookmarkStart w:id="173" w:name="_Toc1135767039"/>
      <w:bookmarkStart w:id="174" w:name="_Toc923512225_WPSOffice_Level2"/>
      <w:bookmarkStart w:id="175" w:name="_Toc71799347"/>
      <w:bookmarkStart w:id="176" w:name="_Toc1329330261"/>
      <w:bookmarkStart w:id="177" w:name="_Toc1035752825"/>
      <w:bookmarkStart w:id="178" w:name="_Toc773843715"/>
      <w:bookmarkStart w:id="179" w:name="_Toc812246970"/>
      <w:bookmarkStart w:id="180" w:name="_Toc601554517"/>
      <w:bookmarkStart w:id="181" w:name="_Toc28660129"/>
      <w:bookmarkStart w:id="182" w:name="_Toc2021756318"/>
      <w:bookmarkStart w:id="183" w:name="_Toc503947722_WPSOffice_Level2"/>
      <w:bookmarkStart w:id="184" w:name="_Toc1613525329"/>
      <w:bookmarkStart w:id="185" w:name="_Toc1090042493_WPSOffice_Level2"/>
      <w:r>
        <w:rPr>
          <w:rFonts w:hint="default" w:ascii="Times New Roman" w:hAnsi="Times New Roman" w:eastAsia="方正小标宋_GBK" w:cs="Times New Roman"/>
          <w:bCs/>
          <w:color w:val="auto"/>
          <w:kern w:val="0"/>
          <w:sz w:val="30"/>
          <w:szCs w:val="30"/>
          <w:lang w:val="en-US" w:eastAsia="zh-CN"/>
        </w:rPr>
        <w:t>二、招标文件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10.招标文件的组成</w:t>
      </w:r>
    </w:p>
    <w:p>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招标文件共九章，构成如下：</w:t>
      </w:r>
    </w:p>
    <w:p>
      <w:pPr>
        <w:widowControl w:val="0"/>
        <w:numPr>
          <w:ilvl w:val="0"/>
          <w:numId w:val="1"/>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bookmarkStart w:id="186" w:name="_Toc2041508748_WPSOffice_Level3"/>
      <w:r>
        <w:rPr>
          <w:rFonts w:hint="default" w:ascii="Times New Roman" w:hAnsi="Times New Roman" w:eastAsia="仿宋_GB2312" w:cs="Times New Roman"/>
          <w:color w:val="auto"/>
          <w:sz w:val="28"/>
          <w:szCs w:val="28"/>
          <w:lang w:val="en-US" w:eastAsia="zh-CN"/>
        </w:rPr>
        <w:t>投标邀请</w:t>
      </w:r>
      <w:bookmarkEnd w:id="186"/>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7" w:name="_Toc481281934_WPSOffice_Level3"/>
      <w:r>
        <w:rPr>
          <w:rFonts w:hint="default" w:ascii="Times New Roman" w:hAnsi="Times New Roman" w:eastAsia="仿宋_GB2312" w:cs="Times New Roman"/>
          <w:color w:val="auto"/>
          <w:sz w:val="28"/>
          <w:szCs w:val="28"/>
          <w:lang w:val="en-US" w:eastAsia="zh-CN"/>
        </w:rPr>
        <w:t>第二章  投标人须知前附表</w:t>
      </w:r>
      <w:bookmarkEnd w:id="187"/>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8" w:name="_Toc1216452732_WPSOffice_Level3"/>
      <w:r>
        <w:rPr>
          <w:rFonts w:hint="default" w:ascii="Times New Roman" w:hAnsi="Times New Roman" w:eastAsia="仿宋_GB2312" w:cs="Times New Roman"/>
          <w:color w:val="auto"/>
          <w:sz w:val="28"/>
          <w:szCs w:val="28"/>
          <w:lang w:val="en-US" w:eastAsia="zh-CN"/>
        </w:rPr>
        <w:t>第三章  投标人须知</w:t>
      </w:r>
      <w:bookmarkEnd w:id="188"/>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9" w:name="_Toc1355532098_WPSOffice_Level3"/>
      <w:r>
        <w:rPr>
          <w:rFonts w:hint="default" w:ascii="Times New Roman" w:hAnsi="Times New Roman" w:eastAsia="仿宋_GB2312" w:cs="Times New Roman"/>
          <w:color w:val="auto"/>
          <w:sz w:val="28"/>
          <w:szCs w:val="28"/>
          <w:lang w:val="en-US" w:eastAsia="zh-CN"/>
        </w:rPr>
        <w:t>第四章  资格证明文件格式</w:t>
      </w:r>
      <w:bookmarkEnd w:id="189"/>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90" w:name="_Toc1831540022_WPSOffice_Level3"/>
      <w:r>
        <w:rPr>
          <w:rFonts w:hint="default" w:ascii="Times New Roman" w:hAnsi="Times New Roman" w:eastAsia="仿宋_GB2312" w:cs="Times New Roman"/>
          <w:color w:val="auto"/>
          <w:sz w:val="28"/>
          <w:szCs w:val="28"/>
          <w:lang w:val="en-US" w:eastAsia="zh-CN"/>
        </w:rPr>
        <w:t>第五章  投标文件格式</w:t>
      </w:r>
      <w:bookmarkEnd w:id="190"/>
    </w:p>
    <w:p>
      <w:pPr>
        <w:widowControl w:val="0"/>
        <w:spacing w:line="360" w:lineRule="auto"/>
        <w:ind w:left="901" w:leftChars="429"/>
        <w:rPr>
          <w:rFonts w:hint="default" w:ascii="Times New Roman" w:hAnsi="Times New Roman" w:eastAsia="仿宋_GB2312" w:cs="Times New Roman"/>
          <w:color w:val="auto"/>
          <w:sz w:val="28"/>
          <w:szCs w:val="28"/>
          <w:lang w:val="en" w:eastAsia="zh-CN"/>
        </w:rPr>
      </w:pPr>
      <w:bookmarkStart w:id="191" w:name="_Toc1218962891_WPSOffice_Level3"/>
      <w:r>
        <w:rPr>
          <w:rFonts w:hint="default" w:ascii="Times New Roman" w:hAnsi="Times New Roman" w:eastAsia="仿宋_GB2312" w:cs="Times New Roman"/>
          <w:color w:val="auto"/>
          <w:sz w:val="28"/>
          <w:szCs w:val="28"/>
          <w:lang w:val="en-US" w:eastAsia="zh-CN"/>
        </w:rPr>
        <w:t xml:space="preserve">第六章  </w:t>
      </w:r>
      <w:r>
        <w:rPr>
          <w:rFonts w:hint="default" w:ascii="Times New Roman" w:hAnsi="Times New Roman" w:eastAsia="仿宋_GB2312" w:cs="Times New Roman"/>
          <w:color w:val="auto"/>
          <w:sz w:val="28"/>
          <w:szCs w:val="28"/>
          <w:lang w:val="en" w:eastAsia="zh-CN"/>
        </w:rPr>
        <w:t>项目需求及有关要求</w:t>
      </w:r>
      <w:bookmarkEnd w:id="191"/>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92" w:name="_Toc1886187112_WPSOffice_Level3"/>
      <w:r>
        <w:rPr>
          <w:rFonts w:hint="default" w:ascii="Times New Roman" w:hAnsi="Times New Roman" w:eastAsia="仿宋_GB2312" w:cs="Times New Roman"/>
          <w:color w:val="auto"/>
          <w:sz w:val="28"/>
          <w:szCs w:val="28"/>
          <w:lang w:val="en-US" w:eastAsia="zh-CN"/>
        </w:rPr>
        <w:t>第七章  评分办法和标准</w:t>
      </w:r>
      <w:bookmarkEnd w:id="192"/>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93" w:name="_Toc1510798510_WPSOffice_Level3"/>
      <w:r>
        <w:rPr>
          <w:rFonts w:hint="default" w:ascii="Times New Roman" w:hAnsi="Times New Roman" w:eastAsia="仿宋_GB2312" w:cs="Times New Roman"/>
          <w:color w:val="auto"/>
          <w:sz w:val="28"/>
          <w:szCs w:val="28"/>
          <w:lang w:val="en-US" w:eastAsia="zh-CN"/>
        </w:rPr>
        <w:t>第八章  政府采购合同</w:t>
      </w:r>
      <w:bookmarkEnd w:id="193"/>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94" w:name="_Toc1853082451_WPSOffice_Level3"/>
      <w:r>
        <w:rPr>
          <w:rFonts w:hint="default" w:ascii="Times New Roman" w:hAnsi="Times New Roman" w:eastAsia="仿宋_GB2312" w:cs="Times New Roman"/>
          <w:color w:val="auto"/>
          <w:sz w:val="28"/>
          <w:szCs w:val="28"/>
          <w:lang w:val="en-US" w:eastAsia="zh-CN"/>
        </w:rPr>
        <w:t>第九章  附件</w:t>
      </w:r>
      <w:bookmarkEnd w:id="194"/>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10.2</w:t>
      </w:r>
      <w:r>
        <w:rPr>
          <w:rFonts w:hint="default" w:ascii="Times New Roman" w:hAnsi="Times New Roman" w:eastAsia="仿宋_GB2312" w:cs="Times New Roman"/>
          <w:sz w:val="28"/>
          <w:szCs w:val="28"/>
          <w:lang w:val="en-US" w:eastAsia="zh-CN"/>
        </w:rPr>
        <w:t>招标文件中有不一致的，有澄清的部分以最终的澄清更正内容为准；未澄清的，以投标人须知前附表为准；投标须知前表不涉及的内容，以编排在后的描述为准。</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pPr>
        <w:numPr>
          <w:ilvl w:val="0"/>
          <w:numId w:val="2"/>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t>招标文件的澄清</w:t>
      </w:r>
      <w:r>
        <w:rPr>
          <w:rFonts w:hint="default" w:ascii="Times New Roman" w:hAnsi="Times New Roman" w:eastAsia="仿宋_GB2312" w:cs="Times New Roman"/>
          <w:b/>
          <w:bCs/>
          <w:sz w:val="28"/>
          <w:szCs w:val="28"/>
          <w:lang w:val="en-US" w:eastAsia="zh-CN"/>
        </w:rPr>
        <w:t>与修改</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11.2采购人或</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11.3招标文件的澄清（更正）或修改在交易平台上公布给所有下载过招标文件的投标人，但不指明澄清问题的来源。</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11.4对已发出的招标文件进行的澄清、更正或修改，澄清、更正或修改的内容将作为招标文件的组成部分。通过“</w:t>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HYPERLINK "http://www.ccgp-henan.gov.cn)和河南省政府采购网河南省公共资源交易网"</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sz w:val="28"/>
          <w:szCs w:val="28"/>
          <w:lang w:val="en-US" w:eastAsia="zh-CN"/>
        </w:rPr>
        <w:t>河南省政府采购网”（http:/www.hngp.gov.cn/）“河南省公共资源交易网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”（www.hnggzy.</w:t>
      </w:r>
      <w:r>
        <w:rPr>
          <w:rFonts w:hint="default" w:ascii="Times New Roman" w:hAnsi="Times New Roman" w:eastAsia="仿宋_GB2312" w:cs="Times New Roman"/>
          <w:sz w:val="28"/>
          <w:szCs w:val="28"/>
          <w:lang w:val="en" w:eastAsia="zh-CN"/>
        </w:rPr>
        <w:t>net</w:t>
      </w:r>
      <w:r>
        <w:rPr>
          <w:rFonts w:hint="default" w:ascii="Times New Roman" w:hAnsi="Times New Roman" w:eastAsia="仿宋_GB2312" w:cs="Times New Roman"/>
          <w:sz w:val="28"/>
          <w:szCs w:val="28"/>
          <w:lang w:val="en-US" w:eastAsia="zh-CN"/>
        </w:rPr>
        <w:t>）网站“变更（澄清或更正）公告”和系统内部“答疑文件”告知投标人，各投标人重新下载最新的答疑、变更（澄清或更正）文件，以此编制投标文件。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195" w:name="_Hlk86850585"/>
      <w:r>
        <w:rPr>
          <w:rFonts w:hint="default" w:ascii="Times New Roman" w:hAnsi="Times New Roman" w:eastAsia="仿宋_GB2312" w:cs="Times New Roman"/>
          <w:sz w:val="28"/>
          <w:szCs w:val="28"/>
          <w:lang w:val="en-US" w:eastAsia="zh-CN"/>
        </w:rPr>
        <w:t>《河南省公共资源交易中心》</w:t>
      </w:r>
      <w:bookmarkEnd w:id="195"/>
      <w:r>
        <w:rPr>
          <w:rFonts w:hint="default" w:ascii="Times New Roman" w:hAnsi="Times New Roman" w:eastAsia="仿宋_GB2312" w:cs="Times New Roman"/>
          <w:sz w:val="28"/>
          <w:szCs w:val="28"/>
          <w:lang w:val="en-US" w:eastAsia="zh-CN"/>
        </w:rPr>
        <w:t>交易平台投标人信息在投标截止时间前具有保密性，投标人在投标截止时间前应当自行查看项目进展、答疑、变更（澄清或更正）通知、澄清及回复</w:t>
      </w:r>
      <w:bookmarkStart w:id="196" w:name="_Hlk86850663"/>
      <w:r>
        <w:rPr>
          <w:rFonts w:hint="default" w:ascii="Times New Roman" w:hAnsi="Times New Roman" w:eastAsia="仿宋_GB2312" w:cs="Times New Roman"/>
          <w:sz w:val="28"/>
          <w:szCs w:val="28"/>
          <w:lang w:val="en-US" w:eastAsia="zh-CN"/>
        </w:rPr>
        <w:t>。</w:t>
      </w:r>
    </w:p>
    <w:bookmarkEnd w:id="196"/>
    <w:p>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rPr>
        <w:t>12.</w:t>
      </w:r>
      <w:r>
        <w:rPr>
          <w:rFonts w:hint="default" w:ascii="Times New Roman" w:hAnsi="Times New Roman" w:eastAsia="仿宋_GB2312" w:cs="Times New Roman"/>
          <w:b/>
          <w:bCs/>
          <w:sz w:val="28"/>
          <w:szCs w:val="28"/>
          <w:lang w:val="en-US" w:eastAsia="zh-CN"/>
        </w:rPr>
        <w:t xml:space="preserve"> 投标截止时间的顺延</w:t>
      </w:r>
    </w:p>
    <w:p>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为使投标人有足够的时间对招标文件的澄清或者修改部分进行研究而准备投标或因其他原因，采购人将依法决定是否顺延投标截止时间。</w:t>
      </w: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97" w:name="_Toc1758648705"/>
      <w:bookmarkStart w:id="198" w:name="_Toc760401867"/>
      <w:bookmarkStart w:id="199" w:name="_Toc1317763722"/>
      <w:bookmarkStart w:id="200" w:name="_Toc1078664286_WPSOffice_Level2"/>
      <w:bookmarkStart w:id="201" w:name="_Toc1133061307_WPSOffice_Level2"/>
      <w:bookmarkStart w:id="202" w:name="_Toc587380469_WPSOffice_Level2"/>
      <w:bookmarkStart w:id="203" w:name="_Toc113296060"/>
      <w:bookmarkStart w:id="204" w:name="_Toc933740821_WPSOffice_Level2"/>
      <w:bookmarkStart w:id="205" w:name="_Toc395976497"/>
      <w:bookmarkStart w:id="206" w:name="_Toc1060332415"/>
      <w:bookmarkStart w:id="207" w:name="_Toc1878515555"/>
      <w:bookmarkStart w:id="208" w:name="_Toc868408535"/>
      <w:bookmarkStart w:id="209" w:name="_Toc1809617340"/>
      <w:bookmarkStart w:id="210" w:name="_Toc1106273699"/>
      <w:bookmarkStart w:id="211" w:name="_Toc1289807408"/>
      <w:r>
        <w:rPr>
          <w:rFonts w:hint="default" w:ascii="Times New Roman" w:hAnsi="Times New Roman" w:eastAsia="方正小标宋_GBK" w:cs="Times New Roman"/>
          <w:bCs/>
          <w:color w:val="auto"/>
          <w:kern w:val="0"/>
          <w:sz w:val="30"/>
          <w:szCs w:val="30"/>
          <w:lang w:val="en-US" w:eastAsia="zh-CN"/>
        </w:rPr>
        <w:t>三、投标文件的编制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13.投标语言</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投标文件以及投标人所有与采购人及集中采购机构就投标来往的函电均使用中文。投标人提供的外文资料应附有相应的中文译本，并以中文译本为准。</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14.</w:t>
      </w:r>
      <w:r>
        <w:rPr>
          <w:rFonts w:hint="default" w:ascii="Times New Roman" w:hAnsi="Times New Roman" w:eastAsia="仿宋_GB2312" w:cs="Times New Roman"/>
          <w:b/>
          <w:bCs/>
          <w:sz w:val="28"/>
          <w:szCs w:val="28"/>
        </w:rPr>
        <w:t>投标文件计量单位</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除招标文件中有特殊要求外，投标文件中所使用的计量单位，应采用中华人民共和国法定计量单位。</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15.</w:t>
      </w:r>
      <w:r>
        <w:rPr>
          <w:rFonts w:hint="default" w:ascii="Times New Roman" w:hAnsi="Times New Roman" w:eastAsia="仿宋_GB2312" w:cs="Times New Roman"/>
          <w:b/>
          <w:bCs/>
          <w:sz w:val="28"/>
          <w:szCs w:val="28"/>
        </w:rPr>
        <w:t>投标文件的组成</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16.</w:t>
      </w:r>
      <w:r>
        <w:rPr>
          <w:rFonts w:hint="default" w:ascii="Times New Roman" w:hAnsi="Times New Roman" w:eastAsia="仿宋_GB2312" w:cs="Times New Roman"/>
          <w:sz w:val="28"/>
          <w:szCs w:val="28"/>
        </w:rPr>
        <w:t>招标文件中的每个分包，是项目招标不可拆分的最小投标单元。投标人必须按各包分别编制各包的投标文件，并按各包分别提交相应的文件资料，拆包投标将视为漏项或非实质性响应，将承担其投标被拒绝或无效的风险。</w:t>
      </w:r>
      <w:r>
        <w:rPr>
          <w:rFonts w:hint="default" w:ascii="Times New Roman" w:hAnsi="Times New Roman" w:eastAsia="仿宋_GB2312" w:cs="Times New Roman"/>
          <w:sz w:val="28"/>
          <w:szCs w:val="28"/>
          <w:lang w:val="en-US" w:eastAsia="zh-CN"/>
        </w:rPr>
        <w:t>投标人可对招标文件中一个或几个分包进行投标，除投标人须知前附表中另有规定。</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17.投标文件编制</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17.1投标文件应按招标文件要求的内容编制投标文件，应当对招标文件提出的实质性要求和条件做出响应。</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17.2投标人在编制投标文件时，</w:t>
      </w:r>
      <w:r>
        <w:rPr>
          <w:rFonts w:hint="default" w:ascii="Times New Roman" w:hAnsi="Times New Roman" w:eastAsia="仿宋_GB2312" w:cs="Times New Roman"/>
          <w:sz w:val="28"/>
          <w:szCs w:val="28"/>
          <w:lang w:eastAsia="zh-CN"/>
        </w:rPr>
        <w:t>涉及到投标人须知前附表中要求的资格审查证明文件，须上传到“资格审查材料”中。</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rPr>
        <w:t>投标报价</w:t>
      </w:r>
    </w:p>
    <w:p>
      <w:pPr>
        <w:pStyle w:val="87"/>
        <w:spacing w:line="360" w:lineRule="auto"/>
        <w:rPr>
          <w:rFonts w:hint="default" w:ascii="Times New Roman" w:hAnsi="Times New Roman" w:eastAsia="仿宋_GB2312" w:cs="Times New Roman"/>
          <w:kern w:val="2"/>
          <w:sz w:val="28"/>
          <w:szCs w:val="28"/>
          <w:lang w:val="zh-TW" w:eastAsia="zh-TW"/>
        </w:rPr>
      </w:pPr>
      <w:r>
        <w:rPr>
          <w:rFonts w:hint="default" w:ascii="Times New Roman" w:hAnsi="Times New Roman" w:eastAsia="仿宋_GB2312" w:cs="Times New Roman"/>
          <w:kern w:val="2"/>
          <w:sz w:val="28"/>
          <w:szCs w:val="28"/>
          <w:lang w:val="zh-TW" w:eastAsia="zh-TW"/>
        </w:rPr>
        <w:t>投标人报价超过招标文件规定的预算金额或者分项、分包最高限价的，其投标将被认定为投标无效。</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19.</w:t>
      </w:r>
      <w:r>
        <w:rPr>
          <w:rFonts w:hint="default" w:ascii="Times New Roman" w:hAnsi="Times New Roman" w:eastAsia="仿宋_GB2312" w:cs="Times New Roman"/>
          <w:b/>
          <w:bCs/>
          <w:sz w:val="28"/>
          <w:szCs w:val="28"/>
        </w:rPr>
        <w:t>投标货币</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除非“投标人须知前附表”另有规定，投标人提供的所有服务用人民币报价。</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20.</w:t>
      </w:r>
      <w:r>
        <w:rPr>
          <w:rFonts w:hint="default" w:ascii="Times New Roman" w:hAnsi="Times New Roman" w:eastAsia="仿宋_GB2312" w:cs="Times New Roman"/>
          <w:b/>
          <w:bCs/>
          <w:sz w:val="28"/>
          <w:szCs w:val="28"/>
        </w:rPr>
        <w:t>投标人资格证明文件</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依据“投标人须知前附表”中的要求按“</w:t>
      </w:r>
      <w:r>
        <w:rPr>
          <w:rFonts w:hint="default" w:ascii="Times New Roman" w:hAnsi="Times New Roman" w:eastAsia="仿宋_GB2312" w:cs="Times New Roman"/>
          <w:sz w:val="28"/>
          <w:szCs w:val="28"/>
          <w:lang w:eastAsia="zh-CN"/>
        </w:rPr>
        <w:t>第四章</w:t>
      </w:r>
      <w:r>
        <w:rPr>
          <w:rFonts w:hint="default" w:ascii="Times New Roman" w:hAnsi="Times New Roman" w:eastAsia="仿宋_GB2312" w:cs="Times New Roman"/>
          <w:sz w:val="28"/>
          <w:szCs w:val="28"/>
        </w:rPr>
        <w:t>”的规定提交相应的资格证明文件，作为投标文件的一部分，以证明其有资格进行投标和有能力履行合同。</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21</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rPr>
        <w:t>投标人</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rPr>
        <w:t>技术证明文件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21.1</w:t>
      </w:r>
      <w:r>
        <w:rPr>
          <w:rFonts w:hint="default" w:ascii="Times New Roman" w:hAnsi="Times New Roman" w:eastAsia="仿宋_GB2312" w:cs="Times New Roman"/>
          <w:sz w:val="28"/>
          <w:szCs w:val="28"/>
          <w:lang w:val="en-US" w:eastAsia="zh-CN"/>
        </w:rPr>
        <w:t>投标人应按招标文件要求提交证明文件，证明其投标标的符合招标文件规定。</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21.2上款所述的证明文件，可以是文字资料、图纸和数据。</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22</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rPr>
        <w:t>投标函</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22.1投标人应按招标文件规定的格式和内容提交投标函。</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22.2下列任何情况发生时，按国家有关法律法规进行处理并按投标函的约定向采购人支付违约赔偿金：</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投标人在招标文件规定的投标有效期内实质上修改或撤回其投标；</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在投标文件中有意提供虚假材料；</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中标人拒绝在中标通知书规定的时间内签订合同。</w:t>
      </w:r>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rPr>
        <w:t>23</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pPr>
        <w:spacing w:line="360" w:lineRule="auto"/>
        <w:rPr>
          <w:rFonts w:hint="default" w:ascii="Times New Roman" w:hAnsi="Times New Roman" w:eastAsia="仿宋_GB2312" w:cs="Times New Roman"/>
          <w:b/>
          <w:bCs/>
          <w:sz w:val="28"/>
          <w:szCs w:val="28"/>
          <w:lang w:val="en-US" w:eastAsia="zh-CN"/>
        </w:rPr>
      </w:pPr>
      <w:bookmarkStart w:id="212"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212"/>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24.</w:t>
      </w:r>
      <w:r>
        <w:rPr>
          <w:rFonts w:hint="default" w:ascii="Times New Roman" w:hAnsi="Times New Roman" w:eastAsia="仿宋_GB2312" w:cs="Times New Roman"/>
          <w:b/>
          <w:bCs/>
          <w:sz w:val="28"/>
          <w:szCs w:val="28"/>
        </w:rPr>
        <w:t>投标有效期</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.1投标文件应自招标文件规定的投标截止日起，在“投标人须知前附表”规定的时间内保持有效。投标有效期不足的将被视为非响应性投标而予以拒绝。</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sz w:val="28"/>
          <w:szCs w:val="28"/>
          <w:lang w:val="zh-CN"/>
        </w:rPr>
        <w:t>其投标文件失效</w:t>
      </w:r>
      <w:r>
        <w:rPr>
          <w:rFonts w:hint="default" w:ascii="Times New Roman" w:hAnsi="Times New Roman" w:eastAsia="仿宋_GB2312" w:cs="Times New Roman"/>
          <w:sz w:val="28"/>
          <w:szCs w:val="28"/>
        </w:rPr>
        <w:t>。同意延期的投标人将不会被要求也不允许修改其投标文件，</w:t>
      </w:r>
      <w:r>
        <w:rPr>
          <w:rFonts w:hint="default" w:ascii="Times New Roman" w:hAnsi="Times New Roman" w:eastAsia="仿宋_GB2312" w:cs="Times New Roman"/>
          <w:sz w:val="28"/>
          <w:szCs w:val="28"/>
          <w:lang w:val="zh-CN"/>
        </w:rPr>
        <w:t>其投标文件</w:t>
      </w:r>
      <w:r>
        <w:rPr>
          <w:rFonts w:hint="default" w:ascii="Times New Roman" w:hAnsi="Times New Roman" w:eastAsia="仿宋_GB2312" w:cs="Times New Roman"/>
          <w:sz w:val="28"/>
          <w:szCs w:val="28"/>
        </w:rPr>
        <w:t>相应延长到新的有效期。</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25.</w:t>
      </w:r>
      <w:r>
        <w:rPr>
          <w:rFonts w:hint="default" w:ascii="Times New Roman" w:hAnsi="Times New Roman" w:eastAsia="仿宋_GB2312" w:cs="Times New Roman"/>
          <w:b/>
          <w:bCs/>
          <w:sz w:val="28"/>
          <w:szCs w:val="28"/>
        </w:rPr>
        <w:t>投标文件形式和签署</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.1投标人须在投标截止时间前制作并提交加密的电子投标文件。</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投标人可登录“河南省公共资源交易中心（http://www.hnggzy.net）”网站查看公共服务—办事指南—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rPr>
        <w:t>投标人在制作电子投标文件时，按格式内容要求进行电子签章（包括企业电子签章、个人电子签章）</w:t>
      </w:r>
      <w:r>
        <w:rPr>
          <w:rFonts w:hint="default" w:ascii="Times New Roman" w:hAnsi="Times New Roman" w:eastAsia="仿宋_GB2312" w:cs="Times New Roman"/>
          <w:sz w:val="28"/>
          <w:szCs w:val="28"/>
        </w:rPr>
        <w:t>。</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投标人在制作电子投标文件时，开标一览表按照格式编辑，并作为电子开标系统上传的依据。</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投标文件以外的任何资料采购人和集中采购机构将拒收。</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其他形式的投标文件一律不接受。</w:t>
      </w:r>
    </w:p>
    <w:p>
      <w:pPr>
        <w:spacing w:line="360" w:lineRule="auto"/>
        <w:rPr>
          <w:rFonts w:hint="default" w:ascii="Times New Roman" w:hAnsi="Times New Roman" w:eastAsia="仿宋_GB2312" w:cs="Times New Roman"/>
          <w:sz w:val="28"/>
          <w:szCs w:val="28"/>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13" w:name="_Toc1958475392"/>
      <w:bookmarkStart w:id="214" w:name="_Toc340063481"/>
      <w:bookmarkStart w:id="215" w:name="_Toc1446727086"/>
      <w:bookmarkStart w:id="216" w:name="_Toc1658848054"/>
      <w:bookmarkStart w:id="217" w:name="_Toc269831806"/>
      <w:bookmarkStart w:id="218" w:name="_Toc814900001_WPSOffice_Level2"/>
      <w:bookmarkStart w:id="219" w:name="_Toc1602167768_WPSOffice_Level2"/>
      <w:bookmarkStart w:id="220" w:name="_Toc99171812"/>
      <w:bookmarkStart w:id="221" w:name="_Toc1354261087_WPSOffice_Level2"/>
      <w:bookmarkStart w:id="222" w:name="_Toc99139981"/>
      <w:bookmarkStart w:id="223" w:name="_Toc880470383"/>
      <w:bookmarkStart w:id="224" w:name="_Toc1517317572"/>
      <w:bookmarkStart w:id="225" w:name="_Toc689398289_WPSOffice_Level2"/>
      <w:bookmarkStart w:id="226" w:name="_Toc123955915"/>
      <w:bookmarkStart w:id="227" w:name="_Toc1940674049"/>
      <w:r>
        <w:rPr>
          <w:rFonts w:hint="default" w:ascii="Times New Roman" w:hAnsi="Times New Roman" w:eastAsia="方正小标宋_GBK" w:cs="Times New Roman"/>
          <w:bCs/>
          <w:color w:val="auto"/>
          <w:kern w:val="0"/>
          <w:sz w:val="30"/>
          <w:szCs w:val="30"/>
          <w:lang w:val="en-US" w:eastAsia="zh-CN"/>
        </w:rPr>
        <w:t>四、投标文件的上传</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rPr>
        <w:t>.投标文件的上传</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.1加密电子投标文件的上传：见“投标人须知前附表”。</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.2投标人在上传时认真检查上传投标文件是否完整、正确。投标人因交易中心投标系统问题无法上传电子投标文件时，请在工作时间与河南省公共资源交易中心联系，联系电话：0371-65915501。</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27.</w:t>
      </w:r>
      <w:r>
        <w:rPr>
          <w:rFonts w:hint="default" w:ascii="Times New Roman" w:hAnsi="Times New Roman" w:eastAsia="仿宋_GB2312" w:cs="Times New Roman"/>
          <w:b/>
          <w:bCs/>
          <w:sz w:val="28"/>
          <w:szCs w:val="28"/>
        </w:rPr>
        <w:t>投标截止时间</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.1投标人应在“投标人须知前附表”规定的投标截止时间前上传投标文件。</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.2采购人和集中采购机构可以按本章第12条规定，通过修改招标文件自行决定酌情延长投标截止期限。</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28.</w:t>
      </w:r>
      <w:r>
        <w:rPr>
          <w:rFonts w:hint="default" w:ascii="Times New Roman" w:hAnsi="Times New Roman" w:eastAsia="仿宋_GB2312" w:cs="Times New Roman"/>
          <w:b/>
          <w:bCs/>
          <w:sz w:val="28"/>
          <w:szCs w:val="28"/>
        </w:rPr>
        <w:t>迟交的投标文件</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投标人在投标截止时间后上传的投标文件，将被拒绝。</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29.</w:t>
      </w:r>
      <w:r>
        <w:rPr>
          <w:rFonts w:hint="default" w:ascii="Times New Roman" w:hAnsi="Times New Roman" w:eastAsia="仿宋_GB2312" w:cs="Times New Roman"/>
          <w:b/>
          <w:bCs/>
          <w:sz w:val="28"/>
          <w:szCs w:val="28"/>
        </w:rPr>
        <w:t>投标文件的修改和撤回</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.1在投标截止时间前，投标人可以修改或撤回已上传的投标文件。</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.2在投标截止时间后，投标人不得修改或撤回其投标文件。</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.3在招标文件规定的投标有效期内，投标人不得实质上修改或撤回其投标。</w:t>
      </w:r>
    </w:p>
    <w:p>
      <w:pPr>
        <w:spacing w:line="360" w:lineRule="auto"/>
        <w:rPr>
          <w:rFonts w:hint="default" w:ascii="Times New Roman" w:hAnsi="Times New Roman" w:eastAsia="仿宋_GB2312" w:cs="Times New Roman"/>
          <w:sz w:val="28"/>
          <w:szCs w:val="28"/>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28" w:name="_Toc1288741030"/>
      <w:bookmarkStart w:id="229" w:name="_Toc1550393937_WPSOffice_Level2"/>
      <w:bookmarkStart w:id="230" w:name="_Toc491646129_WPSOffice_Level2"/>
      <w:bookmarkStart w:id="231" w:name="_Toc1130786219"/>
      <w:bookmarkStart w:id="232" w:name="_Toc1109071882"/>
      <w:bookmarkStart w:id="233" w:name="_Toc1744903856_WPSOffice_Level2"/>
      <w:bookmarkStart w:id="234" w:name="_Toc874621790"/>
      <w:bookmarkStart w:id="235" w:name="_Toc516757662_WPSOffice_Level2"/>
      <w:bookmarkStart w:id="236" w:name="_Toc1124298034"/>
      <w:bookmarkStart w:id="237" w:name="_Toc1140657126"/>
      <w:bookmarkStart w:id="238" w:name="_Toc960388964"/>
      <w:bookmarkStart w:id="239" w:name="_Toc229139457"/>
      <w:bookmarkStart w:id="240" w:name="_Toc516778272"/>
      <w:bookmarkStart w:id="241" w:name="_Toc58778488"/>
      <w:bookmarkStart w:id="242" w:name="_Toc702554443"/>
      <w:r>
        <w:rPr>
          <w:rFonts w:hint="default" w:ascii="Times New Roman" w:hAnsi="Times New Roman" w:eastAsia="方正小标宋_GBK" w:cs="Times New Roman"/>
          <w:bCs/>
          <w:color w:val="auto"/>
          <w:kern w:val="0"/>
          <w:sz w:val="30"/>
          <w:szCs w:val="30"/>
          <w:lang w:val="en-US" w:eastAsia="zh-CN"/>
        </w:rPr>
        <w:t>五、开标与评标</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rPr>
        <w:t>.开标</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.1开标及解密方式：见“投标人须知前附表”。</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.2不见面开标大厅网址：见“投标人须知前附表”。</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.3开标时间和开标地点：见“投标人须知前附表”。</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.4开标时，集中采购机构将通过网上开标系统</w:t>
      </w:r>
      <w:r>
        <w:rPr>
          <w:rFonts w:hint="default" w:ascii="Times New Roman" w:hAnsi="Times New Roman" w:eastAsia="仿宋_GB2312" w:cs="Times New Roman"/>
          <w:sz w:val="28"/>
          <w:szCs w:val="28"/>
          <w:lang w:eastAsia="zh-CN"/>
        </w:rPr>
        <w:t>公布</w:t>
      </w:r>
      <w:r>
        <w:rPr>
          <w:rFonts w:hint="default" w:ascii="Times New Roman" w:hAnsi="Times New Roman" w:eastAsia="仿宋_GB2312" w:cs="Times New Roman"/>
          <w:sz w:val="28"/>
          <w:szCs w:val="28"/>
        </w:rPr>
        <w:t>投标人名称、投标价格以及其它有关内容。</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31.</w:t>
      </w:r>
      <w:r>
        <w:rPr>
          <w:rFonts w:hint="default" w:ascii="Times New Roman" w:hAnsi="Times New Roman" w:eastAsia="仿宋_GB2312" w:cs="Times New Roman"/>
          <w:b/>
          <w:bCs/>
          <w:sz w:val="28"/>
          <w:szCs w:val="28"/>
        </w:rPr>
        <w:t>资格审查</w:t>
      </w:r>
    </w:p>
    <w:p>
      <w:pPr>
        <w:spacing w:line="360" w:lineRule="auto"/>
        <w:rPr>
          <w:rFonts w:hint="default" w:ascii="Times New Roman" w:hAnsi="Times New Roman" w:eastAsia="仿宋_GB2312" w:cs="Times New Roman"/>
          <w:sz w:val="28"/>
          <w:szCs w:val="28"/>
        </w:rPr>
      </w:pPr>
      <w:bookmarkStart w:id="243" w:name="_Toc1584989513_WPSOffice_Level3"/>
      <w:bookmarkStart w:id="244" w:name="_Toc45114864_WPSOffice_Level3"/>
      <w:bookmarkStart w:id="245" w:name="_Toc694141672_WPSOffice_Level3"/>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.1开标结束后，采购人对投标人的资格进行审查。</w:t>
      </w:r>
      <w:bookmarkEnd w:id="243"/>
      <w:bookmarkEnd w:id="244"/>
      <w:bookmarkEnd w:id="245"/>
    </w:p>
    <w:p>
      <w:pPr>
        <w:spacing w:line="360" w:lineRule="auto"/>
        <w:rPr>
          <w:rFonts w:hint="default" w:ascii="Times New Roman" w:hAnsi="Times New Roman" w:eastAsia="仿宋_GB2312" w:cs="Times New Roman"/>
          <w:sz w:val="28"/>
          <w:szCs w:val="28"/>
        </w:rPr>
      </w:pPr>
      <w:bookmarkStart w:id="246" w:name="_Toc1493406836_WPSOffice_Level3"/>
      <w:bookmarkStart w:id="247" w:name="_Toc1693296442_WPSOffice_Level3"/>
      <w:bookmarkStart w:id="248" w:name="_Toc85856132_WPSOffice_Level3"/>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.2合格投标人不足3家的，不得评标。</w:t>
      </w:r>
      <w:bookmarkEnd w:id="246"/>
      <w:bookmarkEnd w:id="247"/>
      <w:bookmarkEnd w:id="248"/>
    </w:p>
    <w:p>
      <w:pPr>
        <w:spacing w:line="360" w:lineRule="auto"/>
        <w:rPr>
          <w:rFonts w:hint="default" w:ascii="Times New Roman" w:hAnsi="Times New Roman" w:eastAsia="仿宋_GB2312" w:cs="Times New Roman"/>
          <w:sz w:val="28"/>
          <w:szCs w:val="28"/>
        </w:rPr>
      </w:pPr>
      <w:bookmarkStart w:id="249" w:name="_Toc21976785_WPSOffice_Level3"/>
      <w:bookmarkStart w:id="250" w:name="_Toc1971674233_WPSOffice_Level3"/>
      <w:bookmarkStart w:id="251" w:name="_Toc1285333830_WPSOffice_Level3"/>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.3资格审查标准见“投标人须知前附表”。</w:t>
      </w:r>
      <w:bookmarkEnd w:id="249"/>
      <w:bookmarkEnd w:id="250"/>
      <w:bookmarkEnd w:id="251"/>
    </w:p>
    <w:p>
      <w:pPr>
        <w:spacing w:line="360" w:lineRule="auto"/>
        <w:rPr>
          <w:rFonts w:hint="default" w:ascii="Times New Roman" w:hAnsi="Times New Roman" w:eastAsia="仿宋_GB2312" w:cs="Times New Roman"/>
          <w:sz w:val="28"/>
          <w:szCs w:val="28"/>
        </w:rPr>
      </w:pPr>
      <w:bookmarkStart w:id="252" w:name="_Toc468577997_WPSOffice_Level3"/>
      <w:bookmarkStart w:id="253" w:name="_Toc1785145571_WPSOffice_Level3"/>
      <w:bookmarkStart w:id="254" w:name="_Toc1102086292_WPSOffice_Level3"/>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.4信用记录的查询方法：见“投标人须知前附表”。</w:t>
      </w:r>
      <w:bookmarkEnd w:id="252"/>
      <w:bookmarkEnd w:id="253"/>
      <w:bookmarkEnd w:id="254"/>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.评标委员会</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.1评标由评标委员会负责，评标委员会由采购人代表和有关技术、经济等方面的专家组成，成员人数见“投标人须知前附表”。其中技术、经济等方面的专家不少于成员总数的三分之二。评</w:t>
      </w:r>
      <w:r>
        <w:rPr>
          <w:rFonts w:hint="default" w:ascii="Times New Roman" w:hAnsi="Times New Roman" w:eastAsia="仿宋_GB2312" w:cs="Times New Roman"/>
          <w:sz w:val="28"/>
          <w:szCs w:val="28"/>
          <w:lang w:eastAsia="zh-CN"/>
        </w:rPr>
        <w:t>审</w:t>
      </w:r>
      <w:r>
        <w:rPr>
          <w:rFonts w:hint="default" w:ascii="Times New Roman" w:hAnsi="Times New Roman" w:eastAsia="仿宋_GB2312" w:cs="Times New Roman"/>
          <w:sz w:val="28"/>
          <w:szCs w:val="28"/>
        </w:rPr>
        <w:t>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rPr>
        <w:t>，有关人员对评标委员会成员名单须严格保密。</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.2与投标人有利害关系的人员不得进入评标委员会。</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33.</w:t>
      </w:r>
      <w:r>
        <w:rPr>
          <w:rFonts w:hint="default" w:ascii="Times New Roman" w:hAnsi="Times New Roman" w:eastAsia="仿宋_GB2312" w:cs="Times New Roman"/>
          <w:b/>
          <w:bCs/>
          <w:sz w:val="28"/>
          <w:szCs w:val="28"/>
        </w:rPr>
        <w:t>投标文件的澄清</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.1为了有助于对投标文件进行审查、评估和比较，评标委员会有权向投标人</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rPr>
        <w:t>，请投标人澄清其投标内容。</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.2澄清的答复应加盖投标人公章</w:t>
      </w:r>
      <w:r>
        <w:rPr>
          <w:rFonts w:hint="default" w:ascii="Times New Roman" w:hAnsi="Times New Roman" w:eastAsia="仿宋_GB2312" w:cs="Times New Roman"/>
          <w:sz w:val="28"/>
          <w:szCs w:val="28"/>
          <w:lang w:eastAsia="zh-CN"/>
        </w:rPr>
        <w:t>（或企业电子签章）</w:t>
      </w:r>
      <w:r>
        <w:rPr>
          <w:rFonts w:hint="default" w:ascii="Times New Roman" w:hAnsi="Times New Roman" w:eastAsia="仿宋_GB2312" w:cs="Times New Roman"/>
          <w:sz w:val="28"/>
          <w:szCs w:val="28"/>
        </w:rPr>
        <w:t>或由法定代表人（或其委托代理人）签字</w:t>
      </w:r>
      <w:r>
        <w:rPr>
          <w:rFonts w:hint="default" w:ascii="Times New Roman" w:hAnsi="Times New Roman" w:eastAsia="仿宋_GB2312" w:cs="Times New Roman"/>
          <w:sz w:val="28"/>
          <w:szCs w:val="28"/>
          <w:lang w:eastAsia="zh-CN"/>
        </w:rPr>
        <w:t>或签章（或个人电子签章）</w:t>
      </w:r>
      <w:r>
        <w:rPr>
          <w:rFonts w:hint="default" w:ascii="Times New Roman" w:hAnsi="Times New Roman" w:eastAsia="仿宋_GB2312" w:cs="Times New Roman"/>
          <w:sz w:val="28"/>
          <w:szCs w:val="28"/>
        </w:rPr>
        <w:t>。</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.3投标人的澄清文件是投标文件的组成部分。</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.4投标文件的澄清不得对投标内容进行实质性修改。</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34.</w:t>
      </w:r>
      <w:r>
        <w:rPr>
          <w:rFonts w:hint="default" w:ascii="Times New Roman" w:hAnsi="Times New Roman" w:eastAsia="仿宋_GB2312" w:cs="Times New Roman"/>
          <w:b/>
          <w:bCs/>
          <w:sz w:val="28"/>
          <w:szCs w:val="28"/>
        </w:rPr>
        <w:t>投标文件的符合性审查</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.1评标委员会将审查投标文件是否实质上响应招标文件。</w:t>
      </w:r>
      <w:r>
        <w:rPr>
          <w:rFonts w:hint="default" w:ascii="Times New Roman" w:hAnsi="Times New Roman" w:eastAsia="仿宋_GB2312" w:cs="Times New Roman"/>
          <w:sz w:val="28"/>
          <w:szCs w:val="28"/>
          <w:lang w:eastAsia="zh-CN"/>
        </w:rPr>
        <w:t>通过</w:t>
      </w:r>
      <w:r>
        <w:rPr>
          <w:rFonts w:hint="default" w:ascii="Times New Roman" w:hAnsi="Times New Roman" w:eastAsia="仿宋_GB2312" w:cs="Times New Roman"/>
          <w:sz w:val="28"/>
          <w:szCs w:val="28"/>
          <w:lang w:val="en-US" w:eastAsia="zh-CN"/>
        </w:rPr>
        <w:t>符合性审查</w:t>
      </w:r>
      <w:r>
        <w:rPr>
          <w:rFonts w:hint="default" w:ascii="Times New Roman" w:hAnsi="Times New Roman" w:eastAsia="仿宋_GB2312" w:cs="Times New Roman"/>
          <w:sz w:val="28"/>
          <w:szCs w:val="28"/>
          <w:lang w:eastAsia="zh-CN"/>
        </w:rPr>
        <w:t>的合格</w:t>
      </w:r>
      <w:r>
        <w:rPr>
          <w:rFonts w:hint="default" w:ascii="Times New Roman" w:hAnsi="Times New Roman" w:eastAsia="仿宋_GB2312" w:cs="Times New Roman"/>
          <w:sz w:val="28"/>
          <w:szCs w:val="28"/>
        </w:rPr>
        <w:t>投标人不足3家的，</w:t>
      </w:r>
      <w:r>
        <w:rPr>
          <w:rFonts w:hint="default" w:ascii="Times New Roman" w:hAnsi="Times New Roman" w:eastAsia="仿宋_GB2312" w:cs="Times New Roman"/>
          <w:sz w:val="28"/>
          <w:szCs w:val="28"/>
          <w:lang w:val="en-US" w:eastAsia="zh-CN"/>
        </w:rPr>
        <w:t>项目废标</w:t>
      </w:r>
      <w:r>
        <w:rPr>
          <w:rFonts w:hint="default" w:ascii="Times New Roman" w:hAnsi="Times New Roman" w:eastAsia="仿宋_GB2312" w:cs="Times New Roman"/>
          <w:sz w:val="28"/>
          <w:szCs w:val="28"/>
        </w:rPr>
        <w:t>。</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.2允许修正投标文件中不构成重大偏离的、微小的、非正规的、不一致或不规则的地方。</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.3在对投标文件进行详细评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rPr>
        <w:t>之前，评标委员会将确定</w:t>
      </w:r>
      <w:r>
        <w:rPr>
          <w:rFonts w:hint="default" w:ascii="Times New Roman" w:hAnsi="Times New Roman" w:eastAsia="仿宋_GB2312" w:cs="Times New Roman"/>
          <w:sz w:val="28"/>
          <w:szCs w:val="28"/>
          <w:lang w:val="en-US" w:eastAsia="zh-CN"/>
        </w:rPr>
        <w:t>投标文件</w:t>
      </w:r>
      <w:r>
        <w:rPr>
          <w:rFonts w:hint="default" w:ascii="Times New Roman" w:hAnsi="Times New Roman" w:eastAsia="仿宋_GB2312" w:cs="Times New Roman"/>
          <w:sz w:val="28"/>
          <w:szCs w:val="28"/>
        </w:rPr>
        <w:t>是否对招标文件的要求做出了实质性的响应，而没有重大偏离。实质性响应的投标是指投标符合招标文件的实质性条款、条件和规定且没有重大偏离和保留。重大偏离和保留是指对招标文件规定的采购需求、</w:t>
      </w:r>
      <w:r>
        <w:rPr>
          <w:rFonts w:hint="default" w:ascii="Times New Roman" w:hAnsi="Times New Roman" w:eastAsia="仿宋_GB2312" w:cs="Times New Roman"/>
          <w:sz w:val="28"/>
          <w:szCs w:val="28"/>
          <w:lang w:eastAsia="zh-CN"/>
        </w:rPr>
        <w:t>服务期限、</w:t>
      </w:r>
      <w:r>
        <w:rPr>
          <w:rFonts w:hint="default" w:ascii="Times New Roman" w:hAnsi="Times New Roman" w:eastAsia="仿宋_GB2312" w:cs="Times New Roman"/>
          <w:sz w:val="28"/>
          <w:szCs w:val="28"/>
        </w:rPr>
        <w:t>投标有效期、付款方式等产生重大或不可接受的偏差，或限制了集中采购机构、采购人的权利和投标人的义务的规定，而纠正这些偏离将影响到其它提交实质性响应投标的投标人的公平竞争地位。</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.4评标委员会判断投标文件的响应性仅基于投标文件本身内容而不靠外部证据。</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.5实质上没有响应招标文件要求的投标将被拒绝，投标人不得通过修正或撤消不符之处而使其投标成为实质上响应投标。</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参与同一个标段（包）的投标人存在下列情形之一的，其投标（响应）文件无效：</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（1）不同投标人的电子投标（响应）文件上传计算机的网卡MAC地址、CPU序列号和硬盘序列号等硬件信息相同的；</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（2）不同投标人的投标（响应）文件由同一电子设备编制、加密或者上传；</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（3）不同投标人的投标（响应）文件由同一人送达或者分发，或者不同投标人联系人为同一人或不同联系人的联系电话一致的；</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（4）不同投标人的投标（响应）文件的内容存在两处以上专有细节错误一致；</w:t>
      </w:r>
    </w:p>
    <w:p>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34.7有下列情形之一的，视为投标人串通投标，其投标无效：</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（1）不同投标人的投标文件由同一单位或者个人编制；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（2）不同投标人委托同一单位或者个人办理投标事宜；</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（3）不同投标人的投标文件载明的项目管理成员或者联系人员为同一人；</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（4）不同投标人的投标文件异常一致或者投标报价呈规律性差异；</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（5）不同投标人的投标文件相互混装；</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（6）不同投标人的投标保证金从同一单位或者个人的账户转出。</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rPr>
        <w:t>.投标的评价</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.1投标文件报价出现前后不一致的，按照下列规定修正：</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（1）投标文件中开标一览表（报价表）内容与投标文件中相应内容不一致的，以开标一览表（报价表）为准；</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（2）大写金额和小写金额不一致的，以大写金额为准；</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（3）单价金额小数点或者百分比有明显错位的，以开标一览表的总价为准，并修改单价；</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（4）总价金额与按单价汇总金额不一致的，以单价金额计算结果为准。</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同时出现两种以上不一致的，按照前款规定的顺序修正。修正后的报价经投标人确认后产生约束力，投标人不确认的，其投标无效。</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.3评标委员会只对已判定为实质性响应的投标文件进行评价和比较。</w:t>
      </w:r>
    </w:p>
    <w:p>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.4</w:t>
      </w:r>
      <w:r>
        <w:rPr>
          <w:rFonts w:hint="default" w:ascii="Times New Roman" w:hAnsi="Times New Roman" w:eastAsia="仿宋_GB2312" w:cs="Times New Roman"/>
          <w:color w:val="auto"/>
          <w:sz w:val="28"/>
          <w:szCs w:val="28"/>
        </w:rPr>
        <w:t>节能环保政策</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根据财政部 发展改革委 生态环境部 市场监管总局《关于调整优化节能产品、环境标志产品政府采购执行机制的通知》（财库〔2019〕9号）要求：</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（1）本项目若含有节能产品政府采购品目清单内政府强制采购产品，投标人须选用国家确定的认证机构认证的处于有效期之内的政府强制采购节能产品。</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本项目若含有节能产品、环境标志产品政府采购品目清单内政府优先采购产品，对选用国家公布的认证机构认证的处于有效期之内的政府优先采购节能产品（政府强制采购产品除外）、环境标志产品的，在评标时予以优先采购。</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（3）投标人应提供国家确定的认证机构出具的处于有效期之内的节能产品、环境标志产品认证证书。</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lang w:val="en-US" w:eastAsia="zh-CN"/>
        </w:rPr>
        <w:t xml:space="preserve">35.5 </w:t>
      </w:r>
      <w:r>
        <w:rPr>
          <w:rFonts w:hint="default" w:ascii="Times New Roman" w:hAnsi="Times New Roman" w:eastAsia="仿宋_GB2312" w:cs="Times New Roman"/>
          <w:color w:val="auto"/>
          <w:sz w:val="28"/>
          <w:szCs w:val="28"/>
        </w:rPr>
        <w:t>商品包装和快递包装要求</w:t>
      </w:r>
    </w:p>
    <w:p>
      <w:pPr>
        <w:spacing w:line="360" w:lineRule="auto"/>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zh-TW" w:eastAsia="zh-TW"/>
        </w:rPr>
        <w:t>本文件列出商品包装和快递包装要求的，投标人</w:t>
      </w:r>
      <w:r>
        <w:rPr>
          <w:rFonts w:hint="default" w:ascii="Times New Roman" w:hAnsi="Times New Roman" w:eastAsia="仿宋_GB2312" w:cs="Times New Roman"/>
          <w:color w:val="auto"/>
          <w:sz w:val="28"/>
          <w:szCs w:val="28"/>
          <w:lang w:val="zh-TW" w:eastAsia="zh-CN"/>
        </w:rPr>
        <w:t>可</w:t>
      </w:r>
      <w:r>
        <w:rPr>
          <w:rFonts w:hint="default" w:ascii="Times New Roman" w:hAnsi="Times New Roman" w:eastAsia="仿宋_GB2312" w:cs="Times New Roman"/>
          <w:color w:val="auto"/>
          <w:sz w:val="28"/>
          <w:szCs w:val="28"/>
          <w:lang w:val="zh-TW" w:eastAsia="zh-TW"/>
        </w:rPr>
        <w:t>填写商品包装和快递包装承诺函，承诺商品包装符合《商品包装政府采购需求标准（试行）》，快递包装符合《快递包装政府采购需求标准（试行）》。</w:t>
      </w:r>
      <w:r>
        <w:rPr>
          <w:rFonts w:hint="default" w:ascii="Times New Roman" w:hAnsi="Times New Roman" w:eastAsia="仿宋_GB2312" w:cs="Times New Roman"/>
          <w:color w:val="auto"/>
          <w:sz w:val="28"/>
          <w:szCs w:val="28"/>
          <w:lang w:val="zh-TW" w:eastAsia="zh-CN"/>
        </w:rPr>
        <w:t>本项目如需落实商品包装和快递包装要求，将在“投标人须知前附表”中载明。</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rPr>
        <w:t>.评标价的确定</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.1根据《政府采购促进中小企业发展管理办法》（财库〔2020〕46号）</w:t>
      </w:r>
      <w:r>
        <w:rPr>
          <w:rFonts w:hint="default" w:ascii="Times New Roman" w:hAnsi="Times New Roman" w:eastAsia="仿宋_GB2312" w:cs="Times New Roman"/>
          <w:sz w:val="28"/>
          <w:szCs w:val="28"/>
          <w:lang w:eastAsia="zh-CN"/>
        </w:rPr>
        <w:t>和《财政部关于进一步加大政府采购支持中小企业力度的通知》（财库〔2022〕19号）</w:t>
      </w:r>
      <w:r>
        <w:rPr>
          <w:rFonts w:hint="default" w:ascii="Times New Roman" w:hAnsi="Times New Roman" w:eastAsia="仿宋_GB2312" w:cs="Times New Roman"/>
          <w:sz w:val="28"/>
          <w:szCs w:val="28"/>
        </w:rPr>
        <w:t>的规定，釆购人在政府釆购活动中支持中小企业发展：</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（1）采购项目或采购包预留釆购份额专门面向中小企业采购；</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（2）未预留份额专门面向中小企业釆购的釆购项目，以及预留份额项目中的非预留部分釆购包，对小微企业报价给予</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0%的扣除，用扣除后的价格参加评审。中小企业扶持政策：见“投标人须知前附表”。</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（4）监狱企业视同小型、微型企业，投标人应提供省级及以上监狱管理局、戒毒管理局（含新疆生产建设兵团）出具的属于监狱企业的证明文件。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36.2</w:t>
      </w:r>
      <w:r>
        <w:rPr>
          <w:rFonts w:hint="default" w:ascii="Times New Roman" w:hAnsi="Times New Roman" w:eastAsia="仿宋_GB2312" w:cs="Times New Roman"/>
          <w:sz w:val="28"/>
          <w:szCs w:val="28"/>
        </w:rPr>
        <w:t>评标价不作为中标价和合同签约价，中标价和合同签约价仍以其投标文件中的报价为准。</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rPr>
        <w:t>.评标结果</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.1评标委员会按照招标文件中规定的评标方法和标准，对符合性审查合格的投标文件进行商务和技术评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rPr>
        <w:t>，综合比较与评价。</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.2投标人的评审得分为所有评委评审得分的算术平均值，评审得分取至小数点后两位（第三位四舍五入）。</w:t>
      </w:r>
    </w:p>
    <w:p>
      <w:pPr>
        <w:pStyle w:val="87"/>
        <w:spacing w:line="360" w:lineRule="auto"/>
        <w:rPr>
          <w:rFonts w:hint="default" w:ascii="Times New Roman" w:hAnsi="Times New Roman" w:eastAsia="仿宋_GB2312" w:cs="Times New Roman"/>
        </w:rPr>
      </w:pPr>
      <w:r>
        <w:rPr>
          <w:rFonts w:hint="default" w:ascii="Times New Roman" w:hAnsi="Times New Roman" w:eastAsia="仿宋_GB2312" w:cs="Times New Roman"/>
          <w:b/>
          <w:bCs/>
          <w:sz w:val="28"/>
          <w:szCs w:val="28"/>
        </w:rPr>
        <w:t>38.</w:t>
      </w:r>
      <w:r>
        <w:rPr>
          <w:rFonts w:hint="default" w:ascii="Times New Roman" w:hAnsi="Times New Roman" w:eastAsia="仿宋_GB2312" w:cs="Times New Roman"/>
          <w:b/>
          <w:color w:val="auto"/>
          <w:sz w:val="28"/>
          <w:szCs w:val="28"/>
        </w:rPr>
        <w:t>推荐中标候选人原则及标准</w:t>
      </w:r>
    </w:p>
    <w:p>
      <w:pPr>
        <w:widowControl w:val="0"/>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除非“投标人须知前附表”有特殊约定，否则评标委员会按评审后得分由高到低顺序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rPr>
        <w:t>.保密及其它注意事项</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.1评标是招标工作的重要环节，评标工作在评标委员会内独立进行。</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.2评标委员会将遵照规定的评标方法，公正、平等地对待所有投标人。</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.3在评标期间，投标人不得向评委询问评标情况，不得进行旨在影响评标结果的活动。否则其投标可能被拒绝。</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.4为保证评标的公正性，开标后直至授予投标人合同，评委不得与投标人私下交换意见。</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.5在评标工作结束后，凡与评标情况有接触的任何人不得擅自将评标情况扩散出评标人员之外。</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.6评标结束后，概不退还投标文件。</w:t>
      </w:r>
    </w:p>
    <w:p>
      <w:pPr>
        <w:pStyle w:val="14"/>
        <w:rPr>
          <w:rFonts w:hint="default" w:ascii="Times New Roman" w:hAnsi="Times New Roman" w:cs="Times New Roma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55" w:name="_Toc57506616"/>
      <w:bookmarkStart w:id="256" w:name="_Toc2899487"/>
      <w:bookmarkStart w:id="257" w:name="_Toc529068754"/>
      <w:bookmarkStart w:id="258" w:name="_Toc1092967952_WPSOffice_Level2"/>
      <w:bookmarkStart w:id="259" w:name="_Toc1199683400_WPSOffice_Level2"/>
      <w:bookmarkStart w:id="260" w:name="_Toc917262788"/>
      <w:bookmarkStart w:id="261" w:name="_Toc1052785819"/>
      <w:bookmarkStart w:id="262" w:name="_Toc69887890"/>
      <w:bookmarkStart w:id="263" w:name="_Toc249591238"/>
      <w:bookmarkStart w:id="264" w:name="_Toc469259728"/>
      <w:bookmarkStart w:id="265" w:name="_Toc1426358028_WPSOffice_Level2"/>
      <w:bookmarkStart w:id="266" w:name="_Toc1781574470_WPSOffice_Level2"/>
      <w:bookmarkStart w:id="267" w:name="_Toc1542593003"/>
      <w:bookmarkStart w:id="268" w:name="_Toc825115381"/>
      <w:bookmarkStart w:id="269" w:name="_Toc34536976"/>
      <w:r>
        <w:rPr>
          <w:rFonts w:hint="default" w:ascii="Times New Roman" w:hAnsi="Times New Roman" w:eastAsia="方正小标宋_GBK" w:cs="Times New Roman"/>
          <w:bCs/>
          <w:color w:val="auto"/>
          <w:kern w:val="0"/>
          <w:sz w:val="30"/>
          <w:szCs w:val="30"/>
          <w:lang w:val="en-US" w:eastAsia="zh-CN"/>
        </w:rPr>
        <w:t>六、确定中标</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val="en"/>
        </w:rPr>
        <w:t>.</w:t>
      </w:r>
      <w:r>
        <w:rPr>
          <w:rFonts w:hint="default" w:ascii="Times New Roman" w:hAnsi="Times New Roman" w:eastAsia="仿宋_GB2312" w:cs="Times New Roman"/>
          <w:b/>
          <w:color w:val="auto"/>
          <w:kern w:val="0"/>
          <w:sz w:val="28"/>
          <w:szCs w:val="28"/>
          <w:lang w:val="en-US" w:eastAsia="zh-CN"/>
        </w:rPr>
        <w:t>确定中标人</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val="e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采购人应当自收到评标报告之日起５个工作日内，从评标报告提出的中标候选人中，根据评标委员会</w:t>
      </w:r>
      <w:r>
        <w:rPr>
          <w:rFonts w:hint="default" w:ascii="Times New Roman" w:hAnsi="Times New Roman" w:eastAsia="仿宋_GB2312" w:cs="Times New Roman"/>
          <w:sz w:val="28"/>
          <w:szCs w:val="28"/>
          <w:lang w:eastAsia="zh-CN"/>
        </w:rPr>
        <w:t>推荐</w:t>
      </w:r>
      <w:r>
        <w:rPr>
          <w:rFonts w:hint="default" w:ascii="Times New Roman" w:hAnsi="Times New Roman" w:eastAsia="仿宋_GB2312" w:cs="Times New Roman"/>
          <w:sz w:val="28"/>
          <w:szCs w:val="28"/>
        </w:rPr>
        <w:t>排名顺序的中标候选人中，选定第一中标候选人为中标人；也可以书面授权评标委员会直接确定中标人。</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rPr>
        <w:t>采购人在收到评标报告5个工作日内未按评标报告推荐的中标候选人顺序确定中标人，又不能说明合法理由的，视同按评标报告推荐的顺序确定排名第一的中标候选人为中标人。</w:t>
      </w:r>
    </w:p>
    <w:p>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采购人按规定确定中标人后，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rPr>
        <w:t>集中采购机构应将中标结果在“投标人须知前附表”规定的媒介上予以公告，中标结果公告期限为1个工作日。</w:t>
      </w:r>
    </w:p>
    <w:p>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pPr>
        <w:pStyle w:val="14"/>
        <w:spacing w:before="0"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41.3</w:t>
      </w:r>
      <w:r>
        <w:rPr>
          <w:rFonts w:hint="default" w:ascii="Times New Roman" w:hAnsi="Times New Roman" w:eastAsia="仿宋_GB2312" w:cs="Times New Roman"/>
          <w:kern w:val="1"/>
          <w:sz w:val="28"/>
          <w:szCs w:val="28"/>
          <w:lang w:eastAsia="zh-CN"/>
        </w:rPr>
        <w:t>中标</w:t>
      </w:r>
      <w:r>
        <w:rPr>
          <w:rFonts w:hint="default" w:ascii="Times New Roman" w:hAnsi="Times New Roman" w:eastAsia="仿宋_GB2312" w:cs="Times New Roman"/>
          <w:kern w:val="1"/>
          <w:sz w:val="28"/>
          <w:szCs w:val="28"/>
        </w:rPr>
        <w:t>通知书发出后，采购人不得违法改变</w:t>
      </w:r>
      <w:r>
        <w:rPr>
          <w:rFonts w:hint="default" w:ascii="Times New Roman" w:hAnsi="Times New Roman" w:eastAsia="仿宋_GB2312" w:cs="Times New Roman"/>
          <w:kern w:val="1"/>
          <w:sz w:val="28"/>
          <w:szCs w:val="28"/>
          <w:lang w:val="en-US" w:eastAsia="zh-CN"/>
        </w:rPr>
        <w:t>中标</w:t>
      </w:r>
      <w:r>
        <w:rPr>
          <w:rFonts w:hint="default" w:ascii="Times New Roman" w:hAnsi="Times New Roman" w:eastAsia="仿宋_GB2312" w:cs="Times New Roman"/>
          <w:kern w:val="1"/>
          <w:sz w:val="28"/>
          <w:szCs w:val="28"/>
        </w:rPr>
        <w:t>结果，</w:t>
      </w:r>
      <w:r>
        <w:rPr>
          <w:rFonts w:hint="default" w:ascii="Times New Roman" w:hAnsi="Times New Roman" w:eastAsia="仿宋_GB2312" w:cs="Times New Roman"/>
          <w:kern w:val="1"/>
          <w:sz w:val="28"/>
          <w:szCs w:val="28"/>
          <w:lang w:eastAsia="zh-CN"/>
        </w:rPr>
        <w:t>中标</w:t>
      </w:r>
      <w:r>
        <w:rPr>
          <w:rFonts w:hint="default" w:ascii="Times New Roman" w:hAnsi="Times New Roman" w:eastAsia="仿宋_GB2312" w:cs="Times New Roman"/>
          <w:kern w:val="1"/>
          <w:sz w:val="28"/>
          <w:szCs w:val="28"/>
          <w:lang w:val="en-US" w:eastAsia="zh-CN"/>
        </w:rPr>
        <w:t>人</w:t>
      </w:r>
      <w:r>
        <w:rPr>
          <w:rFonts w:hint="default" w:ascii="Times New Roman" w:hAnsi="Times New Roman" w:eastAsia="仿宋_GB2312" w:cs="Times New Roman"/>
          <w:kern w:val="1"/>
          <w:sz w:val="28"/>
          <w:szCs w:val="28"/>
        </w:rPr>
        <w:t>无正当理由不得放弃</w:t>
      </w:r>
      <w:r>
        <w:rPr>
          <w:rFonts w:hint="default" w:ascii="Times New Roman" w:hAnsi="Times New Roman" w:eastAsia="仿宋_GB2312" w:cs="Times New Roman"/>
          <w:kern w:val="1"/>
          <w:sz w:val="28"/>
          <w:szCs w:val="28"/>
          <w:lang w:val="en-US" w:eastAsia="zh-CN"/>
        </w:rPr>
        <w:t>中标</w:t>
      </w:r>
      <w:r>
        <w:rPr>
          <w:rFonts w:hint="default" w:ascii="Times New Roman" w:hAnsi="Times New Roman" w:eastAsia="仿宋_GB2312" w:cs="Times New Roman"/>
          <w:kern w:val="1"/>
          <w:sz w:val="28"/>
          <w:szCs w:val="28"/>
        </w:rPr>
        <w:t>。</w:t>
      </w:r>
    </w:p>
    <w:p>
      <w:pPr>
        <w:widowControl w:val="0"/>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.接受和拒绝任何或所有投标的权利</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如出现重大变故，采购任务取消情况，集中采购机构和采购人保留因此原因在授标之前任何时候接受或拒绝任何投标、以及宣布招标无效或拒绝所有投标的权利，对受影响的投标人不承担任何责任。</w:t>
      </w:r>
    </w:p>
    <w:p>
      <w:pPr>
        <w:spacing w:line="360" w:lineRule="auto"/>
        <w:rPr>
          <w:rFonts w:hint="default" w:ascii="Times New Roman" w:hAnsi="Times New Roman" w:eastAsia="仿宋_GB2312" w:cs="Times New Roman"/>
          <w:sz w:val="28"/>
          <w:szCs w:val="28"/>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70" w:name="_Toc574236286"/>
      <w:bookmarkStart w:id="271" w:name="_Toc1435125006"/>
      <w:bookmarkStart w:id="272" w:name="_Toc2045390548_WPSOffice_Level2"/>
      <w:bookmarkStart w:id="273" w:name="_Toc212998948_WPSOffice_Level2"/>
      <w:bookmarkStart w:id="274" w:name="_Toc1674499174"/>
      <w:bookmarkStart w:id="275" w:name="_Toc2132928082"/>
      <w:bookmarkStart w:id="276" w:name="_Toc1835231440"/>
      <w:bookmarkStart w:id="277" w:name="_Toc289293782"/>
      <w:bookmarkStart w:id="278" w:name="_Toc272788692"/>
      <w:bookmarkStart w:id="279" w:name="_Toc1253526278"/>
      <w:bookmarkStart w:id="280" w:name="_Toc285838294"/>
      <w:bookmarkStart w:id="281" w:name="_Toc420601376"/>
      <w:bookmarkStart w:id="282" w:name="_Toc155496134_WPSOffice_Level2"/>
      <w:bookmarkStart w:id="283" w:name="_Toc387142253"/>
      <w:bookmarkStart w:id="284" w:name="_Toc1194929028_WPSOffice_Level2"/>
      <w:r>
        <w:rPr>
          <w:rFonts w:hint="default" w:ascii="Times New Roman" w:hAnsi="Times New Roman" w:eastAsia="方正小标宋_GBK" w:cs="Times New Roman"/>
          <w:bCs/>
          <w:color w:val="auto"/>
          <w:kern w:val="0"/>
          <w:sz w:val="30"/>
          <w:szCs w:val="30"/>
          <w:lang w:val="en-US" w:eastAsia="zh-CN"/>
        </w:rPr>
        <w:t>七、授予合同</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rPr>
        <w:t>.合同授予标准</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条</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rPr>
        <w:t>的规定之外，采购人将把合同授予被确定为实质上响应招标文件要求并有履行合同能力的评</w:t>
      </w:r>
      <w:r>
        <w:rPr>
          <w:rFonts w:hint="default" w:ascii="Times New Roman" w:hAnsi="Times New Roman" w:eastAsia="仿宋_GB2312" w:cs="Times New Roman"/>
          <w:sz w:val="28"/>
          <w:szCs w:val="28"/>
          <w:lang w:eastAsia="zh-CN"/>
        </w:rPr>
        <w:t>审后</w:t>
      </w:r>
      <w:r>
        <w:rPr>
          <w:rFonts w:hint="default" w:ascii="Times New Roman" w:hAnsi="Times New Roman" w:eastAsia="仿宋_GB2312" w:cs="Times New Roman"/>
          <w:sz w:val="28"/>
          <w:szCs w:val="28"/>
        </w:rPr>
        <w:t>综合得分最高的投标人。</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rPr>
        <w:t>.合同授予时更改采购服务数量的权利</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采购人在授予合同时有权在“投标人须知前附表”规定的范围内，对项目需求中规定的</w:t>
      </w:r>
      <w:r>
        <w:rPr>
          <w:rFonts w:hint="default" w:ascii="Times New Roman" w:hAnsi="Times New Roman" w:eastAsia="仿宋_GB2312" w:cs="Times New Roman"/>
          <w:sz w:val="28"/>
          <w:szCs w:val="28"/>
          <w:lang w:eastAsia="zh-CN"/>
        </w:rPr>
        <w:t>服务</w:t>
      </w:r>
      <w:r>
        <w:rPr>
          <w:rFonts w:hint="default" w:ascii="Times New Roman" w:hAnsi="Times New Roman" w:eastAsia="仿宋_GB2312" w:cs="Times New Roman"/>
          <w:sz w:val="28"/>
          <w:szCs w:val="28"/>
        </w:rPr>
        <w:t>的量予以增加或减少，但不得对服务内容或其它实质性的条款和条件做任何改变。</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rPr>
        <w:t>签订合同</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.1采购人应当自中标通知书发出之日起15日内，按照招标文件和中标人投标文件的规定，与中标人签订书面合同。所签订的合同不得对招标文件确定的事项和中标人投标文件作实质性修改。</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.2招标文件、中标人的投标文件和澄清文件等，均应作为签约的合同文本的基础。</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.3如采购人对中标人拒签合同，依照《中华人民共和国政府采购法》《中华人民共和国政府采购法实施条例》</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政府采购货物和服务招标投标管理办法</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财政部令第87号</w:t>
      </w:r>
      <w:r>
        <w:rPr>
          <w:rFonts w:hint="default" w:ascii="Times New Roman" w:hAnsi="Times New Roman" w:eastAsia="仿宋_GB2312" w:cs="Times New Roman"/>
          <w:sz w:val="28"/>
          <w:szCs w:val="28"/>
        </w:rPr>
        <w:t>）等规定承担相应的违约责任。</w:t>
      </w:r>
    </w:p>
    <w:p>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rPr>
        <w:t>履约保证金</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中标人应按</w:t>
      </w:r>
      <w:r>
        <w:rPr>
          <w:rFonts w:hint="default" w:ascii="Times New Roman" w:hAnsi="Times New Roman" w:eastAsia="仿宋_GB2312" w:cs="Times New Roman"/>
          <w:sz w:val="28"/>
          <w:szCs w:val="28"/>
          <w:lang w:val="en-US" w:eastAsia="zh-CN"/>
        </w:rPr>
        <w:t>招标文件</w:t>
      </w:r>
      <w:r>
        <w:rPr>
          <w:rFonts w:hint="default" w:ascii="Times New Roman" w:hAnsi="Times New Roman" w:eastAsia="仿宋_GB2312" w:cs="Times New Roman"/>
          <w:sz w:val="28"/>
          <w:szCs w:val="28"/>
        </w:rPr>
        <w:t>的规定向采购人提交履约保证金。采购人不得以中标人事先缴纳履约保证金作为签订合同的条件,并应在中标人履行完合同约定义务事项后及时退还。</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rPr>
        <w:t>如中标人不按本章第4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条约定签订合同，依照《中华人民共和国政府采购法》《中华人民共和国政府采购法实施条例》</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政府采购货物和服务招标投标管理办法</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财政部令第87号</w:t>
      </w:r>
      <w:r>
        <w:rPr>
          <w:rFonts w:hint="default" w:ascii="Times New Roman" w:hAnsi="Times New Roman" w:eastAsia="仿宋_GB2312" w:cs="Times New Roman"/>
          <w:sz w:val="28"/>
          <w:szCs w:val="28"/>
        </w:rPr>
        <w:t>）等规定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rPr>
        <w:t>担相应的违约责任</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。采购人可在按照评审报告推荐的中标或者成交候选人名单排序，确定下一</w:t>
      </w:r>
      <w:r>
        <w:rPr>
          <w:rFonts w:hint="default" w:ascii="Times New Roman" w:hAnsi="Times New Roman" w:eastAsia="仿宋_GB2312" w:cs="Times New Roman"/>
          <w:sz w:val="28"/>
          <w:szCs w:val="28"/>
          <w:lang w:eastAsia="zh-CN"/>
        </w:rPr>
        <w:t>中标</w:t>
      </w:r>
      <w:r>
        <w:rPr>
          <w:rFonts w:hint="default" w:ascii="Times New Roman" w:hAnsi="Times New Roman" w:eastAsia="仿宋_GB2312" w:cs="Times New Roman"/>
          <w:sz w:val="28"/>
          <w:szCs w:val="28"/>
        </w:rPr>
        <w:t>候选人为中标人，也可以重新开展政府采购活动。</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本项目是否由中标人向</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支付招标代理费，按照投标人须知前附表规定执行。</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提出书面质疑。</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49.2质疑投标人应按照《政府采购质疑和投诉办法》的要求，在法定质疑期内以书面形式提出质疑，针对同一采购程序环节的质疑次数应符合投标人须知前附表的规定。</w:t>
      </w:r>
    </w:p>
    <w:p>
      <w:pPr>
        <w:spacing w:line="360" w:lineRule="auto"/>
        <w:rPr>
          <w:rFonts w:hint="default" w:ascii="Times New Roman" w:hAnsi="Times New Roman" w:eastAsia="仿宋_GB2312" w:cs="Times New Roman"/>
          <w:sz w:val="28"/>
          <w:szCs w:val="28"/>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85" w:name="_Toc2042622906"/>
      <w:bookmarkStart w:id="286" w:name="_Toc65811364"/>
      <w:bookmarkStart w:id="287" w:name="_Toc2106161628_WPSOffice_Level2"/>
      <w:bookmarkStart w:id="288" w:name="_Toc449097168_WPSOffice_Level2"/>
      <w:bookmarkStart w:id="289" w:name="_Toc1014127690"/>
      <w:bookmarkStart w:id="290" w:name="_Toc1786314322"/>
      <w:bookmarkStart w:id="291" w:name="_Toc1615377744"/>
      <w:bookmarkStart w:id="292" w:name="_Toc1766978063_WPSOffice_Level2"/>
      <w:bookmarkStart w:id="293" w:name="_Toc1226187921"/>
      <w:bookmarkStart w:id="294" w:name="_Toc512476358"/>
      <w:bookmarkStart w:id="295" w:name="_Toc1294126331"/>
      <w:bookmarkStart w:id="296" w:name="_Toc1108985532"/>
      <w:bookmarkStart w:id="297" w:name="_Toc2050602757_WPSOffice_Level2"/>
      <w:bookmarkStart w:id="298" w:name="_Toc1719815385"/>
      <w:bookmarkStart w:id="299" w:name="_Toc691566780"/>
      <w:r>
        <w:rPr>
          <w:rFonts w:hint="default" w:ascii="Times New Roman" w:hAnsi="Times New Roman" w:eastAsia="方正小标宋_GBK" w:cs="Times New Roman"/>
          <w:bCs/>
          <w:color w:val="auto"/>
          <w:kern w:val="0"/>
          <w:sz w:val="30"/>
          <w:szCs w:val="30"/>
          <w:lang w:val="en-US" w:eastAsia="zh-CN"/>
        </w:rPr>
        <w:t>八、需要补充的其他内容</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sz w:val="28"/>
          <w:szCs w:val="28"/>
        </w:rPr>
        <w:t>需要补充的其他内容：见“投标人须知前附表”。</w:t>
      </w:r>
    </w:p>
    <w:p>
      <w:pPr>
        <w:pStyle w:val="3"/>
        <w:jc w:val="center"/>
        <w:rPr>
          <w:rFonts w:hint="default" w:ascii="Times New Roman" w:hAnsi="Times New Roman" w:eastAsia="宋体" w:cs="Times New Roman"/>
          <w:color w:val="auto"/>
          <w:sz w:val="72"/>
          <w:szCs w:val="72"/>
          <w:lang w:val="en-US"/>
        </w:rPr>
      </w:pPr>
      <w:r>
        <w:rPr>
          <w:rFonts w:hint="default" w:ascii="Times New Roman" w:hAnsi="Times New Roman" w:cs="Times New Roman"/>
        </w:rPr>
        <w:br w:type="page"/>
      </w:r>
      <w:bookmarkEnd w:id="153"/>
      <w:bookmarkEnd w:id="154"/>
      <w:bookmarkEnd w:id="155"/>
      <w:bookmarkStart w:id="300" w:name="_Toc1340807913"/>
      <w:bookmarkStart w:id="301" w:name="_Toc904602471"/>
      <w:bookmarkStart w:id="302" w:name="_Toc63558279_WPSOffice_Level1"/>
      <w:bookmarkStart w:id="303" w:name="_Toc1034668100"/>
      <w:bookmarkStart w:id="304" w:name="_Toc1415346380_WPSOffice_Level1"/>
      <w:bookmarkStart w:id="305" w:name="_Toc1589952972_WPSOffice_Level1"/>
      <w:bookmarkStart w:id="306" w:name="_Toc2024009066"/>
      <w:bookmarkStart w:id="307" w:name="_Toc1644299675"/>
      <w:bookmarkStart w:id="308" w:name="_Toc1266214712"/>
      <w:bookmarkStart w:id="309" w:name="_Toc1839196008_WPSOffice_Level1"/>
      <w:bookmarkStart w:id="310" w:name="_Toc300363790"/>
      <w:bookmarkStart w:id="311" w:name="_Toc335147862_WPSOffice_Level1"/>
      <w:bookmarkStart w:id="312" w:name="_Toc140667688"/>
      <w:bookmarkStart w:id="313" w:name="_Toc764191523_WPSOffice_Level1"/>
      <w:bookmarkStart w:id="314" w:name="_Toc310774132_WPSOffice_Level1"/>
      <w:bookmarkStart w:id="315" w:name="_Toc21022630"/>
      <w:bookmarkStart w:id="316" w:name="_Toc839610870"/>
      <w:bookmarkStart w:id="317" w:name="_Toc857508733"/>
      <w:bookmarkStart w:id="318" w:name="_Toc308141697"/>
      <w:bookmarkStart w:id="319" w:name="_Toc237350522_WPSOffice_Level1"/>
      <w:bookmarkStart w:id="320" w:name="_Toc2100027940"/>
      <w:bookmarkStart w:id="321" w:name="_Toc981831182"/>
      <w:bookmarkStart w:id="322" w:name="_Toc476316221"/>
      <w:r>
        <w:rPr>
          <w:rFonts w:hint="default" w:ascii="Times New Roman" w:hAnsi="Times New Roman" w:eastAsia="宋体" w:cs="Times New Roman"/>
          <w:color w:val="auto"/>
          <w:sz w:val="36"/>
          <w:szCs w:val="36"/>
          <w:lang w:val="en-US" w:eastAsia="zh-CN"/>
        </w:rPr>
        <w:t xml:space="preserve">第四章 </w:t>
      </w:r>
      <w:r>
        <w:rPr>
          <w:rFonts w:hint="default" w:ascii="Times New Roman" w:hAnsi="Times New Roman" w:eastAsia="宋体" w:cs="Times New Roman"/>
          <w:color w:val="auto"/>
          <w:sz w:val="36"/>
          <w:szCs w:val="36"/>
          <w:lang w:eastAsia="zh-CN"/>
        </w:rPr>
        <w:t>资格证明文件格式</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tabs>
          <w:tab w:val="left" w:pos="1950"/>
        </w:tabs>
        <w:jc w:val="center"/>
        <w:rPr>
          <w:rFonts w:hint="default" w:ascii="Times New Roman" w:hAnsi="Times New Roman" w:eastAsia="宋体" w:cs="Times New Roman"/>
          <w:b/>
          <w:bCs/>
          <w:color w:val="auto"/>
          <w:sz w:val="72"/>
          <w:szCs w:val="72"/>
          <w:lang w:val="en" w:eastAsia="zh-CN"/>
        </w:rPr>
      </w:pPr>
      <w:r>
        <w:rPr>
          <w:rFonts w:hint="default" w:ascii="Times New Roman" w:hAnsi="Times New Roman" w:eastAsia="宋体" w:cs="Times New Roman"/>
          <w:b/>
          <w:bCs/>
          <w:color w:val="auto"/>
          <w:sz w:val="72"/>
          <w:szCs w:val="72"/>
          <w:lang w:val="en" w:eastAsia="zh-CN"/>
        </w:rPr>
        <w:t>河南省荣康医院电子病历一体化项目</w:t>
      </w:r>
    </w:p>
    <w:p>
      <w:pPr>
        <w:tabs>
          <w:tab w:val="left" w:pos="1950"/>
        </w:tabs>
        <w:jc w:val="left"/>
        <w:rPr>
          <w:rFonts w:hint="default" w:ascii="Times New Roman" w:hAnsi="Times New Roman" w:eastAsia="宋体" w:cs="Times New Roman"/>
          <w:b/>
          <w:bCs/>
          <w:color w:val="auto"/>
          <w:lang w:val="en-US"/>
        </w:rPr>
      </w:pPr>
    </w:p>
    <w:p>
      <w:pPr>
        <w:tabs>
          <w:tab w:val="left" w:pos="1950"/>
        </w:tabs>
        <w:jc w:val="left"/>
        <w:rPr>
          <w:rFonts w:hint="default" w:ascii="Times New Roman" w:hAnsi="Times New Roman" w:eastAsia="宋体" w:cs="Times New Roman"/>
          <w:b/>
          <w:bCs/>
          <w:color w:val="auto"/>
          <w:lang w:val="en-US"/>
        </w:rPr>
      </w:pPr>
    </w:p>
    <w:p>
      <w:pPr>
        <w:tabs>
          <w:tab w:val="left" w:pos="1950"/>
        </w:tabs>
        <w:jc w:val="left"/>
        <w:rPr>
          <w:rFonts w:hint="default" w:ascii="Times New Roman" w:hAnsi="Times New Roman" w:eastAsia="宋体" w:cs="Times New Roman"/>
          <w:b/>
          <w:bCs/>
          <w:color w:val="auto"/>
          <w:lang w:val="en-US"/>
        </w:rPr>
      </w:pPr>
    </w:p>
    <w:p>
      <w:pPr>
        <w:tabs>
          <w:tab w:val="left" w:pos="1950"/>
        </w:tabs>
        <w:jc w:val="left"/>
        <w:rPr>
          <w:rFonts w:hint="default" w:ascii="Times New Roman" w:hAnsi="Times New Roman" w:eastAsia="宋体" w:cs="Times New Roman"/>
          <w:b/>
          <w:bCs/>
          <w:color w:val="auto"/>
          <w:lang w:val="en-US"/>
        </w:rPr>
      </w:pPr>
    </w:p>
    <w:p>
      <w:pPr>
        <w:tabs>
          <w:tab w:val="left" w:pos="1950"/>
        </w:tabs>
        <w:jc w:val="left"/>
        <w:rPr>
          <w:rFonts w:hint="default" w:ascii="Times New Roman" w:hAnsi="Times New Roman" w:eastAsia="宋体" w:cs="Times New Roman"/>
          <w:b/>
          <w:bCs/>
          <w:color w:val="auto"/>
          <w:lang w:val="en-US"/>
        </w:rPr>
      </w:pPr>
    </w:p>
    <w:p>
      <w:pPr>
        <w:tabs>
          <w:tab w:val="left" w:pos="1950"/>
        </w:tabs>
        <w:jc w:val="left"/>
        <w:rPr>
          <w:rFonts w:hint="default" w:ascii="Times New Roman" w:hAnsi="Times New Roman" w:eastAsia="宋体" w:cs="Times New Roman"/>
          <w:b/>
          <w:bCs/>
          <w:color w:val="auto"/>
          <w:lang w:val="en-US"/>
        </w:rPr>
      </w:pPr>
    </w:p>
    <w:p>
      <w:pPr>
        <w:jc w:val="center"/>
        <w:rPr>
          <w:rFonts w:hint="default" w:ascii="Times New Roman" w:hAnsi="Times New Roman" w:eastAsia="宋体" w:cs="Times New Roman"/>
          <w:b/>
          <w:bCs/>
          <w:color w:val="auto"/>
          <w:sz w:val="96"/>
          <w:szCs w:val="96"/>
        </w:rPr>
      </w:pPr>
      <w:bookmarkStart w:id="323" w:name="_Toc338411508_WPSOffice_Level3"/>
      <w:r>
        <w:rPr>
          <w:rFonts w:hint="default" w:ascii="Times New Roman" w:hAnsi="Times New Roman" w:eastAsia="宋体" w:cs="Times New Roman"/>
          <w:b/>
          <w:color w:val="auto"/>
          <w:sz w:val="96"/>
          <w:szCs w:val="96"/>
          <w:lang w:eastAsia="zh-CN"/>
        </w:rPr>
        <w:t>资格证明</w:t>
      </w:r>
      <w:r>
        <w:rPr>
          <w:rFonts w:hint="default" w:ascii="Times New Roman" w:hAnsi="Times New Roman" w:eastAsia="宋体" w:cs="Times New Roman"/>
          <w:b/>
          <w:color w:val="auto"/>
          <w:sz w:val="96"/>
          <w:szCs w:val="96"/>
        </w:rPr>
        <w:t>文件</w:t>
      </w:r>
      <w:bookmarkEnd w:id="323"/>
    </w:p>
    <w:p>
      <w:pPr>
        <w:widowControl w:val="0"/>
        <w:tabs>
          <w:tab w:val="left" w:pos="1950"/>
        </w:tabs>
        <w:jc w:val="center"/>
        <w:rPr>
          <w:rFonts w:hint="default" w:ascii="Times New Roman" w:hAnsi="Times New Roman" w:eastAsia="宋体" w:cs="Times New Roman"/>
          <w:b/>
          <w:color w:val="auto"/>
          <w:sz w:val="36"/>
          <w:szCs w:val="36"/>
        </w:rPr>
      </w:pPr>
    </w:p>
    <w:p>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r>
        <w:rPr>
          <w:rFonts w:hint="default" w:ascii="Times New Roman" w:hAnsi="Times New Roman" w:eastAsia="宋体" w:cs="Times New Roman"/>
          <w:b/>
          <w:color w:val="auto"/>
          <w:sz w:val="36"/>
          <w:szCs w:val="36"/>
        </w:rPr>
        <w:t>采购编号：</w:t>
      </w:r>
      <w:r>
        <w:rPr>
          <w:rFonts w:hint="default" w:ascii="Times New Roman" w:hAnsi="Times New Roman" w:eastAsia="宋体" w:cs="Times New Roman"/>
          <w:b/>
          <w:color w:val="auto"/>
          <w:sz w:val="36"/>
          <w:szCs w:val="36"/>
          <w:lang w:val="en" w:eastAsia="zh-CN"/>
        </w:rPr>
        <w:t>豫财招标采购-2023-161</w:t>
      </w: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rPr>
          <w:rFonts w:hint="default" w:ascii="Times New Roman" w:hAnsi="Times New Roman" w:eastAsia="宋体" w:cs="Times New Roman"/>
          <w:b/>
          <w:color w:val="auto"/>
          <w:sz w:val="52"/>
          <w:szCs w:val="24"/>
          <w:lang w:val="en-US" w:eastAsia="zh-CN"/>
        </w:rPr>
      </w:pPr>
    </w:p>
    <w:p>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pPr>
        <w:pStyle w:val="152"/>
        <w:ind w:firstLine="0"/>
        <w:rPr>
          <w:rFonts w:hint="default" w:ascii="Times New Roman" w:hAnsi="Times New Roman" w:eastAsia="宋体" w:cs="Times New Roman"/>
          <w:color w:val="auto"/>
          <w:sz w:val="36"/>
          <w:szCs w:val="36"/>
          <w:lang w:val="en-US"/>
        </w:rPr>
      </w:pPr>
    </w:p>
    <w:p>
      <w:pPr>
        <w:pStyle w:val="152"/>
        <w:ind w:firstLine="0"/>
        <w:rPr>
          <w:rFonts w:hint="default" w:ascii="Times New Roman" w:hAnsi="Times New Roman" w:eastAsia="宋体" w:cs="Times New Roman"/>
          <w:color w:val="auto"/>
        </w:rPr>
      </w:pPr>
    </w:p>
    <w:p>
      <w:pPr>
        <w:spacing w:line="360" w:lineRule="auto"/>
        <w:ind w:left="708"/>
        <w:jc w:val="center"/>
        <w:rPr>
          <w:rFonts w:hint="default" w:ascii="Times New Roman" w:hAnsi="Times New Roman" w:eastAsia="仿宋_GB2312" w:cs="Times New Roman"/>
          <w:color w:val="auto"/>
          <w:sz w:val="28"/>
          <w:szCs w:val="28"/>
          <w:lang w:val="en-US"/>
        </w:rPr>
      </w:pPr>
    </w:p>
    <w:p>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324" w:name="_Toc32436634_WPSOffice_Level3"/>
      <w:bookmarkStart w:id="325" w:name="_Toc1004915804_WPSOffice_Level3"/>
    </w:p>
    <w:p>
      <w:pPr>
        <w:jc w:val="center"/>
        <w:rPr>
          <w:rFonts w:hint="default" w:ascii="Times New Roman" w:hAnsi="Times New Roman" w:eastAsia="仿宋_GB2312" w:cs="Times New Roman"/>
          <w:b/>
          <w:bCs/>
          <w:sz w:val="36"/>
          <w:szCs w:val="36"/>
          <w:lang w:val="en-US" w:eastAsia="zh-CN"/>
        </w:rPr>
      </w:pPr>
      <w:r>
        <w:rPr>
          <w:rFonts w:hint="default" w:ascii="Times New Roman" w:hAnsi="Times New Roman" w:eastAsia="仿宋_GB2312" w:cs="Times New Roman"/>
          <w:b/>
          <w:bCs/>
          <w:sz w:val="36"/>
          <w:szCs w:val="36"/>
          <w:lang w:val="en-US" w:eastAsia="zh-CN"/>
        </w:rPr>
        <w:br w:type="page"/>
      </w:r>
      <w:r>
        <w:rPr>
          <w:rFonts w:hint="default" w:ascii="Times New Roman" w:hAnsi="Times New Roman" w:eastAsia="仿宋_GB2312" w:cs="Times New Roman"/>
          <w:b/>
          <w:bCs/>
          <w:sz w:val="36"/>
          <w:szCs w:val="36"/>
          <w:lang w:val="en-US" w:eastAsia="zh-CN"/>
        </w:rPr>
        <w:t>目 录</w:t>
      </w:r>
    </w:p>
    <w:p>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p>
      <w:pPr>
        <w:tabs>
          <w:tab w:val="left" w:pos="5580"/>
        </w:tabs>
        <w:spacing w:line="360" w:lineRule="auto"/>
        <w:ind w:firstLine="480"/>
        <w:rPr>
          <w:rFonts w:hint="default" w:ascii="Times New Roman" w:hAnsi="Times New Roman" w:eastAsia="仿宋_GB2312" w:cs="Times New Roman"/>
          <w:b/>
          <w:bCs/>
          <w:color w:val="auto"/>
          <w:sz w:val="28"/>
          <w:szCs w:val="28"/>
        </w:rPr>
      </w:pPr>
      <w:bookmarkStart w:id="326" w:name="_Toc561764264_WPSOffice_Level2"/>
      <w:r>
        <w:rPr>
          <w:rFonts w:hint="default" w:ascii="Times New Roman" w:hAnsi="Times New Roman" w:eastAsia="仿宋_GB2312" w:cs="Times New Roman"/>
          <w:color w:val="auto"/>
          <w:sz w:val="28"/>
          <w:szCs w:val="28"/>
          <w:lang w:val="en-US" w:eastAsia="zh-CN"/>
        </w:rPr>
        <w:t>一、</w:t>
      </w:r>
      <w:bookmarkEnd w:id="324"/>
      <w:bookmarkEnd w:id="325"/>
      <w:r>
        <w:rPr>
          <w:rFonts w:hint="default" w:ascii="Times New Roman" w:hAnsi="Times New Roman" w:eastAsia="仿宋_GB2312" w:cs="Times New Roman"/>
          <w:color w:val="auto"/>
          <w:kern w:val="0"/>
          <w:sz w:val="28"/>
          <w:szCs w:val="28"/>
        </w:rPr>
        <w:t>法人或者</w:t>
      </w:r>
      <w:r>
        <w:rPr>
          <w:rFonts w:hint="default" w:ascii="Times New Roman" w:hAnsi="Times New Roman" w:eastAsia="仿宋_GB2312" w:cs="Times New Roman"/>
          <w:color w:val="auto"/>
          <w:kern w:val="0"/>
          <w:sz w:val="28"/>
          <w:szCs w:val="28"/>
          <w:lang w:eastAsia="zh-CN"/>
        </w:rPr>
        <w:t>其他</w:t>
      </w:r>
      <w:r>
        <w:rPr>
          <w:rFonts w:hint="default" w:ascii="Times New Roman" w:hAnsi="Times New Roman" w:eastAsia="仿宋_GB2312" w:cs="Times New Roman"/>
          <w:color w:val="auto"/>
          <w:kern w:val="0"/>
          <w:sz w:val="28"/>
          <w:szCs w:val="28"/>
        </w:rPr>
        <w:t>组织的营业执照等证明文件或自然人的身份证明</w:t>
      </w:r>
      <w:bookmarkEnd w:id="326"/>
    </w:p>
    <w:p>
      <w:pPr>
        <w:tabs>
          <w:tab w:val="left" w:pos="5580"/>
        </w:tabs>
        <w:spacing w:line="360" w:lineRule="auto"/>
        <w:ind w:firstLine="480"/>
        <w:rPr>
          <w:rFonts w:hint="default" w:ascii="Times New Roman" w:hAnsi="Times New Roman" w:eastAsia="仿宋_GB2312" w:cs="Times New Roman"/>
          <w:color w:val="auto"/>
          <w:kern w:val="0"/>
          <w:sz w:val="28"/>
          <w:szCs w:val="28"/>
        </w:rPr>
      </w:pPr>
      <w:bookmarkStart w:id="327" w:name="_Toc371659587_WPSOffice_Level3"/>
      <w:bookmarkStart w:id="328" w:name="_Toc835682095_WPSOffice_Level3"/>
      <w:bookmarkStart w:id="329" w:name="_Toc317745705_WPSOffice_Level2"/>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rPr>
        <w:t>具有良好的商业信誉和健全的财务会计制度</w:t>
      </w:r>
      <w:bookmarkEnd w:id="327"/>
      <w:bookmarkEnd w:id="328"/>
      <w:bookmarkEnd w:id="329"/>
    </w:p>
    <w:p>
      <w:pPr>
        <w:tabs>
          <w:tab w:val="left" w:pos="5580"/>
        </w:tabs>
        <w:spacing w:line="360" w:lineRule="auto"/>
        <w:ind w:firstLine="480"/>
        <w:rPr>
          <w:rFonts w:hint="default" w:ascii="Times New Roman" w:hAnsi="Times New Roman" w:eastAsia="仿宋_GB2312" w:cs="Times New Roman"/>
          <w:color w:val="auto"/>
          <w:kern w:val="0"/>
          <w:sz w:val="28"/>
          <w:szCs w:val="28"/>
        </w:rPr>
      </w:pPr>
      <w:bookmarkStart w:id="330" w:name="_Toc1150235750_WPSOffice_Level3"/>
      <w:bookmarkStart w:id="331" w:name="_Toc294801548_WPSOffice_Level2"/>
      <w:bookmarkStart w:id="332" w:name="_Toc1104501183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rPr>
        <w:t>依法缴纳税收和社会保障资金的良好记录</w:t>
      </w:r>
      <w:bookmarkEnd w:id="330"/>
      <w:bookmarkEnd w:id="331"/>
      <w:bookmarkEnd w:id="332"/>
    </w:p>
    <w:p>
      <w:pPr>
        <w:tabs>
          <w:tab w:val="left" w:pos="5580"/>
        </w:tabs>
        <w:spacing w:line="360" w:lineRule="auto"/>
        <w:ind w:firstLine="480"/>
        <w:rPr>
          <w:rFonts w:hint="default" w:ascii="Times New Roman" w:hAnsi="Times New Roman" w:eastAsia="仿宋_GB2312" w:cs="Times New Roman"/>
          <w:color w:val="auto"/>
          <w:kern w:val="0"/>
          <w:sz w:val="28"/>
          <w:szCs w:val="28"/>
        </w:rPr>
      </w:pPr>
      <w:bookmarkStart w:id="333" w:name="_Toc749118665_WPSOffice_Level2"/>
      <w:bookmarkStart w:id="334" w:name="_Toc568308316_WPSOffice_Level3"/>
      <w:bookmarkStart w:id="335" w:name="_Toc765241243_WPSOffice_Level3"/>
      <w:bookmarkStart w:id="336" w:name="_Toc281235268_WPSOffice_Level3"/>
      <w:bookmarkStart w:id="337" w:name="_Toc2065680076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rPr>
        <w:t>具有履行合同所必需的设备和专业技术能力</w:t>
      </w:r>
      <w:bookmarkEnd w:id="333"/>
      <w:bookmarkEnd w:id="334"/>
      <w:bookmarkEnd w:id="335"/>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38" w:name="_Toc865995009_WPSOffice_Level2"/>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rPr>
        <w:t>参加政府采购活动前</w:t>
      </w:r>
      <w:r>
        <w:rPr>
          <w:rFonts w:hint="default" w:ascii="Times New Roman" w:hAnsi="Times New Roman" w:eastAsia="仿宋_GB2312" w:cs="Times New Roman"/>
          <w:color w:val="auto"/>
          <w:kern w:val="0"/>
          <w:sz w:val="28"/>
          <w:szCs w:val="28"/>
          <w:lang w:val="en-US"/>
        </w:rPr>
        <w:t>3</w:t>
      </w:r>
      <w:r>
        <w:rPr>
          <w:rFonts w:hint="default" w:ascii="Times New Roman" w:hAnsi="Times New Roman" w:eastAsia="仿宋_GB2312" w:cs="Times New Roman"/>
          <w:color w:val="auto"/>
          <w:kern w:val="0"/>
          <w:sz w:val="28"/>
          <w:szCs w:val="28"/>
        </w:rPr>
        <w:t>年内在经营活动中没有重大违法记录的</w:t>
      </w:r>
      <w:bookmarkEnd w:id="336"/>
      <w:bookmarkEnd w:id="337"/>
      <w:r>
        <w:rPr>
          <w:rFonts w:hint="default" w:ascii="Times New Roman" w:hAnsi="Times New Roman" w:eastAsia="仿宋_GB2312" w:cs="Times New Roman"/>
          <w:color w:val="auto"/>
          <w:kern w:val="0"/>
          <w:sz w:val="28"/>
          <w:szCs w:val="28"/>
          <w:lang w:eastAsia="zh-CN"/>
        </w:rPr>
        <w:t>声明</w:t>
      </w:r>
      <w:bookmarkEnd w:id="338"/>
    </w:p>
    <w:p>
      <w:pPr>
        <w:tabs>
          <w:tab w:val="left" w:pos="5580"/>
        </w:tabs>
        <w:spacing w:line="360" w:lineRule="auto"/>
        <w:ind w:firstLine="480"/>
        <w:rPr>
          <w:rFonts w:hint="default" w:ascii="Times New Roman" w:hAnsi="Times New Roman" w:eastAsia="仿宋_GB2312" w:cs="Times New Roman"/>
          <w:color w:val="auto"/>
          <w:kern w:val="0"/>
          <w:sz w:val="28"/>
          <w:szCs w:val="28"/>
        </w:rPr>
      </w:pPr>
      <w:bookmarkStart w:id="339" w:name="_Toc1395634740_WPSOffice_Level2"/>
      <w:bookmarkStart w:id="340" w:name="_Toc141596040_WPSOffice_Level3"/>
      <w:bookmarkStart w:id="341" w:name="_Toc2005223374_WPSOffice_Level3"/>
      <w:r>
        <w:rPr>
          <w:rFonts w:hint="default" w:ascii="Times New Roman" w:hAnsi="Times New Roman" w:eastAsia="仿宋_GB2312" w:cs="Times New Roman"/>
          <w:color w:val="auto"/>
          <w:kern w:val="0"/>
          <w:sz w:val="28"/>
          <w:szCs w:val="28"/>
          <w:lang w:val="en-US" w:eastAsia="zh-CN"/>
        </w:rPr>
        <w:t>六、</w:t>
      </w:r>
      <w:r>
        <w:rPr>
          <w:rFonts w:hint="default" w:ascii="Times New Roman" w:hAnsi="Times New Roman" w:eastAsia="仿宋_GB2312" w:cs="Times New Roman"/>
          <w:color w:val="auto"/>
          <w:kern w:val="0"/>
          <w:sz w:val="28"/>
          <w:szCs w:val="28"/>
        </w:rPr>
        <w:t>其他资格证明文件</w:t>
      </w:r>
      <w:bookmarkEnd w:id="339"/>
      <w:bookmarkEnd w:id="340"/>
      <w:bookmarkEnd w:id="341"/>
    </w:p>
    <w:p>
      <w:pPr>
        <w:tabs>
          <w:tab w:val="left" w:pos="5580"/>
        </w:tabs>
        <w:spacing w:line="360" w:lineRule="auto"/>
        <w:ind w:left="1" w:firstLine="564"/>
        <w:rPr>
          <w:rFonts w:hint="default" w:ascii="Times New Roman" w:hAnsi="Times New Roman" w:eastAsia="仿宋_GB2312" w:cs="Times New Roman"/>
          <w:color w:val="auto"/>
          <w:sz w:val="28"/>
          <w:szCs w:val="28"/>
          <w:lang w:val="en-US"/>
        </w:rPr>
      </w:pPr>
    </w:p>
    <w:p>
      <w:pPr>
        <w:tabs>
          <w:tab w:val="left" w:pos="5580"/>
        </w:tabs>
        <w:spacing w:line="360" w:lineRule="auto"/>
        <w:ind w:left="1" w:firstLine="564"/>
        <w:rPr>
          <w:rFonts w:hint="default" w:ascii="Times New Roman" w:hAnsi="Times New Roman" w:eastAsia="宋体" w:cs="Times New Roman"/>
          <w:color w:val="auto"/>
          <w:sz w:val="24"/>
          <w:szCs w:val="24"/>
          <w:lang w:val="en-US"/>
        </w:rPr>
      </w:pPr>
    </w:p>
    <w:p>
      <w:pPr>
        <w:tabs>
          <w:tab w:val="left" w:pos="5580"/>
        </w:tabs>
        <w:spacing w:line="360" w:lineRule="auto"/>
        <w:ind w:left="1" w:firstLine="564"/>
        <w:rPr>
          <w:rFonts w:hint="default" w:ascii="Times New Roman" w:hAnsi="Times New Roman" w:eastAsia="宋体" w:cs="Times New Roman"/>
          <w:color w:val="auto"/>
          <w:sz w:val="24"/>
          <w:szCs w:val="24"/>
          <w:lang w:val="en-US"/>
        </w:rPr>
      </w:pPr>
    </w:p>
    <w:p>
      <w:pPr>
        <w:tabs>
          <w:tab w:val="left" w:pos="5580"/>
        </w:tabs>
        <w:spacing w:line="360" w:lineRule="auto"/>
        <w:ind w:left="1" w:firstLine="658"/>
        <w:rPr>
          <w:rFonts w:hint="default" w:ascii="Times New Roman" w:hAnsi="Times New Roman" w:eastAsia="宋体" w:cs="Times New Roman"/>
          <w:color w:val="auto"/>
          <w:sz w:val="28"/>
          <w:szCs w:val="28"/>
          <w:lang w:val="en-US"/>
        </w:rPr>
      </w:pPr>
    </w:p>
    <w:p>
      <w:pPr>
        <w:tabs>
          <w:tab w:val="left" w:pos="5580"/>
        </w:tabs>
        <w:spacing w:line="360" w:lineRule="auto"/>
        <w:ind w:left="1" w:firstLine="658"/>
        <w:rPr>
          <w:rFonts w:hint="default" w:ascii="Times New Roman" w:hAnsi="Times New Roman" w:eastAsia="宋体" w:cs="Times New Roman"/>
          <w:color w:val="auto"/>
          <w:sz w:val="28"/>
          <w:szCs w:val="28"/>
          <w:lang w:val="en-US"/>
        </w:rPr>
      </w:pPr>
    </w:p>
    <w:p>
      <w:pPr>
        <w:tabs>
          <w:tab w:val="left" w:pos="5580"/>
        </w:tabs>
        <w:spacing w:line="360" w:lineRule="auto"/>
        <w:ind w:left="1" w:firstLine="658"/>
        <w:rPr>
          <w:rFonts w:hint="default" w:ascii="Times New Roman" w:hAnsi="Times New Roman" w:eastAsia="宋体" w:cs="Times New Roman"/>
          <w:color w:val="auto"/>
          <w:sz w:val="28"/>
          <w:szCs w:val="28"/>
          <w:lang w:val="en-US"/>
        </w:rPr>
      </w:pPr>
    </w:p>
    <w:p>
      <w:pPr>
        <w:jc w:val="left"/>
        <w:rPr>
          <w:rFonts w:hint="default" w:ascii="Times New Roman" w:hAnsi="Times New Roman" w:eastAsia="宋体" w:cs="Times New Roman"/>
          <w:color w:val="auto"/>
          <w:sz w:val="28"/>
          <w:szCs w:val="28"/>
        </w:rPr>
      </w:pPr>
      <w:bookmarkStart w:id="342" w:name="_Toc740001715"/>
      <w:bookmarkStart w:id="343" w:name="_Toc1892257381_WPSOffice_Level3"/>
      <w:bookmarkStart w:id="344" w:name="_Toc1666758381"/>
      <w:bookmarkStart w:id="345" w:name="_Toc442868323"/>
      <w:r>
        <w:rPr>
          <w:rFonts w:hint="default" w:ascii="Times New Roman" w:hAnsi="Times New Roman" w:eastAsia="黑体" w:cs="Times New Roman"/>
          <w:b/>
          <w:bCs/>
          <w:color w:val="auto"/>
          <w:sz w:val="28"/>
          <w:szCs w:val="28"/>
        </w:rPr>
        <w:br w:type="page"/>
      </w:r>
      <w:bookmarkEnd w:id="342"/>
      <w:bookmarkEnd w:id="343"/>
      <w:bookmarkEnd w:id="344"/>
      <w:bookmarkEnd w:id="345"/>
    </w:p>
    <w:p>
      <w:pPr>
        <w:keepNext/>
        <w:keepLines/>
        <w:widowControl w:val="0"/>
        <w:autoSpaceDE w:val="0"/>
        <w:autoSpaceDN w:val="0"/>
        <w:adjustRightInd w:val="0"/>
        <w:spacing w:line="360" w:lineRule="auto"/>
        <w:ind w:left="420" w:leftChars="200" w:right="420" w:rightChars="200"/>
        <w:jc w:val="center"/>
        <w:outlineLvl w:val="1"/>
        <w:rPr>
          <w:rFonts w:hint="default" w:ascii="Times New Roman" w:hAnsi="Times New Roman" w:eastAsia="方正小标宋_GBK" w:cs="Times New Roman"/>
          <w:bCs/>
          <w:color w:val="auto"/>
          <w:kern w:val="0"/>
          <w:sz w:val="30"/>
          <w:szCs w:val="30"/>
          <w:lang w:val="en-US" w:eastAsia="zh-CN"/>
        </w:rPr>
      </w:pPr>
      <w:bookmarkStart w:id="346" w:name="_Toc262140077"/>
      <w:bookmarkStart w:id="347" w:name="_Toc1950934252"/>
      <w:bookmarkStart w:id="348" w:name="_Toc1399186289"/>
      <w:bookmarkStart w:id="349" w:name="_Toc540046896"/>
      <w:bookmarkStart w:id="350" w:name="_Toc831756679"/>
      <w:bookmarkStart w:id="351" w:name="_Toc730361247"/>
      <w:bookmarkStart w:id="352" w:name="_Toc1274130635"/>
      <w:bookmarkStart w:id="353" w:name="_Toc1480748811"/>
      <w:bookmarkStart w:id="354" w:name="_Toc1793820901_WPSOffice_Level3"/>
      <w:bookmarkStart w:id="355" w:name="_Toc1541909372_WPSOffice_Level3"/>
      <w:bookmarkStart w:id="356" w:name="_Toc1876865389"/>
      <w:bookmarkStart w:id="357" w:name="_Toc717704405"/>
      <w:bookmarkStart w:id="358" w:name="_Toc1728315286_WPSOffice_Level2"/>
      <w:bookmarkStart w:id="359" w:name="_Toc1881529819"/>
      <w:r>
        <w:rPr>
          <w:rFonts w:hint="default" w:ascii="Times New Roman" w:hAnsi="Times New Roman" w:eastAsia="方正小标宋_GBK" w:cs="Times New Roman"/>
          <w:bCs/>
          <w:color w:val="auto"/>
          <w:kern w:val="0"/>
          <w:sz w:val="30"/>
          <w:szCs w:val="30"/>
          <w:lang w:val="en-US" w:eastAsia="zh-CN"/>
        </w:rPr>
        <w:t>一、</w:t>
      </w:r>
      <w:bookmarkEnd w:id="346"/>
      <w:bookmarkEnd w:id="347"/>
      <w:bookmarkEnd w:id="348"/>
      <w:bookmarkEnd w:id="349"/>
      <w:bookmarkEnd w:id="350"/>
      <w:bookmarkEnd w:id="351"/>
      <w:bookmarkEnd w:id="352"/>
      <w:bookmarkEnd w:id="353"/>
      <w:bookmarkEnd w:id="354"/>
      <w:bookmarkEnd w:id="355"/>
      <w:bookmarkEnd w:id="356"/>
      <w:bookmarkEnd w:id="357"/>
      <w:r>
        <w:rPr>
          <w:rFonts w:hint="default" w:ascii="Times New Roman" w:hAnsi="Times New Roman" w:eastAsia="方正小标宋_GBK" w:cs="Times New Roman"/>
          <w:bCs/>
          <w:color w:val="auto"/>
          <w:kern w:val="0"/>
          <w:sz w:val="30"/>
          <w:szCs w:val="30"/>
          <w:lang w:val="en-US" w:eastAsia="zh-CN"/>
        </w:rPr>
        <w:t>法人或者其他组织的营业执照等证明文件或自然人的身份证明</w:t>
      </w:r>
      <w:bookmarkEnd w:id="358"/>
      <w:bookmarkEnd w:id="359"/>
    </w:p>
    <w:p>
      <w:pPr>
        <w:rPr>
          <w:rFonts w:hint="default" w:ascii="Times New Roman" w:hAnsi="Times New Roman" w:cs="Times New Roman"/>
        </w:rPr>
      </w:pPr>
    </w:p>
    <w:p>
      <w:pPr>
        <w:pStyle w:val="183"/>
        <w:tabs>
          <w:tab w:val="left" w:pos="5580"/>
        </w:tabs>
        <w:spacing w:line="360" w:lineRule="auto"/>
        <w:ind w:left="540" w:firstLine="480"/>
        <w:jc w:val="center"/>
        <w:rPr>
          <w:rFonts w:hint="default" w:ascii="Times New Roman" w:hAnsi="Times New Roman" w:cs="Times New Roman"/>
          <w:b/>
          <w:bCs/>
          <w:color w:val="auto"/>
          <w:sz w:val="24"/>
          <w:szCs w:val="24"/>
        </w:rPr>
      </w:pPr>
    </w:p>
    <w:p>
      <w:pPr>
        <w:pStyle w:val="183"/>
        <w:tabs>
          <w:tab w:val="left" w:pos="5580"/>
        </w:tabs>
        <w:spacing w:line="360" w:lineRule="auto"/>
        <w:ind w:left="540" w:firstLine="480"/>
        <w:rPr>
          <w:rFonts w:hint="default" w:ascii="Times New Roman" w:hAnsi="Times New Roman" w:cs="Times New Roman"/>
          <w:b/>
          <w:bCs/>
          <w:color w:val="auto"/>
          <w:sz w:val="24"/>
          <w:szCs w:val="24"/>
        </w:rPr>
      </w:pPr>
    </w:p>
    <w:p>
      <w:pPr>
        <w:pStyle w:val="183"/>
        <w:tabs>
          <w:tab w:val="left" w:pos="5580"/>
        </w:tabs>
        <w:spacing w:line="360" w:lineRule="auto"/>
        <w:ind w:left="540" w:firstLine="480"/>
        <w:rPr>
          <w:rFonts w:hint="default" w:ascii="Times New Roman" w:hAnsi="Times New Roman" w:cs="Times New Roman"/>
          <w:b/>
          <w:bCs/>
          <w:color w:val="auto"/>
          <w:sz w:val="24"/>
          <w:szCs w:val="24"/>
        </w:rPr>
      </w:pPr>
    </w:p>
    <w:p>
      <w:pPr>
        <w:pStyle w:val="183"/>
        <w:tabs>
          <w:tab w:val="left" w:pos="5580"/>
        </w:tabs>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eastAsia="zh-TW"/>
        </w:rPr>
        <w:t>说明：</w:t>
      </w: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zh-TW" w:eastAsia="zh-TW"/>
        </w:rPr>
        <w:t>提供有效的营业执照等证明文件原件或复印件</w:t>
      </w:r>
      <w:r>
        <w:rPr>
          <w:rFonts w:hint="default" w:ascii="Times New Roman" w:hAnsi="Times New Roman" w:eastAsia="仿宋_GB2312" w:cs="Times New Roman"/>
          <w:color w:val="auto"/>
          <w:sz w:val="28"/>
          <w:szCs w:val="28"/>
          <w:lang w:val="zh-TW"/>
        </w:rPr>
        <w:t>的</w:t>
      </w:r>
      <w:r>
        <w:rPr>
          <w:rFonts w:hint="default" w:ascii="Times New Roman" w:hAnsi="Times New Roman" w:eastAsia="仿宋_GB2312" w:cs="Times New Roman"/>
          <w:color w:val="auto"/>
          <w:sz w:val="28"/>
          <w:szCs w:val="28"/>
          <w:lang w:val="zh-TW" w:eastAsia="zh-TW"/>
        </w:rPr>
        <w:t>扫描件。</w:t>
      </w:r>
    </w:p>
    <w:p>
      <w:pPr>
        <w:pStyle w:val="183"/>
        <w:tabs>
          <w:tab w:val="left" w:pos="5580"/>
        </w:tabs>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bookmarkStart w:id="360" w:name="_Toc67715126_WPSOffice_Level3"/>
      <w:bookmarkStart w:id="361" w:name="_Toc2081420463_WPSOffice_Level3"/>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zh-TW" w:eastAsia="zh-TW"/>
        </w:rPr>
        <w:t>投标人为自然人的，应提供身份证明的</w:t>
      </w:r>
      <w:bookmarkEnd w:id="360"/>
      <w:bookmarkEnd w:id="361"/>
      <w:r>
        <w:rPr>
          <w:rFonts w:hint="default" w:ascii="Times New Roman" w:hAnsi="Times New Roman" w:eastAsia="仿宋_GB2312" w:cs="Times New Roman"/>
          <w:color w:val="auto"/>
          <w:sz w:val="28"/>
          <w:szCs w:val="28"/>
          <w:lang w:val="zh-TW" w:eastAsia="zh-TW"/>
        </w:rPr>
        <w:t>原件或复印件</w:t>
      </w:r>
      <w:r>
        <w:rPr>
          <w:rFonts w:hint="default" w:ascii="Times New Roman" w:hAnsi="Times New Roman" w:eastAsia="仿宋_GB2312" w:cs="Times New Roman"/>
          <w:color w:val="auto"/>
          <w:sz w:val="28"/>
          <w:szCs w:val="28"/>
          <w:lang w:val="zh-TW"/>
        </w:rPr>
        <w:t>的</w:t>
      </w:r>
      <w:r>
        <w:rPr>
          <w:rFonts w:hint="default" w:ascii="Times New Roman" w:hAnsi="Times New Roman" w:eastAsia="仿宋_GB2312" w:cs="Times New Roman"/>
          <w:color w:val="auto"/>
          <w:sz w:val="28"/>
          <w:szCs w:val="28"/>
          <w:lang w:val="zh-TW" w:eastAsia="zh-TW"/>
        </w:rPr>
        <w:t>扫描件。</w:t>
      </w:r>
    </w:p>
    <w:p>
      <w:pPr>
        <w:pStyle w:val="183"/>
        <w:tabs>
          <w:tab w:val="left" w:pos="5580"/>
        </w:tabs>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bookmarkStart w:id="362" w:name="_Toc781251951_WPSOffice_Level3"/>
      <w:bookmarkStart w:id="363" w:name="_Toc1215272460_WPSOffice_Level3"/>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zh-TW" w:eastAsia="zh-TW"/>
        </w:rPr>
        <w:t>联合体投标应提供联合体各方满足以上要求的证明文件。</w:t>
      </w:r>
      <w:bookmarkEnd w:id="362"/>
      <w:bookmarkEnd w:id="363"/>
    </w:p>
    <w:p>
      <w:pPr>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br w:type="page"/>
      </w:r>
      <w:bookmarkStart w:id="364" w:name="_Toc456633459_WPSOffice_Level3"/>
      <w:bookmarkStart w:id="365" w:name="_Toc1319467764"/>
      <w:bookmarkStart w:id="366" w:name="_Toc868984799"/>
      <w:bookmarkStart w:id="367" w:name="_Toc1557063548"/>
      <w:bookmarkStart w:id="368" w:name="_Toc1215314597"/>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69" w:name="_Toc1369942731_WPSOffice_Level2"/>
      <w:bookmarkStart w:id="370" w:name="_Toc1494493586"/>
      <w:bookmarkStart w:id="371" w:name="_Toc370312851"/>
      <w:bookmarkStart w:id="372" w:name="_Toc574791252"/>
      <w:bookmarkStart w:id="373" w:name="_Toc507196550"/>
      <w:bookmarkStart w:id="374" w:name="_Toc600305591"/>
      <w:bookmarkStart w:id="375" w:name="_Toc937091873"/>
      <w:bookmarkStart w:id="376" w:name="_Toc130649492"/>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364"/>
      <w:bookmarkEnd w:id="365"/>
      <w:bookmarkEnd w:id="366"/>
      <w:bookmarkEnd w:id="367"/>
      <w:bookmarkEnd w:id="368"/>
      <w:bookmarkEnd w:id="369"/>
      <w:bookmarkEnd w:id="370"/>
      <w:bookmarkEnd w:id="371"/>
      <w:bookmarkEnd w:id="372"/>
      <w:bookmarkEnd w:id="373"/>
      <w:bookmarkEnd w:id="374"/>
      <w:bookmarkEnd w:id="375"/>
      <w:bookmarkEnd w:id="376"/>
    </w:p>
    <w:p>
      <w:pPr>
        <w:spacing w:line="360" w:lineRule="auto"/>
        <w:jc w:val="center"/>
        <w:rPr>
          <w:rFonts w:hint="default" w:ascii="Times New Roman" w:hAnsi="Times New Roman" w:eastAsia="宋体" w:cs="Times New Roman"/>
          <w:color w:val="auto"/>
          <w:sz w:val="28"/>
          <w:szCs w:val="28"/>
        </w:rPr>
      </w:pPr>
    </w:p>
    <w:p>
      <w:pPr>
        <w:rPr>
          <w:rFonts w:hint="default" w:ascii="Times New Roman" w:hAnsi="Times New Roman" w:cs="Times New Roma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rPr>
      </w:pPr>
    </w:p>
    <w:p>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rPr>
      </w:pPr>
    </w:p>
    <w:p>
      <w:pPr>
        <w:tabs>
          <w:tab w:val="left" w:pos="5580"/>
        </w:tabs>
        <w:spacing w:line="360" w:lineRule="auto"/>
        <w:ind w:left="1080" w:hanging="54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说明：</w:t>
      </w:r>
    </w:p>
    <w:p>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提供投标人2021</w:t>
      </w:r>
      <w:r>
        <w:rPr>
          <w:rFonts w:hint="eastAsia" w:ascii="Times New Roman" w:hAnsi="Times New Roman" w:eastAsia="仿宋_GB2312" w:cs="Times New Roman"/>
          <w:color w:val="auto"/>
          <w:sz w:val="28"/>
          <w:szCs w:val="28"/>
          <w:lang w:val="en-US" w:eastAsia="zh-CN"/>
        </w:rPr>
        <w:t>或2022</w:t>
      </w:r>
      <w:r>
        <w:rPr>
          <w:rFonts w:hint="default" w:ascii="Times New Roman" w:hAnsi="Times New Roman" w:eastAsia="仿宋_GB2312" w:cs="Times New Roman"/>
          <w:color w:val="auto"/>
          <w:sz w:val="28"/>
          <w:szCs w:val="28"/>
          <w:lang w:val="en-US" w:eastAsia="zh-CN"/>
        </w:rPr>
        <w:t>年经审计的财务报告，要求注册会计师签字并加盖会计师印章；如截止到投标截止时间，投标人成立时间不足要求时限的，</w:t>
      </w:r>
      <w:r>
        <w:rPr>
          <w:rFonts w:hint="default" w:ascii="Times New Roman" w:hAnsi="Times New Roman" w:eastAsia="仿宋_GB2312" w:cs="Times New Roman"/>
          <w:sz w:val="28"/>
          <w:szCs w:val="28"/>
          <w:lang w:val="en-US" w:eastAsia="zh-CN"/>
        </w:rPr>
        <w:t>可提供银行资信证明材料</w:t>
      </w:r>
      <w:r>
        <w:rPr>
          <w:rFonts w:hint="default" w:ascii="Times New Roman" w:hAnsi="Times New Roman" w:eastAsia="仿宋_GB2312" w:cs="Times New Roman"/>
          <w:color w:val="auto"/>
          <w:sz w:val="28"/>
          <w:szCs w:val="28"/>
          <w:lang w:val="en-US" w:eastAsia="zh-CN"/>
        </w:rPr>
        <w:t>。</w:t>
      </w:r>
    </w:p>
    <w:p>
      <w:pPr>
        <w:pStyle w:val="2"/>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color w:val="auto"/>
          <w:sz w:val="24"/>
          <w:szCs w:val="24"/>
        </w:rPr>
        <w:br w:type="page"/>
      </w:r>
      <w:bookmarkStart w:id="377" w:name="_Toc1968479748"/>
      <w:bookmarkStart w:id="378" w:name="_Toc2082821673"/>
      <w:bookmarkStart w:id="379" w:name="_Toc1033381818"/>
      <w:bookmarkStart w:id="380" w:name="_Toc1998858666"/>
      <w:bookmarkStart w:id="381" w:name="_Toc509419906"/>
      <w:bookmarkStart w:id="382" w:name="_Toc281075866"/>
      <w:bookmarkStart w:id="383" w:name="_Toc968053340"/>
      <w:bookmarkStart w:id="384" w:name="_Toc1125237527"/>
      <w:bookmarkStart w:id="385" w:name="_Toc942688044_WPSOffice_Level3"/>
      <w:bookmarkStart w:id="386" w:name="_Toc1656782056"/>
      <w:bookmarkStart w:id="387" w:name="_Toc436443482"/>
      <w:bookmarkStart w:id="388" w:name="_Toc1289659840_WPSOffice_Level2"/>
      <w:bookmarkStart w:id="389" w:name="_Toc1030212309"/>
      <w:bookmarkStart w:id="390" w:name="_Toc1079740645"/>
      <w:r>
        <w:rPr>
          <w:rFonts w:hint="default" w:ascii="Times New Roman" w:hAnsi="Times New Roman" w:eastAsia="方正小标宋_GBK" w:cs="Times New Roman"/>
          <w:b w:val="0"/>
          <w:color w:val="auto"/>
          <w:sz w:val="30"/>
          <w:szCs w:val="30"/>
          <w:lang w:val="en-US" w:eastAsia="zh-CN"/>
        </w:rPr>
        <w:t>三、依法</w:t>
      </w:r>
      <w:bookmarkEnd w:id="377"/>
      <w:r>
        <w:rPr>
          <w:rFonts w:hint="default" w:ascii="Times New Roman" w:hAnsi="Times New Roman" w:eastAsia="方正小标宋_GBK" w:cs="Times New Roman"/>
          <w:b w:val="0"/>
          <w:color w:val="auto"/>
          <w:sz w:val="30"/>
          <w:szCs w:val="30"/>
          <w:lang w:val="en-US" w:eastAsia="zh-CN"/>
        </w:rPr>
        <w:t>缴纳税收和社会保障资金的良好记录</w:t>
      </w:r>
      <w:bookmarkEnd w:id="378"/>
      <w:bookmarkEnd w:id="379"/>
      <w:bookmarkEnd w:id="380"/>
      <w:bookmarkEnd w:id="381"/>
      <w:bookmarkEnd w:id="382"/>
      <w:bookmarkEnd w:id="383"/>
      <w:bookmarkEnd w:id="384"/>
      <w:bookmarkEnd w:id="385"/>
      <w:bookmarkEnd w:id="386"/>
      <w:bookmarkEnd w:id="387"/>
      <w:bookmarkEnd w:id="388"/>
      <w:bookmarkEnd w:id="389"/>
      <w:bookmarkEnd w:id="390"/>
    </w:p>
    <w:p>
      <w:pPr>
        <w:pStyle w:val="183"/>
        <w:tabs>
          <w:tab w:val="left" w:pos="5580"/>
        </w:tabs>
        <w:spacing w:line="360" w:lineRule="auto"/>
        <w:ind w:left="1080" w:hanging="540"/>
        <w:jc w:val="center"/>
        <w:rPr>
          <w:rFonts w:hint="default" w:ascii="Times New Roman" w:hAnsi="Times New Roman" w:cs="Times New Roman"/>
          <w:b/>
          <w:bCs/>
          <w:color w:val="auto"/>
          <w:sz w:val="24"/>
          <w:szCs w:val="24"/>
        </w:rPr>
      </w:pPr>
    </w:p>
    <w:p>
      <w:pPr>
        <w:pStyle w:val="183"/>
        <w:tabs>
          <w:tab w:val="left" w:pos="5580"/>
        </w:tabs>
        <w:spacing w:line="360" w:lineRule="auto"/>
        <w:ind w:left="840"/>
        <w:rPr>
          <w:rFonts w:hint="default" w:ascii="Times New Roman" w:hAnsi="Times New Roman" w:cs="Times New Roman"/>
          <w:b/>
          <w:bCs/>
          <w:color w:val="auto"/>
          <w:sz w:val="24"/>
          <w:szCs w:val="24"/>
        </w:rPr>
      </w:pPr>
    </w:p>
    <w:p>
      <w:pPr>
        <w:pStyle w:val="183"/>
        <w:tabs>
          <w:tab w:val="left" w:pos="5580"/>
        </w:tabs>
        <w:spacing w:line="360" w:lineRule="auto"/>
        <w:ind w:firstLine="560" w:firstLineChars="200"/>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zh-TW" w:eastAsia="zh-TW"/>
        </w:rPr>
        <w:t>说明：</w:t>
      </w:r>
    </w:p>
    <w:p>
      <w:pPr>
        <w:pStyle w:val="183"/>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1.具有依法缴纳税收和社会保障资金的相关材料（提供自2022年1月1日以来至少一个月的纳税证明和社保缴纳证明，依法免税或不需要缴纳社会保障资金的，应提供相应文件证明其依法免税或不需要缴纳）。</w:t>
      </w:r>
    </w:p>
    <w:p>
      <w:pPr>
        <w:pStyle w:val="183"/>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2.如果是联合体投标，联合体各方均需提供相关材料。</w:t>
      </w:r>
    </w:p>
    <w:p>
      <w:pPr>
        <w:tabs>
          <w:tab w:val="left" w:pos="5580"/>
        </w:tabs>
        <w:spacing w:line="360" w:lineRule="auto"/>
        <w:rPr>
          <w:rFonts w:hint="default" w:ascii="Times New Roman" w:hAnsi="Times New Roman" w:eastAsia="仿宋_GB2312" w:cs="Times New Roman"/>
          <w:color w:val="auto"/>
          <w:sz w:val="28"/>
          <w:szCs w:val="28"/>
          <w:lang w:val="en-US" w:eastAsia="zh-CN"/>
        </w:rPr>
      </w:pPr>
    </w:p>
    <w:p>
      <w:pPr>
        <w:pStyle w:val="183"/>
        <w:tabs>
          <w:tab w:val="left" w:pos="5580"/>
        </w:tabs>
        <w:spacing w:line="360" w:lineRule="auto"/>
        <w:ind w:left="840"/>
        <w:rPr>
          <w:rFonts w:hint="default" w:ascii="Times New Roman" w:hAnsi="Times New Roman" w:cs="Times New Roman"/>
          <w:color w:val="auto"/>
          <w:sz w:val="24"/>
          <w:szCs w:val="24"/>
        </w:rPr>
      </w:pPr>
    </w:p>
    <w:p>
      <w:pPr>
        <w:pStyle w:val="2"/>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color w:val="auto"/>
          <w:sz w:val="24"/>
          <w:szCs w:val="24"/>
        </w:rPr>
        <w:br w:type="page"/>
      </w:r>
      <w:bookmarkStart w:id="391" w:name="_Toc1191619766"/>
      <w:bookmarkStart w:id="392" w:name="_Toc634123008"/>
      <w:bookmarkStart w:id="393" w:name="_Toc642483276"/>
      <w:bookmarkStart w:id="394" w:name="_Toc937672964"/>
      <w:bookmarkStart w:id="395" w:name="_Toc62113572_WPSOffice_Level2"/>
      <w:bookmarkStart w:id="396" w:name="_Toc231434114"/>
      <w:bookmarkStart w:id="397" w:name="_Toc29306536"/>
      <w:bookmarkStart w:id="398" w:name="_Toc933477298"/>
      <w:bookmarkStart w:id="399" w:name="_Toc148345819_WPSOffice_Level3"/>
      <w:bookmarkStart w:id="400" w:name="_Toc1152943509"/>
      <w:bookmarkStart w:id="401" w:name="_Toc1555857921"/>
      <w:bookmarkStart w:id="402" w:name="_Toc1387518291"/>
      <w:bookmarkStart w:id="403" w:name="_Toc883013156"/>
      <w:bookmarkStart w:id="404" w:name="_Toc173874035"/>
      <w:r>
        <w:rPr>
          <w:rFonts w:hint="default" w:ascii="Times New Roman" w:hAnsi="Times New Roman" w:eastAsia="方正小标宋_GBK" w:cs="Times New Roman"/>
          <w:b w:val="0"/>
          <w:color w:val="auto"/>
          <w:sz w:val="30"/>
          <w:szCs w:val="30"/>
          <w:lang w:val="en-US" w:eastAsia="zh-CN"/>
        </w:rPr>
        <w:t>四、具有履行合同所必需的设备和专业技术能力</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spacing w:line="360" w:lineRule="auto"/>
        <w:ind w:left="4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履行合同所必须的主要设备、工具</w:t>
      </w:r>
    </w:p>
    <w:tbl>
      <w:tblPr>
        <w:tblStyle w:val="51"/>
        <w:tblW w:w="914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05"/>
        <w:gridCol w:w="2271"/>
        <w:gridCol w:w="2271"/>
        <w:gridCol w:w="2270"/>
        <w:gridCol w:w="162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9"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名称</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数量</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用途</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1</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2</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3</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bl>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履行合同所必须的主要人员</w:t>
      </w:r>
      <w:r>
        <w:rPr>
          <w:rFonts w:hint="default" w:ascii="Times New Roman" w:hAnsi="Times New Roman" w:eastAsia="仿宋_GB2312" w:cs="Times New Roman"/>
          <w:color w:val="auto"/>
          <w:sz w:val="28"/>
          <w:szCs w:val="28"/>
          <w:lang w:val="en-US"/>
        </w:rPr>
        <w:t>[</w:t>
      </w:r>
      <w:r>
        <w:rPr>
          <w:rFonts w:hint="default" w:ascii="Times New Roman" w:hAnsi="Times New Roman" w:eastAsia="仿宋_GB2312" w:cs="Times New Roman"/>
          <w:color w:val="auto"/>
          <w:sz w:val="28"/>
          <w:szCs w:val="28"/>
        </w:rPr>
        <w:t>本表后附相关职称或职业资格证书原件或复印件扫描件（如有）</w:t>
      </w:r>
      <w:r>
        <w:rPr>
          <w:rFonts w:hint="default" w:ascii="Times New Roman" w:hAnsi="Times New Roman" w:eastAsia="仿宋_GB2312" w:cs="Times New Roman"/>
          <w:color w:val="auto"/>
          <w:sz w:val="28"/>
          <w:szCs w:val="28"/>
          <w:lang w:val="en-US"/>
        </w:rPr>
        <w:t>]</w:t>
      </w:r>
    </w:p>
    <w:tbl>
      <w:tblPr>
        <w:tblStyle w:val="51"/>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79"/>
        <w:gridCol w:w="755"/>
        <w:gridCol w:w="2417"/>
        <w:gridCol w:w="907"/>
        <w:gridCol w:w="1209"/>
        <w:gridCol w:w="1358"/>
        <w:gridCol w:w="848"/>
        <w:gridCol w:w="6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1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姓名</w:t>
            </w: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身份证号</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年龄</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学历</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职称或职业资格（如有）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工作职责</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3</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bl>
    <w:p>
      <w:pPr>
        <w:widowControl w:val="0"/>
        <w:jc w:val="center"/>
        <w:rPr>
          <w:rFonts w:hint="default" w:ascii="Times New Roman" w:hAnsi="Times New Roman" w:eastAsia="宋体" w:cs="Times New Roman"/>
          <w:color w:val="auto"/>
          <w:sz w:val="24"/>
          <w:szCs w:val="24"/>
        </w:rPr>
      </w:pPr>
    </w:p>
    <w:p>
      <w:pPr>
        <w:pStyle w:val="183"/>
        <w:tabs>
          <w:tab w:val="left" w:pos="5580"/>
        </w:tabs>
        <w:spacing w:line="360" w:lineRule="auto"/>
        <w:ind w:left="1080" w:hanging="540"/>
        <w:jc w:val="center"/>
        <w:rPr>
          <w:rFonts w:hint="default" w:ascii="Times New Roman" w:hAnsi="Times New Roman" w:cs="Times New Roman"/>
          <w:b/>
          <w:bCs/>
          <w:color w:val="auto"/>
          <w:sz w:val="24"/>
          <w:szCs w:val="24"/>
        </w:rPr>
      </w:pPr>
    </w:p>
    <w:p>
      <w:pPr>
        <w:pStyle w:val="183"/>
        <w:tabs>
          <w:tab w:val="left" w:pos="5580"/>
        </w:tabs>
        <w:spacing w:line="360" w:lineRule="auto"/>
        <w:ind w:left="1080" w:hanging="540"/>
        <w:jc w:val="center"/>
        <w:rPr>
          <w:rFonts w:hint="default" w:ascii="Times New Roman" w:hAnsi="Times New Roman" w:cs="Times New Roman"/>
          <w:b/>
          <w:bCs/>
          <w:color w:val="auto"/>
          <w:sz w:val="24"/>
          <w:szCs w:val="24"/>
        </w:rPr>
      </w:pPr>
    </w:p>
    <w:p>
      <w:pPr>
        <w:pStyle w:val="2"/>
        <w:jc w:val="center"/>
        <w:rPr>
          <w:rFonts w:hint="default" w:ascii="Times New Roman" w:hAnsi="Times New Roman" w:eastAsia="方正小标宋_GBK" w:cs="Times New Roman"/>
          <w:b w:val="0"/>
          <w:color w:val="auto"/>
          <w:sz w:val="30"/>
          <w:szCs w:val="30"/>
          <w:lang w:val="en-US" w:eastAsia="zh-CN"/>
        </w:rPr>
      </w:pPr>
      <w:bookmarkStart w:id="405" w:name="_Toc1989881438"/>
      <w:bookmarkStart w:id="406" w:name="_Toc897167010_WPSOffice_Level3"/>
      <w:bookmarkStart w:id="407" w:name="_Toc2058865505"/>
      <w:bookmarkStart w:id="408" w:name="_Toc2139213640"/>
      <w:bookmarkStart w:id="409" w:name="_Toc1625950936"/>
      <w:bookmarkStart w:id="410" w:name="_Toc1835514155"/>
      <w:bookmarkStart w:id="411" w:name="_Toc288533216"/>
      <w:bookmarkStart w:id="412" w:name="_Toc933578141"/>
      <w:bookmarkStart w:id="413" w:name="_Toc683069219"/>
      <w:bookmarkStart w:id="414" w:name="_Toc1206650936"/>
      <w:bookmarkStart w:id="415" w:name="_Toc15280674"/>
      <w:bookmarkStart w:id="416" w:name="_Toc242026376"/>
      <w:bookmarkStart w:id="417" w:name="_Toc438911815_WPSOffice_Level2"/>
      <w:bookmarkStart w:id="418" w:name="_Toc1596637222"/>
      <w:r>
        <w:rPr>
          <w:rFonts w:hint="default" w:ascii="Times New Roman" w:hAnsi="Times New Roman" w:eastAsia="方正小标宋_GBK" w:cs="Times New Roman"/>
          <w:b w:val="0"/>
          <w:color w:val="auto"/>
          <w:sz w:val="30"/>
          <w:szCs w:val="30"/>
          <w:lang w:val="en-US" w:eastAsia="zh-CN"/>
        </w:rPr>
        <w:t>五、参加政府采购活动前3年内在经营活动中没有重大违法记录的</w:t>
      </w:r>
      <w:bookmarkEnd w:id="405"/>
      <w:bookmarkEnd w:id="406"/>
      <w:bookmarkEnd w:id="407"/>
      <w:bookmarkEnd w:id="408"/>
      <w:bookmarkEnd w:id="409"/>
      <w:bookmarkEnd w:id="410"/>
      <w:r>
        <w:rPr>
          <w:rFonts w:hint="default" w:ascii="Times New Roman" w:hAnsi="Times New Roman" w:eastAsia="方正小标宋_GBK" w:cs="Times New Roman"/>
          <w:b w:val="0"/>
          <w:color w:val="auto"/>
          <w:sz w:val="30"/>
          <w:szCs w:val="30"/>
          <w:lang w:val="en-US" w:eastAsia="zh-CN"/>
        </w:rPr>
        <w:t>声明</w:t>
      </w:r>
      <w:bookmarkEnd w:id="411"/>
      <w:bookmarkEnd w:id="412"/>
      <w:bookmarkEnd w:id="413"/>
      <w:bookmarkEnd w:id="414"/>
      <w:bookmarkEnd w:id="415"/>
      <w:bookmarkEnd w:id="416"/>
      <w:bookmarkEnd w:id="417"/>
      <w:bookmarkEnd w:id="418"/>
    </w:p>
    <w:p>
      <w:pPr>
        <w:spacing w:line="360" w:lineRule="auto"/>
        <w:rPr>
          <w:rFonts w:hint="default" w:ascii="Times New Roman" w:hAnsi="Times New Roman" w:eastAsia="仿宋_GB2312" w:cs="Times New Roman"/>
          <w:sz w:val="28"/>
          <w:szCs w:val="28"/>
          <w:lang w:val="en" w:eastAsia="zh-CN"/>
        </w:rPr>
      </w:pPr>
      <w:bookmarkStart w:id="419" w:name="_Hlk103703179"/>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lang w:val="en" w:eastAsia="zh-CN"/>
        </w:rPr>
        <w:t>河南省荣康医院</w:t>
      </w:r>
    </w:p>
    <w:p>
      <w:pPr>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我（单位/本人，以下统称我单位）自愿参加采购编号为</w:t>
      </w:r>
      <w:r>
        <w:rPr>
          <w:rFonts w:hint="default" w:ascii="Times New Roman" w:hAnsi="Times New Roman" w:eastAsia="仿宋_GB2312" w:cs="Times New Roman"/>
          <w:sz w:val="28"/>
          <w:szCs w:val="28"/>
          <w:u w:val="single"/>
          <w:lang w:val="en" w:eastAsia="zh-CN"/>
        </w:rPr>
        <w:t>豫财招标采购-2023-161</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lang w:val="en" w:eastAsia="zh-CN"/>
        </w:rPr>
        <w:t>河南省荣康医院电子病历一体化项目</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rPr>
        <w:t>的投标,并做出如下承诺：</w:t>
      </w:r>
    </w:p>
    <w:bookmarkEnd w:id="419"/>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我公司信誉良好，参加政府采购活动前三年内，在经营活动中没有重大违法记录。在“信用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sz w:val="28"/>
          <w:szCs w:val="28"/>
        </w:rPr>
        <w:t>”网站（www.creditchina.gov.cn）未被列入失信被执行人、重大税收违法案件当事人名单；在 “中国政府采购网” （www.ccgp.gov.cn）未被列入政府采购严重违法失信行为记录名单。</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我方保证上述信息的真实和准确，并愿意承担因我方就此弄虚作假所引起的一切法律后果。</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特此声明！</w:t>
      </w:r>
    </w:p>
    <w:p>
      <w:pPr>
        <w:tabs>
          <w:tab w:val="left" w:pos="6300"/>
        </w:tabs>
        <w:snapToGrid w:val="0"/>
        <w:spacing w:line="360" w:lineRule="auto"/>
        <w:ind w:firstLine="277" w:firstLineChars="99"/>
        <w:rPr>
          <w:rFonts w:hint="default" w:ascii="Times New Roman" w:hAnsi="Times New Roman" w:eastAsia="仿宋_GB2312" w:cs="Times New Roman"/>
          <w:sz w:val="28"/>
          <w:szCs w:val="28"/>
        </w:rPr>
      </w:pPr>
    </w:p>
    <w:p>
      <w:pPr>
        <w:spacing w:line="360" w:lineRule="exact"/>
        <w:ind w:firstLine="3640" w:firstLineChars="130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投标人（企业电子签章）：</w:t>
      </w:r>
    </w:p>
    <w:p>
      <w:pPr>
        <w:spacing w:line="360" w:lineRule="exact"/>
        <w:ind w:firstLine="420"/>
        <w:jc w:val="right"/>
        <w:rPr>
          <w:rFonts w:hint="default" w:ascii="Times New Roman" w:hAnsi="Times New Roman" w:eastAsia="仿宋_GB2312" w:cs="Times New Roman"/>
          <w:sz w:val="28"/>
          <w:szCs w:val="28"/>
        </w:rPr>
      </w:pPr>
    </w:p>
    <w:p>
      <w:pPr>
        <w:spacing w:line="360" w:lineRule="auto"/>
        <w:ind w:firstLine="556"/>
        <w:jc w:val="right"/>
        <w:rPr>
          <w:rFonts w:hint="default" w:ascii="Times New Roman" w:hAnsi="Times New Roman" w:eastAsia="仿宋_GB2312" w:cs="Times New Roman"/>
          <w:sz w:val="28"/>
          <w:szCs w:val="28"/>
        </w:rPr>
      </w:pPr>
    </w:p>
    <w:p>
      <w:pPr>
        <w:tabs>
          <w:tab w:val="left" w:pos="6300"/>
        </w:tabs>
        <w:snapToGrid w:val="0"/>
        <w:spacing w:line="360" w:lineRule="auto"/>
        <w:ind w:right="840" w:rightChars="40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日期：</w:t>
      </w:r>
      <w:r>
        <w:rPr>
          <w:rFonts w:hint="default" w:ascii="Times New Roman" w:hAnsi="Times New Roman" w:eastAsia="仿宋_GB2312" w:cs="Times New Roman"/>
          <w:sz w:val="28"/>
          <w:szCs w:val="28"/>
          <w:u w:val="single"/>
          <w:lang w:val="en"/>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lang w:val="en"/>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lang w:val="en"/>
        </w:rPr>
        <w:t xml:space="preserve">   </w:t>
      </w:r>
      <w:r>
        <w:rPr>
          <w:rFonts w:hint="default" w:ascii="Times New Roman" w:hAnsi="Times New Roman" w:eastAsia="仿宋_GB2312" w:cs="Times New Roman"/>
          <w:sz w:val="28"/>
          <w:szCs w:val="28"/>
        </w:rPr>
        <w:t>日</w:t>
      </w:r>
    </w:p>
    <w:p>
      <w:pPr>
        <w:pStyle w:val="183"/>
        <w:tabs>
          <w:tab w:val="left" w:pos="5580"/>
        </w:tabs>
        <w:spacing w:line="360" w:lineRule="auto"/>
        <w:rPr>
          <w:rFonts w:hint="default" w:ascii="Times New Roman" w:hAnsi="Times New Roman" w:cs="Times New Roman"/>
          <w:color w:val="auto"/>
          <w:sz w:val="24"/>
          <w:szCs w:val="24"/>
        </w:rPr>
      </w:pPr>
    </w:p>
    <w:p>
      <w:pPr>
        <w:pStyle w:val="183"/>
        <w:tabs>
          <w:tab w:val="left" w:pos="5580"/>
        </w:tabs>
        <w:spacing w:line="360" w:lineRule="auto"/>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zh-TW" w:eastAsia="zh-TW"/>
        </w:rPr>
        <w:t>说明：</w:t>
      </w:r>
    </w:p>
    <w:p>
      <w:pPr>
        <w:pStyle w:val="183"/>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zh-TW" w:eastAsia="zh-TW"/>
        </w:rPr>
        <w:t>投标人应按照相关法规规定如实做出说明。</w:t>
      </w:r>
    </w:p>
    <w:p>
      <w:pPr>
        <w:pStyle w:val="183"/>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zh-TW" w:eastAsia="zh-TW"/>
        </w:rPr>
        <w:t>．按照招标文件的规定</w:t>
      </w:r>
      <w:r>
        <w:rPr>
          <w:rFonts w:hint="default" w:ascii="Times New Roman" w:hAnsi="Times New Roman" w:eastAsia="仿宋_GB2312" w:cs="Times New Roman"/>
          <w:color w:val="auto"/>
          <w:sz w:val="28"/>
          <w:szCs w:val="28"/>
          <w:lang w:val="zh-TW"/>
        </w:rPr>
        <w:t>加盖</w:t>
      </w:r>
      <w:r>
        <w:rPr>
          <w:rFonts w:hint="default" w:ascii="Times New Roman" w:hAnsi="Times New Roman" w:eastAsia="仿宋_GB2312" w:cs="Times New Roman"/>
          <w:color w:val="auto"/>
          <w:sz w:val="28"/>
          <w:szCs w:val="28"/>
          <w:lang w:val="zh-TW" w:eastAsia="zh-TW"/>
        </w:rPr>
        <w:t>企业电子签章（自然人投标的无需盖章，需要签字）。</w:t>
      </w:r>
    </w:p>
    <w:p>
      <w:pPr>
        <w:pStyle w:val="183"/>
        <w:tabs>
          <w:tab w:val="left" w:pos="5580"/>
        </w:tabs>
        <w:spacing w:line="360" w:lineRule="auto"/>
        <w:ind w:firstLine="560" w:firstLineChars="200"/>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zh-TW" w:eastAsia="zh-TW"/>
        </w:rPr>
        <w:t>如果是联合体投标，联合体各方均需提供上述证明。</w:t>
      </w: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20" w:name="_Toc1497172548"/>
      <w:bookmarkStart w:id="421" w:name="_Toc1184533414"/>
      <w:bookmarkStart w:id="422" w:name="_Toc1528107318"/>
      <w:bookmarkStart w:id="423" w:name="_Toc2024909766"/>
      <w:bookmarkStart w:id="424" w:name="_Toc1999724387"/>
      <w:bookmarkStart w:id="425" w:name="_Toc2114111239"/>
      <w:bookmarkStart w:id="426" w:name="_Toc1846317276"/>
      <w:bookmarkStart w:id="427" w:name="_Toc1323492610"/>
      <w:bookmarkStart w:id="428" w:name="_Toc2035786603"/>
      <w:bookmarkStart w:id="429" w:name="_Toc1439922488"/>
      <w:bookmarkStart w:id="430" w:name="_Toc1192645811_WPSOffice_Level2"/>
      <w:bookmarkStart w:id="431" w:name="_Toc98955996"/>
      <w:bookmarkStart w:id="432" w:name="_Toc1310640400"/>
      <w:bookmarkStart w:id="433" w:name="_Toc1267967234"/>
      <w:bookmarkStart w:id="434" w:name="_Toc996756161"/>
      <w:bookmarkStart w:id="435" w:name="_Toc1412570441"/>
      <w:bookmarkStart w:id="436" w:name="_Toc497708290_WPSOffice_Level2"/>
      <w:bookmarkStart w:id="437" w:name="_Toc2073666225_WPSOffice_Level3"/>
      <w:bookmarkStart w:id="438" w:name="_Toc1462517689"/>
      <w:bookmarkStart w:id="439" w:name="_Toc1614236527"/>
      <w:bookmarkStart w:id="440" w:name="_Toc320661673"/>
      <w:bookmarkStart w:id="441" w:name="_Toc934702901"/>
      <w:bookmarkStart w:id="442" w:name="_Toc474620139"/>
      <w:bookmarkStart w:id="443" w:name="_Toc658606622"/>
      <w:bookmarkStart w:id="444" w:name="_Toc1938095027"/>
      <w:bookmarkStart w:id="445" w:name="_Toc1237822054"/>
      <w:r>
        <w:rPr>
          <w:rFonts w:hint="default" w:ascii="Times New Roman" w:hAnsi="Times New Roman" w:eastAsia="方正小标宋_GBK" w:cs="Times New Roman"/>
          <w:bCs/>
          <w:color w:val="auto"/>
          <w:kern w:val="0"/>
          <w:sz w:val="30"/>
          <w:szCs w:val="30"/>
          <w:lang w:val="en-US" w:eastAsia="zh-CN"/>
        </w:rPr>
        <w:t>六、</w:t>
      </w:r>
      <w:bookmarkEnd w:id="420"/>
      <w:bookmarkEnd w:id="421"/>
      <w:bookmarkEnd w:id="422"/>
      <w:bookmarkEnd w:id="423"/>
      <w:bookmarkEnd w:id="424"/>
      <w:bookmarkEnd w:id="425"/>
      <w:bookmarkEnd w:id="426"/>
      <w:bookmarkEnd w:id="427"/>
      <w:bookmarkEnd w:id="428"/>
      <w:bookmarkEnd w:id="429"/>
      <w:r>
        <w:rPr>
          <w:rFonts w:hint="default" w:ascii="Times New Roman" w:hAnsi="Times New Roman" w:eastAsia="方正小标宋_GBK" w:cs="Times New Roman"/>
          <w:bCs/>
          <w:color w:val="auto"/>
          <w:kern w:val="0"/>
          <w:sz w:val="30"/>
          <w:szCs w:val="30"/>
          <w:lang w:val="en-US" w:eastAsia="zh-CN"/>
        </w:rPr>
        <w:t>企业声明函</w:t>
      </w:r>
      <w:bookmarkEnd w:id="430"/>
      <w:bookmarkEnd w:id="431"/>
    </w:p>
    <w:p>
      <w:pPr>
        <w:jc w:val="center"/>
        <w:rPr>
          <w:rFonts w:hint="default" w:ascii="Times New Roman" w:hAnsi="Times New Roman" w:eastAsia="CESI楷体-GB2312" w:cs="Times New Roman"/>
          <w:b/>
          <w:bCs/>
          <w:sz w:val="32"/>
          <w:szCs w:val="32"/>
          <w:lang w:val="en-US" w:eastAsia="zh-CN"/>
        </w:rPr>
      </w:pPr>
      <w:bookmarkStart w:id="446" w:name="_Toc1299793528_WPSOffice_Level2"/>
      <w:r>
        <w:rPr>
          <w:rFonts w:hint="default" w:ascii="Times New Roman" w:hAnsi="Times New Roman" w:eastAsia="CESI楷体-GB2312" w:cs="Times New Roman"/>
          <w:b/>
          <w:bCs/>
          <w:sz w:val="32"/>
          <w:szCs w:val="32"/>
          <w:lang w:val="en-US" w:eastAsia="zh-CN"/>
        </w:rPr>
        <w:t>中小企业声明函（工程、服务）</w:t>
      </w:r>
      <w:bookmarkEnd w:id="446"/>
    </w:p>
    <w:p>
      <w:pPr>
        <w:spacing w:line="360" w:lineRule="auto"/>
        <w:jc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rPr>
        <w:t>（投标人属于</w:t>
      </w:r>
      <w:r>
        <w:rPr>
          <w:rFonts w:hint="default" w:ascii="Times New Roman" w:hAnsi="Times New Roman" w:eastAsia="仿宋_GB2312" w:cs="Times New Roman"/>
          <w:color w:val="auto"/>
          <w:kern w:val="0"/>
          <w:sz w:val="24"/>
          <w:szCs w:val="24"/>
          <w:lang w:val="en-US" w:eastAsia="zh-CN"/>
        </w:rPr>
        <w:t>小型微企业</w:t>
      </w:r>
      <w:r>
        <w:rPr>
          <w:rFonts w:hint="default" w:ascii="Times New Roman" w:hAnsi="Times New Roman" w:eastAsia="仿宋_GB2312" w:cs="Times New Roman"/>
          <w:color w:val="auto"/>
          <w:kern w:val="0"/>
          <w:sz w:val="24"/>
          <w:szCs w:val="24"/>
          <w:lang w:val="en-US"/>
        </w:rPr>
        <w:t>的填写，不属于的无需填写或不提供此项内容）</w:t>
      </w:r>
    </w:p>
    <w:p>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本公司（联合体）郑重声明，根据《政府采购促进中小企业发展管理办法》（财库﹝2020﹞46 号）的规定，本公司（联合体）参加</w:t>
      </w:r>
      <w:r>
        <w:rPr>
          <w:rFonts w:hint="default" w:ascii="Times New Roman" w:hAnsi="Times New Roman" w:eastAsia="仿宋_GB2312" w:cs="Times New Roman"/>
          <w:sz w:val="28"/>
          <w:szCs w:val="28"/>
          <w:u w:val="single"/>
          <w:lang w:val="en" w:eastAsia="zh-CN"/>
        </w:rPr>
        <w:t>河南省荣康医院</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u w:val="single"/>
          <w:lang w:val="en" w:eastAsia="zh-CN"/>
        </w:rPr>
        <w:t>河南省荣康医院电子病历一体化项目</w:t>
      </w:r>
      <w:r>
        <w:rPr>
          <w:rFonts w:hint="default" w:ascii="Times New Roman" w:hAnsi="Times New Roman" w:eastAsia="仿宋_GB2312" w:cs="Times New Roman"/>
          <w:sz w:val="28"/>
          <w:szCs w:val="28"/>
        </w:rPr>
        <w:t>采购活动，服务全部由符合政策要求的中小企业承接（或者：工程的施工单位全部为符合政策要求的中小企业）。相关企业（含联合体中的中小企业、签订分包意向协议的中小企业）的具体情况如下：</w:t>
      </w:r>
    </w:p>
    <w:p>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 </w:t>
      </w:r>
      <w:r>
        <w:rPr>
          <w:rFonts w:hint="default" w:ascii="Times New Roman" w:hAnsi="Times New Roman" w:eastAsia="仿宋_GB2312" w:cs="Times New Roman"/>
          <w:i/>
          <w:iCs/>
          <w:sz w:val="28"/>
          <w:szCs w:val="28"/>
          <w:u w:val="single"/>
        </w:rPr>
        <w:t>（标的名称）</w:t>
      </w:r>
      <w:r>
        <w:rPr>
          <w:rFonts w:hint="default" w:ascii="Times New Roman" w:hAnsi="Times New Roman" w:eastAsia="仿宋_GB2312" w:cs="Times New Roman"/>
          <w:sz w:val="28"/>
          <w:szCs w:val="28"/>
        </w:rPr>
        <w:t>，属于</w:t>
      </w:r>
      <w:r>
        <w:rPr>
          <w:rFonts w:hint="default" w:ascii="Times New Roman" w:hAnsi="Times New Roman" w:eastAsia="仿宋_GB2312" w:cs="Times New Roman"/>
          <w:i/>
          <w:iCs/>
          <w:sz w:val="28"/>
          <w:szCs w:val="28"/>
          <w:u w:val="single"/>
        </w:rPr>
        <w:t>（采购文件中明确的所属行业）</w:t>
      </w:r>
      <w:r>
        <w:rPr>
          <w:rFonts w:hint="default" w:ascii="Times New Roman" w:hAnsi="Times New Roman" w:eastAsia="仿宋_GB2312" w:cs="Times New Roman"/>
          <w:sz w:val="28"/>
          <w:szCs w:val="28"/>
        </w:rPr>
        <w:t>； 承建（承接）企业为</w:t>
      </w:r>
      <w:r>
        <w:rPr>
          <w:rFonts w:hint="default" w:ascii="Times New Roman" w:hAnsi="Times New Roman" w:eastAsia="仿宋_GB2312" w:cs="Times New Roman"/>
          <w:i/>
          <w:iCs/>
          <w:sz w:val="28"/>
          <w:szCs w:val="28"/>
          <w:u w:val="single"/>
        </w:rPr>
        <w:t>（企业名称）</w:t>
      </w:r>
      <w:r>
        <w:rPr>
          <w:rFonts w:hint="default" w:ascii="Times New Roman" w:hAnsi="Times New Roman" w:eastAsia="仿宋_GB2312" w:cs="Times New Roman"/>
          <w:sz w:val="28"/>
          <w:szCs w:val="28"/>
        </w:rPr>
        <w:t>，从业人员</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人，营业收入为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万元，资产总额为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万元，属于</w:t>
      </w:r>
      <w:r>
        <w:rPr>
          <w:rFonts w:hint="default" w:ascii="Times New Roman" w:hAnsi="Times New Roman" w:eastAsia="仿宋_GB2312" w:cs="Times New Roman"/>
          <w:i/>
          <w:iCs/>
          <w:sz w:val="28"/>
          <w:szCs w:val="28"/>
          <w:u w:val="single"/>
        </w:rPr>
        <w:t>（中型企业、</w:t>
      </w:r>
      <w:r>
        <w:rPr>
          <w:rFonts w:hint="default" w:ascii="Times New Roman" w:hAnsi="Times New Roman" w:eastAsia="仿宋_GB2312" w:cs="Times New Roman"/>
          <w:i/>
          <w:iCs/>
          <w:sz w:val="28"/>
          <w:szCs w:val="28"/>
        </w:rPr>
        <w:t xml:space="preserve"> </w:t>
      </w:r>
      <w:r>
        <w:rPr>
          <w:rFonts w:hint="default" w:ascii="Times New Roman" w:hAnsi="Times New Roman" w:eastAsia="仿宋_GB2312" w:cs="Times New Roman"/>
          <w:i/>
          <w:iCs/>
          <w:sz w:val="28"/>
          <w:szCs w:val="28"/>
          <w:u w:val="single"/>
        </w:rPr>
        <w:t>小型企业、微型企业）</w:t>
      </w:r>
      <w:r>
        <w:rPr>
          <w:rFonts w:hint="default" w:ascii="Times New Roman" w:hAnsi="Times New Roman" w:eastAsia="仿宋_GB2312" w:cs="Times New Roman"/>
          <w:sz w:val="28"/>
          <w:szCs w:val="28"/>
        </w:rPr>
        <w:t>；</w:t>
      </w:r>
    </w:p>
    <w:p>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2. </w:t>
      </w:r>
      <w:r>
        <w:rPr>
          <w:rFonts w:hint="default" w:ascii="Times New Roman" w:hAnsi="Times New Roman" w:eastAsia="仿宋_GB2312" w:cs="Times New Roman"/>
          <w:i/>
          <w:iCs/>
          <w:sz w:val="28"/>
          <w:szCs w:val="28"/>
          <w:u w:val="single"/>
        </w:rPr>
        <w:t>（标的名称）</w:t>
      </w:r>
      <w:r>
        <w:rPr>
          <w:rFonts w:hint="default" w:ascii="Times New Roman" w:hAnsi="Times New Roman" w:eastAsia="仿宋_GB2312" w:cs="Times New Roman"/>
          <w:sz w:val="28"/>
          <w:szCs w:val="28"/>
        </w:rPr>
        <w:t>，属于</w:t>
      </w:r>
      <w:r>
        <w:rPr>
          <w:rFonts w:hint="default" w:ascii="Times New Roman" w:hAnsi="Times New Roman" w:eastAsia="仿宋_GB2312" w:cs="Times New Roman"/>
          <w:i/>
          <w:iCs/>
          <w:sz w:val="28"/>
          <w:szCs w:val="28"/>
          <w:u w:val="single"/>
        </w:rPr>
        <w:t>（采购文件中明确的所属行业）</w:t>
      </w:r>
      <w:r>
        <w:rPr>
          <w:rFonts w:hint="default" w:ascii="Times New Roman" w:hAnsi="Times New Roman" w:eastAsia="仿宋_GB2312" w:cs="Times New Roman"/>
          <w:sz w:val="28"/>
          <w:szCs w:val="28"/>
        </w:rPr>
        <w:t>； 承建（承接）企业为</w:t>
      </w:r>
      <w:r>
        <w:rPr>
          <w:rFonts w:hint="default" w:ascii="Times New Roman" w:hAnsi="Times New Roman" w:eastAsia="仿宋_GB2312" w:cs="Times New Roman"/>
          <w:i/>
          <w:iCs/>
          <w:sz w:val="28"/>
          <w:szCs w:val="28"/>
          <w:u w:val="single"/>
        </w:rPr>
        <w:t>（企业名称）</w:t>
      </w:r>
      <w:r>
        <w:rPr>
          <w:rFonts w:hint="default" w:ascii="Times New Roman" w:hAnsi="Times New Roman" w:eastAsia="仿宋_GB2312" w:cs="Times New Roman"/>
          <w:sz w:val="28"/>
          <w:szCs w:val="28"/>
        </w:rPr>
        <w:t>，从业人员</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人，营业收入为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万元，资产总额为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万元，属于</w:t>
      </w:r>
      <w:r>
        <w:rPr>
          <w:rFonts w:hint="default" w:ascii="Times New Roman" w:hAnsi="Times New Roman" w:eastAsia="仿宋_GB2312" w:cs="Times New Roman"/>
          <w:i/>
          <w:iCs/>
          <w:sz w:val="28"/>
          <w:szCs w:val="28"/>
          <w:u w:val="single"/>
        </w:rPr>
        <w:t>（中型企业、 小型企业、微型企业）</w:t>
      </w:r>
      <w:r>
        <w:rPr>
          <w:rFonts w:hint="default" w:ascii="Times New Roman" w:hAnsi="Times New Roman" w:eastAsia="仿宋_GB2312" w:cs="Times New Roman"/>
          <w:sz w:val="28"/>
          <w:szCs w:val="28"/>
        </w:rPr>
        <w:t>；</w:t>
      </w:r>
    </w:p>
    <w:p>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以上企业，不属于大企业的分支机构，不存在控股股东为大企业的情形，也不存在与大企业的负责人为同一人的情形。</w:t>
      </w:r>
    </w:p>
    <w:p>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本企业对上述声明内容的真实性负责。如有虚假，将依法承担相应责任。</w:t>
      </w:r>
    </w:p>
    <w:p>
      <w:pPr>
        <w:spacing w:before="100" w:after="100" w:line="460" w:lineRule="exact"/>
        <w:ind w:firstLine="396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投标人（企业电子签章）：</w:t>
      </w:r>
      <w:r>
        <w:rPr>
          <w:rFonts w:hint="default" w:ascii="Times New Roman" w:hAnsi="Times New Roman" w:eastAsia="仿宋_GB2312" w:cs="Times New Roman"/>
          <w:color w:val="auto"/>
          <w:kern w:val="0"/>
          <w:sz w:val="28"/>
          <w:szCs w:val="28"/>
          <w:u w:val="single"/>
          <w:lang w:val="en-US"/>
        </w:rPr>
        <w:t xml:space="preserve">             </w:t>
      </w:r>
    </w:p>
    <w:p>
      <w:pPr>
        <w:spacing w:before="100" w:after="100" w:line="460" w:lineRule="exact"/>
        <w:ind w:firstLine="3720"/>
        <w:jc w:val="left"/>
        <w:rPr>
          <w:rFonts w:hint="default" w:ascii="Times New Roman" w:hAnsi="Times New Roman" w:eastAsia="仿宋_GB2312" w:cs="Times New Roman"/>
          <w:color w:val="auto"/>
          <w:kern w:val="0"/>
          <w:sz w:val="28"/>
          <w:szCs w:val="28"/>
          <w:u w:val="single"/>
          <w:lang w:val="en-US"/>
        </w:rPr>
      </w:pPr>
      <w:r>
        <w:rPr>
          <w:rFonts w:hint="default" w:ascii="Times New Roman" w:hAnsi="Times New Roman" w:eastAsia="仿宋_GB2312" w:cs="Times New Roman"/>
          <w:color w:val="auto"/>
          <w:kern w:val="0"/>
          <w:sz w:val="28"/>
          <w:szCs w:val="28"/>
        </w:rPr>
        <w:t>　日　期：</w:t>
      </w:r>
      <w:r>
        <w:rPr>
          <w:rFonts w:hint="default" w:ascii="Times New Roman" w:hAnsi="Times New Roman" w:eastAsia="仿宋_GB2312" w:cs="Times New Roman"/>
          <w:color w:val="auto"/>
          <w:kern w:val="0"/>
          <w:sz w:val="28"/>
          <w:szCs w:val="28"/>
          <w:u w:val="single"/>
          <w:lang w:val="en-US"/>
        </w:rPr>
        <w:t xml:space="preserve">             </w:t>
      </w:r>
    </w:p>
    <w:p>
      <w:pPr>
        <w:pStyle w:val="217"/>
        <w:rPr>
          <w:rFonts w:hint="default" w:ascii="Times New Roman" w:hAnsi="Times New Roman" w:eastAsia="仿宋_GB2312" w:cs="Times New Roman"/>
          <w:kern w:val="0"/>
          <w:sz w:val="28"/>
          <w:szCs w:val="28"/>
          <w:u w:val="single"/>
        </w:rPr>
      </w:pPr>
    </w:p>
    <w:p>
      <w:pPr>
        <w:pStyle w:val="217"/>
        <w:pBdr>
          <w:bottom w:val="double" w:color="auto" w:sz="4" w:space="0"/>
        </w:pBdr>
        <w:rPr>
          <w:rFonts w:hint="default" w:ascii="Times New Roman" w:hAnsi="Times New Roman" w:eastAsia="仿宋_GB2312" w:cs="Times New Roman"/>
          <w:kern w:val="0"/>
          <w:sz w:val="28"/>
          <w:szCs w:val="28"/>
          <w:u w:val="single"/>
        </w:rPr>
      </w:pPr>
    </w:p>
    <w:p>
      <w:pPr>
        <w:pStyle w:val="217"/>
        <w:rPr>
          <w:rFonts w:hint="default" w:ascii="Times New Roman" w:hAnsi="Times New Roman" w:eastAsia="仿宋_GB2312" w:cs="Times New Roman"/>
          <w:kern w:val="0"/>
          <w:sz w:val="28"/>
          <w:szCs w:val="28"/>
          <w:u w:val="single"/>
        </w:rPr>
      </w:pPr>
    </w:p>
    <w:p>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（1）从业人员、营业收入、资产总额填报上一年度数据，无上一年度数据的新成立企业可不填报。</w:t>
      </w:r>
    </w:p>
    <w:p>
      <w:pPr>
        <w:widowControl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 w:eastAsia="zh-CN"/>
        </w:rPr>
        <w:t>（</w:t>
      </w:r>
      <w:r>
        <w:rPr>
          <w:rFonts w:hint="default" w:ascii="Times New Roman" w:hAnsi="Times New Roman" w:eastAsia="宋体" w:cs="Times New Roman"/>
          <w:lang w:val="en-US" w:eastAsia="zh-CN"/>
        </w:rPr>
        <w:t>2</w:t>
      </w:r>
      <w:r>
        <w:rPr>
          <w:rFonts w:hint="default" w:ascii="Times New Roman" w:hAnsi="Times New Roman" w:eastAsia="宋体" w:cs="Times New Roman"/>
          <w:lang w:val="en" w:eastAsia="zh-CN"/>
        </w:rPr>
        <w:t>）</w:t>
      </w:r>
      <w:r>
        <w:rPr>
          <w:rFonts w:hint="default" w:ascii="Times New Roman" w:hAnsi="Times New Roman" w:eastAsia="宋体" w:cs="Times New Roman"/>
          <w:lang w:val="en-US" w:eastAsia="zh-CN"/>
        </w:rPr>
        <w:t>中小企业划型标准见文件末附件。</w:t>
      </w:r>
    </w:p>
    <w:p>
      <w:pPr>
        <w:pStyle w:val="4"/>
        <w:jc w:val="center"/>
        <w:rPr>
          <w:rFonts w:hint="default" w:ascii="Times New Roman" w:hAnsi="Times New Roman" w:cs="Times New Roman"/>
        </w:rPr>
      </w:pPr>
      <w:r>
        <w:rPr>
          <w:rFonts w:hint="default" w:ascii="Times New Roman" w:hAnsi="Times New Roman" w:cs="Times New Roman"/>
        </w:rPr>
        <w:br w:type="page"/>
      </w:r>
      <w:bookmarkStart w:id="447" w:name="_Toc1376471950"/>
      <w:bookmarkStart w:id="448" w:name="_Toc596959550"/>
      <w:bookmarkStart w:id="449" w:name="_Toc430357775"/>
      <w:bookmarkStart w:id="450" w:name="_Toc1555514676"/>
      <w:bookmarkStart w:id="451" w:name="_Toc64259737_WPSOffice_Level3"/>
      <w:bookmarkStart w:id="452" w:name="_Toc71543331"/>
      <w:bookmarkStart w:id="453" w:name="_Toc709139859_WPSOffice_Level2"/>
      <w:r>
        <w:rPr>
          <w:rFonts w:hint="default" w:ascii="Times New Roman" w:hAnsi="Times New Roman" w:eastAsia="宋体" w:cs="Times New Roman"/>
          <w:color w:val="auto"/>
          <w:sz w:val="28"/>
          <w:szCs w:val="28"/>
        </w:rPr>
        <w:t>投标人监狱企业声明函</w:t>
      </w:r>
      <w:bookmarkEnd w:id="447"/>
      <w:bookmarkEnd w:id="448"/>
      <w:bookmarkEnd w:id="449"/>
      <w:bookmarkEnd w:id="450"/>
      <w:bookmarkEnd w:id="451"/>
      <w:bookmarkEnd w:id="452"/>
      <w:bookmarkEnd w:id="453"/>
    </w:p>
    <w:p>
      <w:pPr>
        <w:spacing w:line="360" w:lineRule="auto"/>
        <w:jc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rPr>
        <w:t>（投标人属于</w:t>
      </w:r>
      <w:r>
        <w:rPr>
          <w:rFonts w:hint="default" w:ascii="Times New Roman" w:hAnsi="Times New Roman" w:eastAsia="仿宋_GB2312" w:cs="Times New Roman"/>
          <w:color w:val="auto"/>
          <w:kern w:val="0"/>
          <w:sz w:val="24"/>
          <w:szCs w:val="24"/>
          <w:lang w:val="en-US" w:eastAsia="zh-CN"/>
        </w:rPr>
        <w:t>监狱企业</w:t>
      </w:r>
      <w:r>
        <w:rPr>
          <w:rFonts w:hint="default" w:ascii="Times New Roman" w:hAnsi="Times New Roman" w:eastAsia="仿宋_GB2312" w:cs="Times New Roman"/>
          <w:color w:val="auto"/>
          <w:kern w:val="0"/>
          <w:sz w:val="24"/>
          <w:szCs w:val="24"/>
          <w:lang w:val="en-US"/>
        </w:rPr>
        <w:t>的填写，不属于的无需填写或不提供此项内容）</w:t>
      </w:r>
    </w:p>
    <w:p>
      <w:pPr>
        <w:pStyle w:val="87"/>
        <w:rPr>
          <w:rFonts w:hint="default" w:ascii="Times New Roman" w:hAnsi="Times New Roman" w:cs="Times New Roman"/>
        </w:rPr>
      </w:pPr>
    </w:p>
    <w:p>
      <w:pPr>
        <w:spacing w:before="100" w:after="100" w:line="360" w:lineRule="auto"/>
        <w:ind w:firstLine="48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本企业（单位）郑重声明下列事项（按照实际情况勾选或填空）：</w:t>
      </w:r>
    </w:p>
    <w:p>
      <w:pPr>
        <w:spacing w:before="100" w:after="100" w:line="360" w:lineRule="auto"/>
        <w:ind w:firstLine="48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rPr>
        <w:t xml:space="preserve">        </w:t>
      </w:r>
      <w:r>
        <w:rPr>
          <w:rFonts w:hint="default" w:ascii="Times New Roman" w:hAnsi="Times New Roman" w:eastAsia="仿宋_GB2312" w:cs="Times New Roman"/>
          <w:color w:val="auto"/>
          <w:kern w:val="0"/>
          <w:sz w:val="28"/>
          <w:szCs w:val="28"/>
        </w:rPr>
        <w:t>（请填写：是、不是）监狱企业。后附省级以上监狱管理局、戒毒管理局（含新疆生产建设兵团）出具的属于监狱企业的证明文件。</w:t>
      </w:r>
    </w:p>
    <w:p>
      <w:pPr>
        <w:spacing w:before="100" w:after="100" w:line="360" w:lineRule="auto"/>
        <w:ind w:firstLine="48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本企业（单位）对上述声明的真实性负责。如有虚假，将依法承担相应责任。</w:t>
      </w:r>
    </w:p>
    <w:p>
      <w:pPr>
        <w:spacing w:before="100" w:after="100" w:line="360" w:lineRule="auto"/>
        <w:jc w:val="left"/>
        <w:rPr>
          <w:rFonts w:hint="default" w:ascii="Times New Roman" w:hAnsi="Times New Roman" w:eastAsia="仿宋_GB2312" w:cs="Times New Roman"/>
          <w:color w:val="auto"/>
          <w:kern w:val="0"/>
          <w:sz w:val="28"/>
          <w:szCs w:val="28"/>
          <w:lang w:val="en-US"/>
        </w:rPr>
      </w:pPr>
    </w:p>
    <w:p>
      <w:pPr>
        <w:spacing w:before="100" w:after="100" w:line="360" w:lineRule="auto"/>
        <w:jc w:val="left"/>
        <w:rPr>
          <w:rFonts w:hint="default" w:ascii="Times New Roman" w:hAnsi="Times New Roman" w:eastAsia="仿宋_GB2312" w:cs="Times New Roman"/>
          <w:color w:val="auto"/>
          <w:kern w:val="0"/>
          <w:sz w:val="28"/>
          <w:szCs w:val="28"/>
          <w:lang w:val="en-US"/>
        </w:rPr>
      </w:pPr>
    </w:p>
    <w:p>
      <w:pPr>
        <w:spacing w:line="360" w:lineRule="auto"/>
        <w:rPr>
          <w:rFonts w:hint="default" w:ascii="Times New Roman" w:hAnsi="Times New Roman" w:eastAsia="仿宋_GB2312" w:cs="Times New Roman"/>
          <w:b/>
          <w:bCs/>
          <w:color w:val="auto"/>
          <w:sz w:val="28"/>
          <w:szCs w:val="28"/>
          <w:lang w:val="en-US"/>
        </w:rPr>
      </w:pPr>
    </w:p>
    <w:p>
      <w:pPr>
        <w:spacing w:before="100" w:after="100" w:line="360" w:lineRule="auto"/>
        <w:ind w:firstLine="396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投标人（企业电子签章）：</w:t>
      </w:r>
      <w:r>
        <w:rPr>
          <w:rFonts w:hint="default" w:ascii="Times New Roman" w:hAnsi="Times New Roman" w:eastAsia="仿宋_GB2312" w:cs="Times New Roman"/>
          <w:color w:val="auto"/>
          <w:kern w:val="0"/>
          <w:sz w:val="28"/>
          <w:szCs w:val="28"/>
          <w:u w:val="single"/>
          <w:lang w:val="en-US"/>
        </w:rPr>
        <w:t xml:space="preserve">             </w:t>
      </w:r>
    </w:p>
    <w:p>
      <w:pPr>
        <w:spacing w:before="100" w:after="100" w:line="360" w:lineRule="auto"/>
        <w:ind w:firstLine="3720"/>
        <w:jc w:val="left"/>
        <w:rPr>
          <w:rFonts w:hint="default" w:ascii="Times New Roman" w:hAnsi="Times New Roman" w:eastAsia="仿宋_GB2312" w:cs="Times New Roman"/>
          <w:color w:val="auto"/>
          <w:kern w:val="0"/>
          <w:sz w:val="28"/>
          <w:szCs w:val="28"/>
          <w:u w:val="single"/>
        </w:rPr>
      </w:pPr>
      <w:r>
        <w:rPr>
          <w:rFonts w:hint="default" w:ascii="Times New Roman" w:hAnsi="Times New Roman" w:eastAsia="仿宋_GB2312" w:cs="Times New Roman"/>
          <w:color w:val="auto"/>
          <w:kern w:val="0"/>
          <w:sz w:val="28"/>
          <w:szCs w:val="28"/>
        </w:rPr>
        <w:t>　日　期：</w:t>
      </w:r>
      <w:r>
        <w:rPr>
          <w:rFonts w:hint="default" w:ascii="Times New Roman" w:hAnsi="Times New Roman" w:eastAsia="仿宋_GB2312" w:cs="Times New Roman"/>
          <w:color w:val="auto"/>
          <w:kern w:val="0"/>
          <w:sz w:val="28"/>
          <w:szCs w:val="28"/>
          <w:u w:val="single"/>
          <w:lang w:val="en-US"/>
        </w:rPr>
        <w:t xml:space="preserve">             </w:t>
      </w:r>
    </w:p>
    <w:p>
      <w:pPr>
        <w:pStyle w:val="4"/>
        <w:jc w:val="center"/>
        <w:rPr>
          <w:rFonts w:hint="default" w:ascii="Times New Roman" w:hAnsi="Times New Roman" w:cs="Times New Roman"/>
        </w:rPr>
      </w:pPr>
      <w:r>
        <w:rPr>
          <w:rFonts w:hint="default" w:ascii="Times New Roman" w:hAnsi="Times New Roman" w:cs="Times New Roman"/>
          <w:highlight w:val="green"/>
        </w:rPr>
        <w:br w:type="page"/>
      </w:r>
      <w:bookmarkStart w:id="454" w:name="_Toc894210698_WPSOffice_Level2"/>
      <w:bookmarkStart w:id="455" w:name="_Toc364095986"/>
      <w:bookmarkStart w:id="456" w:name="_Toc1632685049"/>
      <w:bookmarkStart w:id="457" w:name="_Toc415104894_WPSOffice_Level3"/>
      <w:bookmarkStart w:id="458" w:name="_Toc728679071"/>
      <w:r>
        <w:rPr>
          <w:rFonts w:hint="default" w:ascii="Times New Roman" w:hAnsi="Times New Roman" w:eastAsia="宋体" w:cs="Times New Roman"/>
          <w:color w:val="auto"/>
          <w:sz w:val="28"/>
          <w:szCs w:val="28"/>
        </w:rPr>
        <w:t>残疾人福利性单位声明函</w:t>
      </w:r>
      <w:bookmarkEnd w:id="454"/>
      <w:bookmarkEnd w:id="455"/>
      <w:bookmarkEnd w:id="456"/>
      <w:bookmarkEnd w:id="457"/>
      <w:bookmarkEnd w:id="458"/>
    </w:p>
    <w:p>
      <w:pPr>
        <w:spacing w:line="360" w:lineRule="auto"/>
        <w:jc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rPr>
        <w:t>（投标人属于残疾人福利性单位的填写，不属于的无需填写或不提供此项内容）</w:t>
      </w:r>
    </w:p>
    <w:p>
      <w:pPr>
        <w:pStyle w:val="87"/>
        <w:rPr>
          <w:rFonts w:hint="default" w:ascii="Times New Roman" w:hAnsi="Times New Roman" w:cs="Times New Roman"/>
        </w:rPr>
      </w:pPr>
    </w:p>
    <w:p>
      <w:pPr>
        <w:spacing w:line="360" w:lineRule="auto"/>
        <w:ind w:firstLine="567"/>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本单位郑重声明，根据《财政部 民政部 中国残疾人联合会关于促进残疾人就业政府采购政策的通知》（财库〔</w:t>
      </w:r>
      <w:r>
        <w:rPr>
          <w:rFonts w:hint="default" w:ascii="Times New Roman" w:hAnsi="Times New Roman" w:eastAsia="仿宋_GB2312" w:cs="Times New Roman"/>
          <w:color w:val="auto"/>
          <w:kern w:val="0"/>
          <w:sz w:val="28"/>
          <w:szCs w:val="28"/>
          <w:lang w:val="en-US"/>
        </w:rPr>
        <w:t>2017</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rPr>
        <w:t>141</w:t>
      </w:r>
      <w:r>
        <w:rPr>
          <w:rFonts w:hint="default" w:ascii="Times New Roman" w:hAnsi="Times New Roman" w:eastAsia="仿宋_GB2312" w:cs="Times New Roman"/>
          <w:color w:val="auto"/>
          <w:kern w:val="0"/>
          <w:sz w:val="28"/>
          <w:szCs w:val="28"/>
        </w:rPr>
        <w:t>号）的规定，本单位为符合条件的残疾人福利性单位，且本单位参加</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rPr>
        <w:t>单位的</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rPr>
        <w:t>项目采购活动提供本单位制造的货物（由本单位承担工程</w:t>
      </w:r>
      <w:r>
        <w:rPr>
          <w:rFonts w:hint="default" w:ascii="Times New Roman" w:hAnsi="Times New Roman" w:eastAsia="仿宋_GB2312" w:cs="Times New Roman"/>
          <w:color w:val="auto"/>
          <w:kern w:val="0"/>
          <w:sz w:val="28"/>
          <w:szCs w:val="28"/>
          <w:lang w:val="en-US"/>
        </w:rPr>
        <w:t>/</w:t>
      </w:r>
      <w:r>
        <w:rPr>
          <w:rFonts w:hint="default" w:ascii="Times New Roman" w:hAnsi="Times New Roman" w:eastAsia="仿宋_GB2312" w:cs="Times New Roman"/>
          <w:color w:val="auto"/>
          <w:kern w:val="0"/>
          <w:sz w:val="28"/>
          <w:szCs w:val="28"/>
        </w:rPr>
        <w:t>提供服务），或者提供其他残疾人福利性单位制造的货物（不包括使用非残疾人福利性单位注册商标的货物）。</w:t>
      </w:r>
    </w:p>
    <w:p>
      <w:pPr>
        <w:spacing w:line="360" w:lineRule="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本单位对上述声明的真实性负责。如有虚假，将依法承担相应责任。</w:t>
      </w:r>
    </w:p>
    <w:p>
      <w:pPr>
        <w:spacing w:line="360" w:lineRule="auto"/>
        <w:ind w:left="1080" w:hanging="540"/>
        <w:jc w:val="center"/>
        <w:rPr>
          <w:rFonts w:hint="default" w:ascii="Times New Roman" w:hAnsi="Times New Roman" w:eastAsia="宋体" w:cs="Times New Roman"/>
          <w:color w:val="auto"/>
          <w:kern w:val="0"/>
          <w:sz w:val="24"/>
          <w:szCs w:val="24"/>
          <w:lang w:val="en-US"/>
        </w:rPr>
      </w:pPr>
    </w:p>
    <w:p>
      <w:pPr>
        <w:spacing w:line="360" w:lineRule="auto"/>
        <w:ind w:left="1080" w:hanging="540"/>
        <w:jc w:val="center"/>
        <w:rPr>
          <w:rFonts w:hint="default" w:ascii="Times New Roman" w:hAnsi="Times New Roman" w:eastAsia="宋体" w:cs="Times New Roman"/>
          <w:color w:val="auto"/>
          <w:kern w:val="0"/>
          <w:sz w:val="24"/>
          <w:szCs w:val="24"/>
          <w:lang w:val="en-US"/>
        </w:rPr>
      </w:pPr>
    </w:p>
    <w:p>
      <w:pPr>
        <w:spacing w:line="360" w:lineRule="auto"/>
        <w:ind w:left="645" w:firstLine="264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宋体" w:cs="Times New Roman"/>
          <w:color w:val="auto"/>
          <w:kern w:val="0"/>
          <w:sz w:val="24"/>
          <w:szCs w:val="24"/>
        </w:rPr>
        <w:t xml:space="preserve">   </w:t>
      </w:r>
      <w:r>
        <w:rPr>
          <w:rFonts w:hint="default" w:ascii="Times New Roman" w:hAnsi="Times New Roman" w:eastAsia="仿宋_GB2312" w:cs="Times New Roman"/>
          <w:color w:val="auto"/>
          <w:kern w:val="0"/>
          <w:sz w:val="28"/>
          <w:szCs w:val="28"/>
          <w:lang w:val="en-US" w:eastAsia="zh-CN"/>
        </w:rPr>
        <w:t xml:space="preserve">投标人（企业电子签章）：             </w:t>
      </w:r>
    </w:p>
    <w:p>
      <w:pPr>
        <w:spacing w:line="360" w:lineRule="auto"/>
        <w:ind w:left="645" w:firstLine="2640"/>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val="en-US" w:eastAsia="zh-CN"/>
        </w:rPr>
        <w:t>　日　期：</w:t>
      </w:r>
      <w:r>
        <w:rPr>
          <w:rFonts w:hint="default" w:ascii="Times New Roman" w:hAnsi="Times New Roman" w:eastAsia="仿宋_GB2312" w:cs="Times New Roman"/>
          <w:color w:val="auto"/>
          <w:kern w:val="0"/>
          <w:sz w:val="28"/>
          <w:szCs w:val="28"/>
          <w:u w:val="single"/>
          <w:lang w:val="en-US"/>
        </w:rPr>
        <w:t xml:space="preserve">             </w:t>
      </w:r>
      <w:r>
        <w:rPr>
          <w:rFonts w:hint="default" w:ascii="Times New Roman" w:hAnsi="Times New Roman" w:eastAsia="仿宋_GB2312" w:cs="Times New Roman"/>
          <w:color w:val="auto"/>
          <w:kern w:val="0"/>
          <w:sz w:val="28"/>
          <w:szCs w:val="28"/>
          <w:lang w:val="en-US" w:eastAsia="zh-CN"/>
        </w:rPr>
        <w:t xml:space="preserve">             </w:t>
      </w: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eastAsia="黑体" w:cs="Times New Roman"/>
          <w:kern w:val="2"/>
          <w:sz w:val="28"/>
          <w:szCs w:val="28"/>
          <w:lang w:val="en-US" w:eastAsia="zh-CN"/>
        </w:rPr>
        <w:br w:type="page"/>
      </w:r>
      <w:r>
        <w:rPr>
          <w:rFonts w:hint="default" w:ascii="Times New Roman" w:hAnsi="Times New Roman" w:eastAsia="方正小标宋_GBK" w:cs="Times New Roman"/>
          <w:bCs/>
          <w:color w:val="auto"/>
          <w:kern w:val="0"/>
          <w:sz w:val="30"/>
          <w:szCs w:val="30"/>
          <w:lang w:val="en-US" w:eastAsia="zh-CN"/>
        </w:rPr>
        <w:t>七、其他资格证明文件</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pPr>
        <w:spacing w:line="360" w:lineRule="auto"/>
        <w:ind w:left="1080" w:hanging="540"/>
        <w:jc w:val="center"/>
        <w:rPr>
          <w:rFonts w:hint="default" w:ascii="Times New Roman" w:hAnsi="Times New Roman" w:eastAsia="宋体" w:cs="Times New Roman"/>
          <w:b/>
          <w:bCs/>
          <w:color w:val="auto"/>
          <w:sz w:val="24"/>
          <w:szCs w:val="24"/>
          <w:lang w:val="en-US"/>
        </w:rPr>
      </w:pPr>
    </w:p>
    <w:p>
      <w:pPr>
        <w:spacing w:line="360" w:lineRule="auto"/>
        <w:ind w:left="1080" w:hanging="540"/>
        <w:jc w:val="center"/>
        <w:rPr>
          <w:rFonts w:hint="default" w:ascii="Times New Roman" w:hAnsi="Times New Roman" w:eastAsia="宋体" w:cs="Times New Roman"/>
          <w:b/>
          <w:bCs/>
          <w:color w:val="auto"/>
          <w:sz w:val="24"/>
          <w:szCs w:val="24"/>
          <w:lang w:val="en-US"/>
        </w:rPr>
      </w:pPr>
    </w:p>
    <w:p>
      <w:pPr>
        <w:spacing w:line="360" w:lineRule="auto"/>
        <w:ind w:left="1080" w:hanging="540"/>
        <w:jc w:val="center"/>
        <w:rPr>
          <w:rFonts w:hint="default" w:ascii="Times New Roman" w:hAnsi="Times New Roman" w:eastAsia="宋体" w:cs="Times New Roman"/>
          <w:b/>
          <w:bCs/>
          <w:color w:val="auto"/>
          <w:sz w:val="24"/>
          <w:szCs w:val="24"/>
          <w:lang w:val="en-US"/>
        </w:rPr>
      </w:pPr>
    </w:p>
    <w:p>
      <w:pPr>
        <w:pStyle w:val="183"/>
        <w:tabs>
          <w:tab w:val="left" w:pos="5580"/>
        </w:tabs>
        <w:spacing w:line="360" w:lineRule="auto"/>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zh-TW" w:eastAsia="zh-TW"/>
        </w:rPr>
        <w:t>说明：1.应提供的其他资格证明文件。</w:t>
      </w:r>
    </w:p>
    <w:p>
      <w:pPr>
        <w:pStyle w:val="183"/>
        <w:tabs>
          <w:tab w:val="left" w:pos="5580"/>
        </w:tabs>
        <w:spacing w:line="360" w:lineRule="auto"/>
        <w:ind w:firstLine="840" w:firstLineChars="300"/>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zh-TW" w:eastAsia="zh-TW"/>
        </w:rPr>
        <w:t>2.原件或复印件</w:t>
      </w:r>
      <w:r>
        <w:rPr>
          <w:rFonts w:hint="default" w:ascii="Times New Roman" w:hAnsi="Times New Roman" w:eastAsia="仿宋_GB2312" w:cs="Times New Roman"/>
          <w:color w:val="auto"/>
          <w:sz w:val="28"/>
          <w:szCs w:val="28"/>
          <w:lang w:val="zh-TW"/>
        </w:rPr>
        <w:t>的</w:t>
      </w:r>
      <w:r>
        <w:rPr>
          <w:rFonts w:hint="default" w:ascii="Times New Roman" w:hAnsi="Times New Roman" w:eastAsia="仿宋_GB2312" w:cs="Times New Roman"/>
          <w:color w:val="auto"/>
          <w:sz w:val="28"/>
          <w:szCs w:val="28"/>
          <w:lang w:val="zh-TW" w:eastAsia="zh-TW"/>
        </w:rPr>
        <w:t>扫描件上应加盖企业电子签章（自然人投标的无需盖章，需要签字）。</w:t>
      </w:r>
    </w:p>
    <w:p>
      <w:pPr>
        <w:pStyle w:val="183"/>
        <w:tabs>
          <w:tab w:val="left" w:pos="5580"/>
        </w:tabs>
        <w:spacing w:line="360" w:lineRule="auto"/>
        <w:ind w:firstLine="840" w:firstLineChars="300"/>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zh-TW" w:eastAsia="zh-TW"/>
        </w:rPr>
        <w:t>3.如果是联合体投标，联合体各方需提供的满足招标文件要求的其他资格证明文件。</w:t>
      </w:r>
    </w:p>
    <w:p>
      <w:pPr>
        <w:pStyle w:val="3"/>
        <w:jc w:val="center"/>
        <w:rPr>
          <w:rFonts w:hint="default" w:ascii="Times New Roman" w:hAnsi="Times New Roman" w:eastAsia="宋体" w:cs="Times New Roman"/>
          <w:color w:val="auto"/>
          <w:sz w:val="36"/>
          <w:szCs w:val="36"/>
          <w:lang w:eastAsia="zh-CN"/>
        </w:rPr>
      </w:pPr>
      <w:r>
        <w:rPr>
          <w:rFonts w:hint="default" w:ascii="Times New Roman" w:hAnsi="Times New Roman" w:cs="Times New Roman"/>
          <w:color w:val="auto"/>
          <w:sz w:val="24"/>
          <w:szCs w:val="24"/>
          <w:lang w:val="en-US"/>
        </w:rPr>
        <w:br w:type="page"/>
      </w:r>
      <w:bookmarkStart w:id="459" w:name="_Toc1368632420_WPSOffice_Level2"/>
      <w:bookmarkStart w:id="460" w:name="_Toc6422905"/>
      <w:bookmarkStart w:id="461" w:name="_Toc1093923690_WPSOffice_Level2"/>
      <w:bookmarkStart w:id="462" w:name="_Toc744081619"/>
      <w:bookmarkStart w:id="463" w:name="_Toc897589225"/>
      <w:bookmarkStart w:id="464" w:name="_Toc1580344845_WPSOffice_Level2"/>
      <w:bookmarkStart w:id="465" w:name="_Toc973283021"/>
      <w:bookmarkStart w:id="466" w:name="_Toc1264393349_WPSOffice_Level2"/>
      <w:bookmarkStart w:id="467" w:name="_Toc136706314"/>
      <w:bookmarkStart w:id="468" w:name="_Toc1893653595_WPSOffice_Level1"/>
      <w:bookmarkStart w:id="469" w:name="_Toc288862645"/>
      <w:bookmarkStart w:id="470" w:name="_Toc1360926389"/>
      <w:bookmarkStart w:id="471" w:name="_Toc1731438942"/>
      <w:bookmarkStart w:id="472" w:name="_Toc1692304306"/>
      <w:bookmarkStart w:id="473" w:name="_Toc943266062"/>
      <w:bookmarkStart w:id="474" w:name="_Toc377236415"/>
      <w:bookmarkStart w:id="475" w:name="_Toc797524663"/>
      <w:bookmarkStart w:id="476" w:name="_Toc465615493"/>
      <w:bookmarkStart w:id="477" w:name="_Toc1378165390"/>
      <w:bookmarkStart w:id="478" w:name="_Toc1017563642"/>
      <w:r>
        <w:rPr>
          <w:rFonts w:hint="default" w:ascii="Times New Roman" w:hAnsi="Times New Roman" w:eastAsia="宋体" w:cs="Times New Roman"/>
          <w:color w:val="auto"/>
          <w:sz w:val="36"/>
          <w:szCs w:val="36"/>
          <w:lang w:eastAsia="zh-CN"/>
        </w:rPr>
        <w:t>第五章 投标文件</w:t>
      </w:r>
      <w:bookmarkEnd w:id="459"/>
      <w:bookmarkEnd w:id="460"/>
      <w:bookmarkEnd w:id="461"/>
      <w:bookmarkEnd w:id="462"/>
      <w:bookmarkEnd w:id="463"/>
      <w:bookmarkEnd w:id="464"/>
      <w:bookmarkEnd w:id="465"/>
      <w:bookmarkEnd w:id="466"/>
      <w:bookmarkEnd w:id="467"/>
      <w:r>
        <w:rPr>
          <w:rFonts w:hint="default" w:ascii="Times New Roman" w:hAnsi="Times New Roman" w:eastAsia="宋体" w:cs="Times New Roman"/>
          <w:color w:val="auto"/>
          <w:sz w:val="36"/>
          <w:szCs w:val="36"/>
          <w:lang w:eastAsia="zh-CN"/>
        </w:rPr>
        <w:t>格式</w:t>
      </w:r>
      <w:bookmarkEnd w:id="468"/>
      <w:bookmarkEnd w:id="469"/>
      <w:bookmarkEnd w:id="470"/>
      <w:bookmarkEnd w:id="471"/>
      <w:bookmarkEnd w:id="472"/>
      <w:bookmarkEnd w:id="473"/>
      <w:bookmarkEnd w:id="474"/>
      <w:bookmarkEnd w:id="475"/>
      <w:bookmarkEnd w:id="476"/>
      <w:bookmarkEnd w:id="477"/>
      <w:bookmarkEnd w:id="478"/>
    </w:p>
    <w:p>
      <w:pPr>
        <w:spacing w:line="360" w:lineRule="auto"/>
        <w:ind w:left="1080" w:hanging="540"/>
        <w:jc w:val="center"/>
        <w:rPr>
          <w:rFonts w:hint="default" w:ascii="Times New Roman" w:hAnsi="Times New Roman" w:eastAsia="宋体" w:cs="Times New Roman"/>
          <w:color w:val="auto"/>
          <w:sz w:val="24"/>
          <w:szCs w:val="24"/>
          <w:lang w:val="en-US"/>
        </w:rPr>
      </w:pPr>
    </w:p>
    <w:p>
      <w:pPr>
        <w:tabs>
          <w:tab w:val="left" w:pos="1950"/>
        </w:tabs>
        <w:jc w:val="center"/>
        <w:rPr>
          <w:rFonts w:hint="default" w:ascii="Times New Roman" w:hAnsi="Times New Roman" w:eastAsia="宋体" w:cs="Times New Roman"/>
          <w:b/>
          <w:bCs/>
          <w:color w:val="auto"/>
          <w:sz w:val="72"/>
          <w:szCs w:val="72"/>
          <w:lang w:val="en" w:eastAsia="zh-CN"/>
        </w:rPr>
      </w:pPr>
      <w:r>
        <w:rPr>
          <w:rFonts w:hint="default" w:ascii="Times New Roman" w:hAnsi="Times New Roman" w:eastAsia="宋体" w:cs="Times New Roman"/>
          <w:b/>
          <w:bCs/>
          <w:color w:val="auto"/>
          <w:sz w:val="72"/>
          <w:szCs w:val="72"/>
          <w:lang w:val="en" w:eastAsia="zh-CN"/>
        </w:rPr>
        <w:t>河南省荣康医院电子病历一体化项目</w:t>
      </w:r>
    </w:p>
    <w:p>
      <w:pPr>
        <w:tabs>
          <w:tab w:val="left" w:pos="1950"/>
        </w:tabs>
        <w:jc w:val="left"/>
        <w:rPr>
          <w:rFonts w:hint="default" w:ascii="Times New Roman" w:hAnsi="Times New Roman" w:eastAsia="宋体" w:cs="Times New Roman"/>
          <w:b/>
          <w:bCs/>
          <w:color w:val="auto"/>
          <w:lang w:val="en-US"/>
        </w:rPr>
      </w:pPr>
    </w:p>
    <w:p>
      <w:pPr>
        <w:tabs>
          <w:tab w:val="left" w:pos="1950"/>
        </w:tabs>
        <w:jc w:val="left"/>
        <w:rPr>
          <w:rFonts w:hint="default" w:ascii="Times New Roman" w:hAnsi="Times New Roman" w:eastAsia="宋体" w:cs="Times New Roman"/>
          <w:b/>
          <w:bCs/>
          <w:color w:val="auto"/>
          <w:lang w:val="en-US"/>
        </w:rPr>
      </w:pPr>
    </w:p>
    <w:p>
      <w:pPr>
        <w:tabs>
          <w:tab w:val="left" w:pos="1950"/>
        </w:tabs>
        <w:jc w:val="left"/>
        <w:rPr>
          <w:rFonts w:hint="default" w:ascii="Times New Roman" w:hAnsi="Times New Roman" w:eastAsia="宋体" w:cs="Times New Roman"/>
          <w:b/>
          <w:bCs/>
          <w:color w:val="auto"/>
          <w:lang w:val="en-US"/>
        </w:rPr>
      </w:pPr>
    </w:p>
    <w:p>
      <w:pPr>
        <w:tabs>
          <w:tab w:val="left" w:pos="1950"/>
        </w:tabs>
        <w:jc w:val="left"/>
        <w:rPr>
          <w:rFonts w:hint="default" w:ascii="Times New Roman" w:hAnsi="Times New Roman" w:eastAsia="宋体" w:cs="Times New Roman"/>
          <w:b/>
          <w:bCs/>
          <w:color w:val="auto"/>
          <w:lang w:val="en-US"/>
        </w:rPr>
      </w:pPr>
    </w:p>
    <w:p>
      <w:pPr>
        <w:tabs>
          <w:tab w:val="left" w:pos="1950"/>
        </w:tabs>
        <w:jc w:val="left"/>
        <w:rPr>
          <w:rFonts w:hint="default" w:ascii="Times New Roman" w:hAnsi="Times New Roman" w:eastAsia="宋体" w:cs="Times New Roman"/>
          <w:b/>
          <w:bCs/>
          <w:color w:val="auto"/>
          <w:lang w:val="en-US"/>
        </w:rPr>
      </w:pPr>
    </w:p>
    <w:p>
      <w:pPr>
        <w:tabs>
          <w:tab w:val="left" w:pos="1950"/>
        </w:tabs>
        <w:jc w:val="left"/>
        <w:rPr>
          <w:rFonts w:hint="default" w:ascii="Times New Roman" w:hAnsi="Times New Roman" w:eastAsia="宋体" w:cs="Times New Roman"/>
          <w:b/>
          <w:bCs/>
          <w:color w:val="auto"/>
          <w:lang w:val="en-US"/>
        </w:rPr>
      </w:pPr>
    </w:p>
    <w:p>
      <w:pPr>
        <w:jc w:val="center"/>
        <w:rPr>
          <w:rFonts w:hint="default" w:ascii="Times New Roman" w:hAnsi="Times New Roman" w:eastAsia="宋体" w:cs="Times New Roman"/>
          <w:b/>
          <w:bCs/>
          <w:color w:val="auto"/>
          <w:sz w:val="96"/>
          <w:szCs w:val="96"/>
        </w:rPr>
      </w:pPr>
      <w:bookmarkStart w:id="479" w:name="_Toc1256968457_WPSOffice_Level3"/>
      <w:r>
        <w:rPr>
          <w:rFonts w:hint="default" w:ascii="Times New Roman" w:hAnsi="Times New Roman" w:eastAsia="宋体" w:cs="Times New Roman"/>
          <w:b/>
          <w:color w:val="auto"/>
          <w:sz w:val="96"/>
          <w:szCs w:val="96"/>
          <w:lang w:eastAsia="zh-CN"/>
        </w:rPr>
        <w:t>投</w:t>
      </w:r>
      <w:r>
        <w:rPr>
          <w:rFonts w:hint="default" w:ascii="Times New Roman" w:hAnsi="Times New Roman" w:eastAsia="宋体" w:cs="Times New Roman"/>
          <w:b/>
          <w:color w:val="auto"/>
          <w:sz w:val="96"/>
          <w:szCs w:val="96"/>
        </w:rPr>
        <w:t>标文件</w:t>
      </w:r>
      <w:bookmarkEnd w:id="479"/>
    </w:p>
    <w:p>
      <w:pPr>
        <w:widowControl w:val="0"/>
        <w:tabs>
          <w:tab w:val="left" w:pos="1950"/>
        </w:tabs>
        <w:jc w:val="center"/>
        <w:rPr>
          <w:rFonts w:hint="default" w:ascii="Times New Roman" w:hAnsi="Times New Roman" w:eastAsia="宋体" w:cs="Times New Roman"/>
          <w:b/>
          <w:color w:val="auto"/>
          <w:sz w:val="36"/>
          <w:szCs w:val="36"/>
        </w:rPr>
      </w:pPr>
    </w:p>
    <w:p>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r>
        <w:rPr>
          <w:rFonts w:hint="default" w:ascii="Times New Roman" w:hAnsi="Times New Roman" w:eastAsia="宋体" w:cs="Times New Roman"/>
          <w:b/>
          <w:color w:val="auto"/>
          <w:sz w:val="36"/>
          <w:szCs w:val="36"/>
        </w:rPr>
        <w:t>采购编号：</w:t>
      </w:r>
      <w:r>
        <w:rPr>
          <w:rFonts w:hint="default" w:ascii="Times New Roman" w:hAnsi="Times New Roman" w:eastAsia="宋体" w:cs="Times New Roman"/>
          <w:b/>
          <w:color w:val="auto"/>
          <w:sz w:val="36"/>
          <w:szCs w:val="36"/>
          <w:lang w:val="en" w:eastAsia="zh-CN"/>
        </w:rPr>
        <w:t>豫财招标采购-2023-161</w:t>
      </w: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rPr>
          <w:rFonts w:hint="default" w:ascii="Times New Roman" w:hAnsi="Times New Roman" w:eastAsia="宋体" w:cs="Times New Roman"/>
          <w:b/>
          <w:color w:val="auto"/>
          <w:sz w:val="52"/>
          <w:szCs w:val="24"/>
          <w:lang w:val="en-US" w:eastAsia="zh-CN"/>
        </w:rPr>
      </w:pPr>
    </w:p>
    <w:p>
      <w:pPr>
        <w:pStyle w:val="87"/>
        <w:rPr>
          <w:rFonts w:hint="default" w:ascii="Times New Roman" w:hAnsi="Times New Roman" w:cs="Times New Roman"/>
        </w:rPr>
      </w:pPr>
    </w:p>
    <w:p>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pPr>
        <w:pStyle w:val="152"/>
        <w:ind w:firstLine="0"/>
        <w:rPr>
          <w:rFonts w:hint="default" w:ascii="Times New Roman" w:hAnsi="Times New Roman" w:eastAsia="宋体" w:cs="Times New Roman"/>
          <w:color w:val="auto"/>
          <w:sz w:val="36"/>
          <w:szCs w:val="36"/>
          <w:lang w:val="en-US"/>
        </w:rPr>
      </w:pPr>
    </w:p>
    <w:p>
      <w:pPr>
        <w:pStyle w:val="152"/>
        <w:ind w:firstLine="0"/>
        <w:rPr>
          <w:rFonts w:hint="default" w:ascii="Times New Roman" w:hAnsi="Times New Roman" w:eastAsia="宋体" w:cs="Times New Roman"/>
          <w:color w:val="auto"/>
        </w:rPr>
      </w:pPr>
    </w:p>
    <w:p>
      <w:pPr>
        <w:pStyle w:val="183"/>
        <w:spacing w:line="360" w:lineRule="auto"/>
        <w:jc w:val="center"/>
        <w:rPr>
          <w:rFonts w:hint="default" w:ascii="Times New Roman" w:hAnsi="Times New Roman" w:eastAsia="仿宋_GB2312" w:cs="Times New Roman"/>
          <w:b/>
          <w:bCs/>
          <w:color w:val="auto"/>
          <w:sz w:val="32"/>
          <w:szCs w:val="32"/>
          <w:lang w:val="en"/>
        </w:rPr>
      </w:pPr>
      <w:bookmarkStart w:id="480" w:name="_Toc1363473509_WPSOffice_Level2"/>
      <w:r>
        <w:rPr>
          <w:rFonts w:hint="default" w:ascii="Times New Roman" w:hAnsi="Times New Roman" w:eastAsia="仿宋_GB2312" w:cs="Times New Roman"/>
          <w:b/>
          <w:bCs/>
          <w:color w:val="auto"/>
          <w:sz w:val="32"/>
          <w:szCs w:val="32"/>
          <w:lang w:val="en"/>
        </w:rPr>
        <w:br w:type="page"/>
      </w:r>
      <w:r>
        <w:rPr>
          <w:rFonts w:hint="default" w:ascii="Times New Roman" w:hAnsi="Times New Roman" w:eastAsia="仿宋_GB2312" w:cs="Times New Roman"/>
          <w:b/>
          <w:bCs/>
          <w:color w:val="auto"/>
          <w:sz w:val="32"/>
          <w:szCs w:val="32"/>
          <w:lang w:val="en"/>
        </w:rPr>
        <w:t>目  录</w:t>
      </w:r>
      <w:bookmarkEnd w:id="480"/>
    </w:p>
    <w:p>
      <w:pPr>
        <w:pStyle w:val="183"/>
        <w:spacing w:line="360" w:lineRule="auto"/>
        <w:rPr>
          <w:rFonts w:hint="default" w:ascii="Times New Roman" w:hAnsi="Times New Roman" w:eastAsia="仿宋_GB2312" w:cs="Times New Roman"/>
          <w:color w:val="auto"/>
          <w:sz w:val="28"/>
          <w:szCs w:val="28"/>
          <w:lang w:val="zh-TW"/>
        </w:rPr>
      </w:pPr>
    </w:p>
    <w:p>
      <w:pPr>
        <w:pStyle w:val="183"/>
        <w:spacing w:line="360" w:lineRule="auto"/>
        <w:rPr>
          <w:rFonts w:hint="default" w:ascii="Times New Roman" w:hAnsi="Times New Roman" w:eastAsia="仿宋_GB2312" w:cs="Times New Roman"/>
          <w:color w:val="auto"/>
          <w:sz w:val="28"/>
          <w:szCs w:val="28"/>
          <w:lang w:val="zh-TW" w:eastAsia="zh-TW"/>
        </w:rPr>
      </w:pPr>
      <w:bookmarkStart w:id="481" w:name="_Toc1369473062_WPSOffice_Level2"/>
      <w:r>
        <w:rPr>
          <w:rFonts w:hint="default" w:ascii="Times New Roman" w:hAnsi="Times New Roman" w:eastAsia="仿宋_GB2312" w:cs="Times New Roman"/>
          <w:color w:val="auto"/>
          <w:sz w:val="28"/>
          <w:szCs w:val="28"/>
          <w:lang w:val="zh-TW"/>
        </w:rPr>
        <w:t>一、</w:t>
      </w:r>
      <w:r>
        <w:rPr>
          <w:rFonts w:hint="default" w:ascii="Times New Roman" w:hAnsi="Times New Roman" w:eastAsia="仿宋_GB2312" w:cs="Times New Roman"/>
          <w:color w:val="auto"/>
          <w:sz w:val="28"/>
          <w:szCs w:val="28"/>
          <w:lang w:val="zh-TW" w:eastAsia="zh-TW"/>
        </w:rPr>
        <w:t>投标函</w:t>
      </w:r>
      <w:bookmarkEnd w:id="481"/>
    </w:p>
    <w:p>
      <w:pPr>
        <w:pStyle w:val="183"/>
        <w:spacing w:line="360" w:lineRule="auto"/>
        <w:rPr>
          <w:rFonts w:hint="default" w:ascii="Times New Roman" w:hAnsi="Times New Roman" w:eastAsia="仿宋_GB2312" w:cs="Times New Roman"/>
          <w:color w:val="auto"/>
          <w:sz w:val="28"/>
          <w:szCs w:val="28"/>
          <w:lang w:val="zh-TW"/>
        </w:rPr>
      </w:pPr>
      <w:bookmarkStart w:id="482" w:name="_Toc463745896_WPSOffice_Level2"/>
      <w:r>
        <w:rPr>
          <w:rFonts w:hint="default" w:ascii="Times New Roman" w:hAnsi="Times New Roman" w:eastAsia="仿宋_GB2312" w:cs="Times New Roman"/>
          <w:color w:val="auto"/>
          <w:sz w:val="28"/>
          <w:szCs w:val="28"/>
          <w:lang w:val="zh-TW"/>
        </w:rPr>
        <w:t>二、</w:t>
      </w:r>
      <w:r>
        <w:rPr>
          <w:rFonts w:hint="default" w:ascii="Times New Roman" w:hAnsi="Times New Roman" w:eastAsia="仿宋_GB2312" w:cs="Times New Roman"/>
          <w:color w:val="auto"/>
          <w:sz w:val="28"/>
          <w:szCs w:val="28"/>
          <w:lang w:val="zh-TW" w:eastAsia="zh-TW"/>
        </w:rPr>
        <w:t>法定代表人身份证明书</w:t>
      </w:r>
      <w:bookmarkEnd w:id="482"/>
    </w:p>
    <w:p>
      <w:pPr>
        <w:pStyle w:val="183"/>
        <w:spacing w:line="360" w:lineRule="auto"/>
        <w:rPr>
          <w:rFonts w:hint="default" w:ascii="Times New Roman" w:hAnsi="Times New Roman" w:eastAsia="仿宋_GB2312" w:cs="Times New Roman"/>
          <w:color w:val="auto"/>
          <w:sz w:val="28"/>
          <w:szCs w:val="28"/>
          <w:lang w:val="zh-TW"/>
        </w:rPr>
      </w:pPr>
      <w:bookmarkStart w:id="483" w:name="_Toc1855119639_WPSOffice_Level2"/>
      <w:r>
        <w:rPr>
          <w:rFonts w:hint="default" w:ascii="Times New Roman" w:hAnsi="Times New Roman" w:eastAsia="仿宋_GB2312" w:cs="Times New Roman"/>
          <w:color w:val="auto"/>
          <w:sz w:val="28"/>
          <w:szCs w:val="28"/>
          <w:lang w:val="zh-TW"/>
        </w:rPr>
        <w:t>三、投标人关联单位的说明</w:t>
      </w:r>
      <w:bookmarkEnd w:id="483"/>
    </w:p>
    <w:p>
      <w:pPr>
        <w:pStyle w:val="183"/>
        <w:spacing w:line="360" w:lineRule="auto"/>
        <w:rPr>
          <w:rFonts w:hint="default" w:ascii="Times New Roman" w:hAnsi="Times New Roman" w:eastAsia="仿宋_GB2312" w:cs="Times New Roman"/>
          <w:color w:val="auto"/>
          <w:sz w:val="28"/>
          <w:szCs w:val="28"/>
          <w:lang w:val="zh-TW" w:eastAsia="zh-TW"/>
        </w:rPr>
      </w:pPr>
      <w:bookmarkStart w:id="484" w:name="_Toc1414587926_WPSOffice_Level2"/>
      <w:r>
        <w:rPr>
          <w:rFonts w:hint="default" w:ascii="Times New Roman" w:hAnsi="Times New Roman" w:eastAsia="仿宋_GB2312" w:cs="Times New Roman"/>
          <w:color w:val="auto"/>
          <w:sz w:val="28"/>
          <w:szCs w:val="28"/>
          <w:lang w:val="zh-TW"/>
        </w:rPr>
        <w:t>四、</w:t>
      </w:r>
      <w:r>
        <w:rPr>
          <w:rFonts w:hint="default" w:ascii="Times New Roman" w:hAnsi="Times New Roman" w:eastAsia="仿宋_GB2312" w:cs="Times New Roman"/>
          <w:color w:val="auto"/>
          <w:sz w:val="28"/>
          <w:szCs w:val="28"/>
          <w:lang w:val="zh-TW" w:eastAsia="zh-TW"/>
        </w:rPr>
        <w:t>投标报价表格</w:t>
      </w:r>
      <w:bookmarkEnd w:id="484"/>
    </w:p>
    <w:p>
      <w:pPr>
        <w:pStyle w:val="183"/>
        <w:spacing w:line="360" w:lineRule="auto"/>
        <w:rPr>
          <w:rFonts w:hint="default" w:ascii="Times New Roman" w:hAnsi="Times New Roman" w:eastAsia="仿宋_GB2312" w:cs="Times New Roman"/>
          <w:color w:val="auto"/>
          <w:sz w:val="28"/>
          <w:szCs w:val="28"/>
          <w:lang w:val="zh-TW"/>
        </w:rPr>
      </w:pPr>
      <w:bookmarkStart w:id="485" w:name="_Toc1052249849_WPSOffice_Level2"/>
      <w:r>
        <w:rPr>
          <w:rFonts w:hint="default" w:ascii="Times New Roman" w:hAnsi="Times New Roman" w:eastAsia="仿宋_GB2312" w:cs="Times New Roman"/>
          <w:color w:val="auto"/>
          <w:sz w:val="28"/>
          <w:szCs w:val="28"/>
          <w:lang w:val="zh-TW"/>
        </w:rPr>
        <w:t>五</w:t>
      </w:r>
      <w:bookmarkEnd w:id="485"/>
      <w:bookmarkStart w:id="486" w:name="_Toc1975960056_WPSOffice_Level2"/>
      <w:r>
        <w:rPr>
          <w:rFonts w:hint="default" w:ascii="Times New Roman" w:hAnsi="Times New Roman" w:eastAsia="仿宋_GB2312" w:cs="Times New Roman"/>
          <w:color w:val="auto"/>
          <w:sz w:val="28"/>
          <w:szCs w:val="28"/>
          <w:lang w:val="zh-TW"/>
        </w:rPr>
        <w:t>、综合证明文件</w:t>
      </w:r>
      <w:bookmarkEnd w:id="486"/>
    </w:p>
    <w:p>
      <w:pPr>
        <w:pStyle w:val="183"/>
        <w:spacing w:line="360" w:lineRule="auto"/>
        <w:rPr>
          <w:rFonts w:hint="default" w:ascii="Times New Roman" w:hAnsi="Times New Roman" w:eastAsia="仿宋_GB2312" w:cs="Times New Roman"/>
          <w:color w:val="auto"/>
          <w:sz w:val="28"/>
          <w:szCs w:val="28"/>
          <w:lang w:val="zh-TW"/>
        </w:rPr>
      </w:pPr>
      <w:bookmarkStart w:id="487" w:name="_Toc1775003324_WPSOffice_Level2"/>
      <w:r>
        <w:rPr>
          <w:rFonts w:hint="eastAsia" w:ascii="Times New Roman" w:hAnsi="Times New Roman" w:eastAsia="仿宋_GB2312" w:cs="Times New Roman"/>
          <w:color w:val="auto"/>
          <w:sz w:val="28"/>
          <w:szCs w:val="28"/>
          <w:lang w:val="zh-TW" w:eastAsia="zh-CN"/>
        </w:rPr>
        <w:t>六</w:t>
      </w:r>
      <w:r>
        <w:rPr>
          <w:rFonts w:hint="default" w:ascii="Times New Roman" w:hAnsi="Times New Roman" w:eastAsia="仿宋_GB2312" w:cs="Times New Roman"/>
          <w:color w:val="auto"/>
          <w:sz w:val="28"/>
          <w:szCs w:val="28"/>
          <w:lang w:val="zh-TW"/>
        </w:rPr>
        <w:t>、服务方案</w:t>
      </w:r>
      <w:bookmarkEnd w:id="487"/>
    </w:p>
    <w:p>
      <w:pPr>
        <w:pStyle w:val="183"/>
        <w:spacing w:line="360" w:lineRule="auto"/>
        <w:rPr>
          <w:rFonts w:hint="default" w:ascii="Times New Roman" w:hAnsi="Times New Roman" w:eastAsia="仿宋_GB2312" w:cs="Times New Roman"/>
          <w:color w:val="auto"/>
          <w:sz w:val="28"/>
          <w:szCs w:val="28"/>
          <w:lang w:val="zh-TW" w:eastAsia="zh-TW"/>
        </w:rPr>
      </w:pPr>
      <w:bookmarkStart w:id="488" w:name="_Toc1501347018_WPSOffice_Level2"/>
      <w:r>
        <w:rPr>
          <w:rFonts w:hint="eastAsia" w:ascii="Times New Roman" w:hAnsi="Times New Roman" w:eastAsia="仿宋_GB2312" w:cs="Times New Roman"/>
          <w:color w:val="auto"/>
          <w:sz w:val="28"/>
          <w:szCs w:val="28"/>
          <w:lang w:val="zh-TW" w:eastAsia="zh-CN"/>
        </w:rPr>
        <w:t>七</w:t>
      </w:r>
      <w:r>
        <w:rPr>
          <w:rFonts w:hint="default" w:ascii="Times New Roman" w:hAnsi="Times New Roman" w:eastAsia="仿宋_GB2312" w:cs="Times New Roman"/>
          <w:color w:val="auto"/>
          <w:sz w:val="28"/>
          <w:szCs w:val="28"/>
          <w:lang w:val="zh-TW"/>
        </w:rPr>
        <w:t>、其他文件</w:t>
      </w:r>
      <w:bookmarkEnd w:id="488"/>
    </w:p>
    <w:p>
      <w:pPr>
        <w:pStyle w:val="183"/>
        <w:spacing w:line="360" w:lineRule="auto"/>
        <w:rPr>
          <w:rFonts w:hint="default" w:ascii="Times New Roman" w:hAnsi="Times New Roman" w:eastAsia="仿宋_GB2312" w:cs="Times New Roman"/>
          <w:color w:val="auto"/>
          <w:sz w:val="28"/>
          <w:szCs w:val="28"/>
          <w:lang w:val="zh-TW" w:eastAsia="zh-TW"/>
        </w:rPr>
      </w:pPr>
    </w:p>
    <w:p>
      <w:pPr>
        <w:pStyle w:val="2"/>
        <w:spacing w:before="0" w:after="0" w:line="360" w:lineRule="auto"/>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rPr>
        <w:br w:type="page"/>
      </w:r>
      <w:bookmarkStart w:id="489" w:name="_Toc522876556"/>
      <w:bookmarkStart w:id="490" w:name="_Toc520566279"/>
      <w:bookmarkStart w:id="491" w:name="_Toc796765497"/>
      <w:bookmarkStart w:id="492" w:name="_Toc1418429380_WPSOffice_Level2"/>
      <w:bookmarkStart w:id="493" w:name="_Toc110196896"/>
      <w:bookmarkStart w:id="494" w:name="_Toc1032668283"/>
      <w:bookmarkStart w:id="495" w:name="_Toc1619011783"/>
      <w:bookmarkStart w:id="496" w:name="_Toc1004533822"/>
      <w:bookmarkStart w:id="497" w:name="_Toc653176911"/>
      <w:bookmarkStart w:id="498" w:name="_Toc131708317"/>
      <w:bookmarkStart w:id="499" w:name="_Toc343930138"/>
      <w:bookmarkStart w:id="500" w:name="_Toc1383476989"/>
      <w:r>
        <w:rPr>
          <w:rFonts w:hint="default" w:ascii="Times New Roman" w:hAnsi="Times New Roman" w:eastAsia="方正小标宋_GBK" w:cs="Times New Roman"/>
          <w:b w:val="0"/>
          <w:color w:val="auto"/>
          <w:sz w:val="30"/>
          <w:szCs w:val="30"/>
          <w:lang w:val="en-US" w:eastAsia="zh-CN"/>
        </w:rPr>
        <w:t>一、</w:t>
      </w:r>
      <w:r>
        <w:rPr>
          <w:rFonts w:hint="default" w:ascii="Times New Roman" w:hAnsi="Times New Roman" w:eastAsia="方正小标宋_GBK" w:cs="Times New Roman"/>
          <w:b w:val="0"/>
          <w:color w:val="auto"/>
          <w:sz w:val="30"/>
          <w:szCs w:val="30"/>
        </w:rPr>
        <w:t>投标函</w:t>
      </w:r>
      <w:bookmarkEnd w:id="489"/>
      <w:bookmarkEnd w:id="490"/>
      <w:bookmarkEnd w:id="491"/>
      <w:bookmarkEnd w:id="492"/>
      <w:bookmarkEnd w:id="493"/>
      <w:bookmarkEnd w:id="494"/>
      <w:bookmarkEnd w:id="495"/>
      <w:bookmarkEnd w:id="496"/>
      <w:bookmarkEnd w:id="497"/>
      <w:bookmarkEnd w:id="498"/>
      <w:bookmarkEnd w:id="499"/>
      <w:bookmarkEnd w:id="500"/>
    </w:p>
    <w:p>
      <w:pPr>
        <w:spacing w:line="360" w:lineRule="auto"/>
        <w:ind w:firstLine="480"/>
        <w:rPr>
          <w:rFonts w:hint="default" w:ascii="Times New Roman" w:hAnsi="Times New Roman" w:eastAsia="仿宋_GB2312" w:cs="Times New Roman"/>
          <w:color w:val="auto"/>
          <w:sz w:val="28"/>
          <w:szCs w:val="28"/>
        </w:rPr>
      </w:pPr>
    </w:p>
    <w:p>
      <w:pPr>
        <w:spacing w:line="360" w:lineRule="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致：</w:t>
      </w:r>
      <w:r>
        <w:rPr>
          <w:rFonts w:hint="default" w:ascii="Times New Roman" w:hAnsi="Times New Roman" w:eastAsia="仿宋_GB2312" w:cs="Times New Roman"/>
          <w:color w:val="auto"/>
          <w:sz w:val="28"/>
          <w:szCs w:val="28"/>
          <w:u w:val="single"/>
          <w:lang w:val="en-US"/>
        </w:rPr>
        <w:t xml:space="preserve"> </w:t>
      </w:r>
      <w:r>
        <w:rPr>
          <w:rFonts w:hint="default" w:ascii="Times New Roman" w:hAnsi="Times New Roman" w:eastAsia="仿宋_GB2312" w:cs="Times New Roman"/>
          <w:color w:val="auto"/>
          <w:sz w:val="28"/>
          <w:szCs w:val="28"/>
          <w:u w:val="single"/>
          <w:lang w:val="en" w:eastAsia="zh-CN"/>
        </w:rPr>
        <w:t>河南省荣康医院</w:t>
      </w:r>
      <w:r>
        <w:rPr>
          <w:rFonts w:hint="default" w:ascii="Times New Roman" w:hAnsi="Times New Roman" w:eastAsia="仿宋_GB2312" w:cs="Times New Roman"/>
          <w:color w:val="auto"/>
          <w:sz w:val="28"/>
          <w:szCs w:val="28"/>
          <w:u w:val="single"/>
        </w:rPr>
        <w:t xml:space="preserve"> </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我们收到了采购编号为</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 w:eastAsia="zh-CN"/>
        </w:rPr>
        <w:t>豫财招标采购-2023-161</w:t>
      </w:r>
      <w:r>
        <w:rPr>
          <w:rFonts w:hint="default" w:ascii="Times New Roman" w:hAnsi="Times New Roman" w:eastAsia="仿宋_GB2312" w:cs="Times New Roman"/>
          <w:color w:val="auto"/>
          <w:sz w:val="28"/>
          <w:szCs w:val="28"/>
          <w:u w:val="single"/>
          <w:lang w:val="en-US"/>
        </w:rPr>
        <w:t xml:space="preserve"> </w:t>
      </w:r>
      <w:r>
        <w:rPr>
          <w:rFonts w:hint="default" w:ascii="Times New Roman" w:hAnsi="Times New Roman" w:eastAsia="仿宋_GB2312" w:cs="Times New Roman"/>
          <w:color w:val="auto"/>
          <w:sz w:val="28"/>
          <w:szCs w:val="28"/>
        </w:rPr>
        <w:t>的</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 w:eastAsia="zh-CN"/>
        </w:rPr>
        <w:t>河南省荣康医院电子病历一体化项目</w:t>
      </w:r>
      <w:r>
        <w:rPr>
          <w:rFonts w:hint="default" w:ascii="Times New Roman" w:hAnsi="Times New Roman" w:eastAsia="仿宋_GB2312" w:cs="Times New Roman"/>
          <w:color w:val="auto"/>
          <w:sz w:val="28"/>
          <w:szCs w:val="28"/>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rPr>
        <w:t>:</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rPr>
        <w:t xml:space="preserve">(1) </w:t>
      </w:r>
      <w:r>
        <w:rPr>
          <w:rFonts w:hint="default" w:ascii="Times New Roman" w:hAnsi="Times New Roman" w:eastAsia="仿宋_GB2312" w:cs="Times New Roman"/>
          <w:color w:val="auto"/>
          <w:sz w:val="28"/>
          <w:szCs w:val="28"/>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rPr>
        <w:t xml:space="preserve">         </w:t>
      </w:r>
      <w:r>
        <w:rPr>
          <w:rFonts w:hint="default" w:ascii="Times New Roman" w:hAnsi="Times New Roman" w:eastAsia="仿宋_GB2312" w:cs="Times New Roman"/>
          <w:color w:val="auto"/>
          <w:sz w:val="28"/>
          <w:szCs w:val="28"/>
        </w:rPr>
        <w:t>元人民币</w:t>
      </w:r>
      <w:r>
        <w:rPr>
          <w:rFonts w:hint="default" w:ascii="Times New Roman" w:hAnsi="Times New Roman" w:eastAsia="仿宋_GB2312" w:cs="Times New Roman"/>
          <w:color w:val="auto"/>
          <w:sz w:val="28"/>
          <w:szCs w:val="28"/>
          <w:lang w:eastAsia="zh-CN"/>
        </w:rPr>
        <w:t>，（小写）</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u w:val="single"/>
          <w:lang w:val="en-US"/>
        </w:rPr>
        <w:t xml:space="preserve">         </w:t>
      </w:r>
      <w:r>
        <w:rPr>
          <w:rFonts w:hint="default" w:ascii="Times New Roman" w:hAnsi="Times New Roman" w:eastAsia="仿宋_GB2312" w:cs="Times New Roman"/>
          <w:color w:val="auto"/>
          <w:sz w:val="28"/>
          <w:szCs w:val="28"/>
        </w:rPr>
        <w:t>元），投标有效期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60</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天。</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rPr>
        <w:t>(2)</w:t>
      </w:r>
      <w:r>
        <w:rPr>
          <w:rFonts w:hint="default" w:ascii="Times New Roman" w:hAnsi="Times New Roman" w:eastAsia="仿宋_GB2312" w:cs="Times New Roman"/>
          <w:color w:val="auto"/>
          <w:sz w:val="28"/>
          <w:szCs w:val="28"/>
        </w:rPr>
        <w:t>如果我们的投标文件被接受，我们将履行招标文件中规定的各项要求。</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rPr>
        <w:t>(3)</w:t>
      </w:r>
      <w:r>
        <w:rPr>
          <w:rFonts w:hint="default" w:ascii="Times New Roman" w:hAnsi="Times New Roman" w:eastAsia="仿宋_GB2312" w:cs="Times New Roman"/>
          <w:color w:val="auto"/>
          <w:sz w:val="28"/>
          <w:szCs w:val="28"/>
        </w:rPr>
        <w:t>我们同意本招标文件中有关投标有效期的规定。如果中标，有效期延长至合同终止日止。</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rPr>
        <w:t>(4)</w:t>
      </w:r>
      <w:r>
        <w:rPr>
          <w:rFonts w:hint="default" w:ascii="Times New Roman" w:hAnsi="Times New Roman" w:eastAsia="仿宋_GB2312" w:cs="Times New Roman"/>
          <w:color w:val="auto"/>
          <w:sz w:val="28"/>
          <w:szCs w:val="28"/>
        </w:rPr>
        <w:t>我们愿提供招标文件中要求的所有文件资料。</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rPr>
        <w:t>(5)</w:t>
      </w:r>
      <w:r>
        <w:rPr>
          <w:rFonts w:hint="default" w:ascii="Times New Roman" w:hAnsi="Times New Roman" w:eastAsia="仿宋_GB2312" w:cs="Times New Roman"/>
          <w:color w:val="auto"/>
          <w:sz w:val="28"/>
          <w:szCs w:val="28"/>
        </w:rPr>
        <w:t>我们已经详细审核了全部采购文件，如有需要澄清的问题，我们同意按采购文件规定的时间向采购人提出。逾期不提，我公司同意放弃对这方面有不明及误解的权利。</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rPr>
        <w:t>(6)</w:t>
      </w:r>
      <w:r>
        <w:rPr>
          <w:rFonts w:hint="default" w:ascii="Times New Roman" w:hAnsi="Times New Roman" w:eastAsia="仿宋_GB2312" w:cs="Times New Roman"/>
          <w:color w:val="auto"/>
          <w:sz w:val="28"/>
          <w:szCs w:val="28"/>
        </w:rPr>
        <w:t>我们承诺，与采购人聘请的为此项目提供咨询服务及任何附属机构均无关联，非采购人的附属机构。</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rPr>
        <w:t>(7)</w:t>
      </w:r>
      <w:r>
        <w:rPr>
          <w:rFonts w:hint="default" w:ascii="Times New Roman" w:hAnsi="Times New Roman" w:eastAsia="仿宋_GB2312" w:cs="Times New Roman"/>
          <w:color w:val="auto"/>
          <w:sz w:val="28"/>
          <w:szCs w:val="28"/>
        </w:rPr>
        <w:t>我公司同意提供按照采购人可能要求的与其投标有关的一切数据或资料，完全理解采购人不一定接受最低价的投标或收到的任何投标。</w:t>
      </w:r>
    </w:p>
    <w:p>
      <w:pPr>
        <w:spacing w:line="360" w:lineRule="auto"/>
        <w:ind w:firstLine="480"/>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(8)</w:t>
      </w:r>
      <w:r>
        <w:rPr>
          <w:rFonts w:hint="default" w:ascii="Times New Roman" w:hAnsi="Times New Roman" w:eastAsia="仿宋_GB2312" w:cs="Times New Roman"/>
          <w:sz w:val="28"/>
          <w:szCs w:val="28"/>
        </w:rPr>
        <w:t>如果我们的投标文件被接受，我们将按招标文件的规定签订并严格履行合同中的责任和义务。</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rPr>
        <w:t>(</w:t>
      </w:r>
      <w:r>
        <w:rPr>
          <w:rFonts w:hint="default" w:ascii="Times New Roman" w:hAnsi="Times New Roman" w:eastAsia="仿宋_GB2312" w:cs="Times New Roman"/>
          <w:color w:val="auto"/>
          <w:sz w:val="28"/>
          <w:szCs w:val="28"/>
          <w:lang w:val="en"/>
        </w:rPr>
        <w:t>9</w:t>
      </w:r>
      <w:r>
        <w:rPr>
          <w:rFonts w:hint="default" w:ascii="Times New Roman" w:hAnsi="Times New Roman" w:eastAsia="仿宋_GB2312" w:cs="Times New Roman"/>
          <w:color w:val="auto"/>
          <w:sz w:val="28"/>
          <w:szCs w:val="28"/>
          <w:lang w:val="en-US"/>
        </w:rPr>
        <w:t>)</w:t>
      </w:r>
      <w:r>
        <w:rPr>
          <w:rFonts w:hint="default" w:ascii="Times New Roman" w:hAnsi="Times New Roman" w:eastAsia="仿宋_GB2312" w:cs="Times New Roman"/>
          <w:color w:val="auto"/>
          <w:sz w:val="28"/>
          <w:szCs w:val="28"/>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rPr>
        <w:t>(</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val="en-US"/>
        </w:rPr>
        <w:t>)</w:t>
      </w:r>
      <w:r>
        <w:rPr>
          <w:rFonts w:hint="default" w:ascii="Times New Roman" w:hAnsi="Times New Roman" w:eastAsia="仿宋_GB2312" w:cs="Times New Roman"/>
          <w:sz w:val="28"/>
          <w:szCs w:val="28"/>
        </w:rPr>
        <w:t>我公司独立参加投标，未组成联合体参加投标。</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rPr>
        <w:t>)</w:t>
      </w:r>
      <w:r>
        <w:rPr>
          <w:rFonts w:hint="default" w:ascii="Times New Roman" w:hAnsi="Times New Roman" w:eastAsia="仿宋_GB2312" w:cs="Times New Roman"/>
          <w:color w:val="auto"/>
          <w:sz w:val="28"/>
          <w:szCs w:val="28"/>
        </w:rPr>
        <w:t>除不可抗力外，我公司如果发生以下行为，将在行为发生的10个工作日内，向贵方支付本招标文件公布的最高限价的2%作为违约赔偿金。</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在招标文件规定的投标有效期内实质上修改或撤回投标；</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中标后不依法与采购人签订合同；</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在投标文件中提供虚假材料。</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rPr>
        <w:t>)</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（其他补充说明）。</w:t>
      </w:r>
    </w:p>
    <w:p>
      <w:pPr>
        <w:spacing w:line="360" w:lineRule="auto"/>
        <w:ind w:firstLine="560"/>
        <w:rPr>
          <w:rFonts w:hint="default" w:ascii="Times New Roman" w:hAnsi="Times New Roman" w:eastAsia="仿宋_GB2312" w:cs="Times New Roman"/>
          <w:color w:val="auto"/>
          <w:sz w:val="28"/>
          <w:szCs w:val="28"/>
        </w:rPr>
      </w:pP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与本投标有关的正式通讯地址：</w:t>
      </w: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  址：                             邮  编：</w:t>
      </w:r>
    </w:p>
    <w:p>
      <w:pPr>
        <w:spacing w:line="360" w:lineRule="auto"/>
        <w:ind w:firstLine="46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电  话：                             传  真：</w:t>
      </w:r>
    </w:p>
    <w:p>
      <w:pPr>
        <w:spacing w:line="360" w:lineRule="auto"/>
        <w:ind w:firstLine="465"/>
        <w:rPr>
          <w:rFonts w:hint="default" w:ascii="Times New Roman" w:hAnsi="Times New Roman" w:eastAsia="仿宋_GB2312" w:cs="Times New Roman"/>
          <w:color w:val="auto"/>
          <w:sz w:val="28"/>
          <w:szCs w:val="28"/>
        </w:rPr>
      </w:pPr>
    </w:p>
    <w:p>
      <w:pPr>
        <w:spacing w:line="360" w:lineRule="auto"/>
        <w:ind w:firstLine="465"/>
        <w:rPr>
          <w:rFonts w:hint="default" w:ascii="Times New Roman" w:hAnsi="Times New Roman" w:eastAsia="仿宋_GB2312" w:cs="Times New Roman"/>
          <w:color w:val="auto"/>
          <w:sz w:val="28"/>
          <w:szCs w:val="28"/>
        </w:rPr>
      </w:pPr>
    </w:p>
    <w:p>
      <w:pPr>
        <w:spacing w:line="480" w:lineRule="auto"/>
        <w:ind w:firstLine="46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投标人（企业电子签章）：</w:t>
      </w:r>
    </w:p>
    <w:p>
      <w:pPr>
        <w:spacing w:line="400" w:lineRule="exact"/>
        <w:ind w:firstLine="465"/>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法定代表人（个人电子签章）：       </w:t>
      </w:r>
    </w:p>
    <w:p>
      <w:pPr>
        <w:pStyle w:val="217"/>
        <w:rPr>
          <w:rFonts w:hint="default" w:ascii="Times New Roman" w:hAnsi="Times New Roman" w:cs="Times New Roman"/>
        </w:rPr>
      </w:pPr>
    </w:p>
    <w:p>
      <w:pPr>
        <w:pStyle w:val="217"/>
        <w:rPr>
          <w:rFonts w:hint="default" w:ascii="Times New Roman" w:hAnsi="Times New Roman" w:cs="Times New Roman"/>
        </w:rPr>
      </w:pPr>
    </w:p>
    <w:p>
      <w:pPr>
        <w:spacing w:line="400" w:lineRule="exact"/>
        <w:ind w:firstLine="465"/>
        <w:jc w:val="righ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日期：    年  月  日</w:t>
      </w:r>
    </w:p>
    <w:p>
      <w:pPr>
        <w:pStyle w:val="2"/>
        <w:spacing w:before="0" w:after="0" w:line="360" w:lineRule="auto"/>
        <w:jc w:val="center"/>
        <w:rPr>
          <w:rFonts w:hint="default" w:ascii="Times New Roman" w:hAnsi="Times New Roman" w:eastAsia="方正小标宋_GBK" w:cs="Times New Roman"/>
          <w:b w:val="0"/>
          <w:color w:val="auto"/>
          <w:sz w:val="30"/>
          <w:szCs w:val="30"/>
          <w:lang w:val="en-US" w:eastAsia="zh-CN"/>
        </w:rPr>
      </w:pPr>
      <w:bookmarkStart w:id="501" w:name="_Toc2582321"/>
      <w:bookmarkStart w:id="502" w:name="_Toc532473507"/>
      <w:bookmarkStart w:id="503" w:name="_Toc74240237"/>
      <w:bookmarkStart w:id="504" w:name="_Toc1881"/>
      <w:bookmarkStart w:id="505" w:name="_Toc515647818"/>
      <w:bookmarkStart w:id="506" w:name="_Toc20897"/>
      <w:r>
        <w:rPr>
          <w:rFonts w:hint="default" w:ascii="Times New Roman" w:hAnsi="Times New Roman" w:eastAsia="黑体" w:cs="Times New Roman"/>
          <w:color w:val="auto"/>
          <w:sz w:val="28"/>
          <w:szCs w:val="28"/>
          <w:highlight w:val="green"/>
          <w:lang w:val="en-US" w:eastAsia="zh-CN"/>
        </w:rPr>
        <w:br w:type="page"/>
      </w:r>
      <w:bookmarkStart w:id="507" w:name="_Toc942115178"/>
      <w:bookmarkStart w:id="508" w:name="_Toc1194597873"/>
      <w:bookmarkStart w:id="509" w:name="_Toc953796897"/>
      <w:bookmarkStart w:id="510" w:name="_Toc1320028818_WPSOffice_Level2"/>
      <w:bookmarkStart w:id="511" w:name="_Toc1472753336"/>
      <w:bookmarkStart w:id="512" w:name="_Toc1552610899"/>
      <w:bookmarkStart w:id="513" w:name="_Toc1454903178"/>
      <w:bookmarkStart w:id="514" w:name="_Toc1601753856"/>
      <w:r>
        <w:rPr>
          <w:rFonts w:hint="default" w:ascii="Times New Roman" w:hAnsi="Times New Roman" w:eastAsia="方正小标宋_GBK" w:cs="Times New Roman"/>
          <w:b w:val="0"/>
          <w:color w:val="auto"/>
          <w:sz w:val="30"/>
          <w:szCs w:val="30"/>
          <w:lang w:val="en-US" w:eastAsia="zh-CN"/>
        </w:rPr>
        <w:t>二、</w:t>
      </w:r>
      <w:r>
        <w:rPr>
          <w:rFonts w:hint="default" w:ascii="Times New Roman" w:hAnsi="Times New Roman" w:eastAsia="方正小标宋_GBK" w:cs="Times New Roman"/>
          <w:b w:val="0"/>
          <w:color w:val="auto"/>
          <w:sz w:val="30"/>
          <w:szCs w:val="30"/>
        </w:rPr>
        <w:t>法定代表人身份证明书</w:t>
      </w:r>
      <w:bookmarkEnd w:id="507"/>
      <w:bookmarkEnd w:id="508"/>
      <w:bookmarkEnd w:id="509"/>
      <w:bookmarkEnd w:id="510"/>
      <w:bookmarkEnd w:id="511"/>
      <w:bookmarkEnd w:id="512"/>
      <w:bookmarkEnd w:id="513"/>
      <w:bookmarkEnd w:id="514"/>
    </w:p>
    <w:p>
      <w:pPr>
        <w:spacing w:line="360" w:lineRule="auto"/>
        <w:rPr>
          <w:rFonts w:hint="default" w:ascii="Times New Roman" w:hAnsi="Times New Roman" w:eastAsia="宋体" w:cs="Times New Roman"/>
          <w:color w:val="auto"/>
          <w:sz w:val="28"/>
          <w:szCs w:val="28"/>
          <w:lang w:val="en-US"/>
        </w:rPr>
      </w:pPr>
    </w:p>
    <w:p>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
        </w:rPr>
        <w:t xml:space="preserve"> </w:t>
      </w:r>
      <w:r>
        <w:rPr>
          <w:rFonts w:hint="default" w:ascii="Times New Roman" w:hAnsi="Times New Roman" w:eastAsia="仿宋_GB2312" w:cs="Times New Roman"/>
          <w:color w:val="auto"/>
          <w:sz w:val="28"/>
          <w:szCs w:val="28"/>
          <w:u w:val="single"/>
          <w:lang w:val="en" w:eastAsia="zh-CN"/>
        </w:rPr>
        <w:t>河南省荣康医院</w:t>
      </w:r>
      <w:r>
        <w:rPr>
          <w:rFonts w:hint="default" w:ascii="Times New Roman" w:hAnsi="Times New Roman" w:eastAsia="仿宋_GB2312" w:cs="Times New Roman"/>
          <w:color w:val="auto"/>
          <w:sz w:val="28"/>
          <w:szCs w:val="28"/>
          <w:u w:val="single"/>
          <w:lang w:val="en"/>
        </w:rPr>
        <w:t xml:space="preserve"> </w:t>
      </w:r>
    </w:p>
    <w:p>
      <w:pPr>
        <w:spacing w:line="360" w:lineRule="auto"/>
        <w:ind w:firstLine="6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single"/>
          <w:lang w:val="en-US"/>
        </w:rPr>
        <w:t xml:space="preserve">       </w:t>
      </w:r>
      <w:r>
        <w:rPr>
          <w:rFonts w:hint="default" w:ascii="Times New Roman" w:hAnsi="Times New Roman" w:eastAsia="仿宋_GB2312" w:cs="Times New Roman"/>
          <w:color w:val="auto"/>
          <w:sz w:val="28"/>
          <w:szCs w:val="28"/>
        </w:rPr>
        <w:t>（姓名、性别、年龄、身份证号码）在我单位任</w:t>
      </w:r>
      <w:r>
        <w:rPr>
          <w:rFonts w:hint="default" w:ascii="Times New Roman" w:hAnsi="Times New Roman" w:eastAsia="仿宋_GB2312" w:cs="Times New Roman"/>
          <w:color w:val="auto"/>
          <w:sz w:val="28"/>
          <w:szCs w:val="28"/>
          <w:u w:val="single"/>
          <w:lang w:val="en-US"/>
        </w:rPr>
        <w:t xml:space="preserve">       </w:t>
      </w:r>
      <w:r>
        <w:rPr>
          <w:rFonts w:hint="default" w:ascii="Times New Roman" w:hAnsi="Times New Roman" w:eastAsia="仿宋_GB2312" w:cs="Times New Roman"/>
          <w:color w:val="auto"/>
          <w:sz w:val="28"/>
          <w:szCs w:val="28"/>
        </w:rPr>
        <w:t>（董事长、总经理等）职务，是我单位的法定代表人。</w:t>
      </w:r>
    </w:p>
    <w:p>
      <w:pPr>
        <w:spacing w:line="360" w:lineRule="auto"/>
        <w:ind w:firstLine="480"/>
        <w:rPr>
          <w:rFonts w:hint="default" w:ascii="Times New Roman" w:hAnsi="Times New Roman" w:eastAsia="仿宋_GB2312" w:cs="Times New Roman"/>
          <w:color w:val="auto"/>
          <w:sz w:val="28"/>
          <w:szCs w:val="28"/>
          <w:lang w:val="en-US"/>
        </w:rPr>
      </w:pPr>
    </w:p>
    <w:p>
      <w:pPr>
        <w:spacing w:line="360" w:lineRule="auto"/>
        <w:ind w:firstLine="480"/>
        <w:rPr>
          <w:rFonts w:hint="default" w:ascii="Times New Roman" w:hAnsi="Times New Roman" w:eastAsia="仿宋_GB2312" w:cs="Times New Roman"/>
          <w:color w:val="auto"/>
          <w:sz w:val="28"/>
          <w:szCs w:val="28"/>
          <w:lang w:val="en-US"/>
        </w:rPr>
      </w:pP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特此证明。</w:t>
      </w:r>
    </w:p>
    <w:p>
      <w:pPr>
        <w:spacing w:line="360" w:lineRule="auto"/>
        <w:ind w:firstLine="480"/>
        <w:rPr>
          <w:rFonts w:hint="default" w:ascii="Times New Roman" w:hAnsi="Times New Roman" w:eastAsia="仿宋_GB2312" w:cs="Times New Roman"/>
          <w:color w:val="auto"/>
          <w:sz w:val="28"/>
          <w:szCs w:val="28"/>
          <w:lang w:val="en-US"/>
        </w:rPr>
      </w:pPr>
    </w:p>
    <w:p>
      <w:pPr>
        <w:spacing w:line="360" w:lineRule="auto"/>
        <w:ind w:firstLine="480"/>
        <w:rPr>
          <w:rFonts w:hint="default" w:ascii="Times New Roman" w:hAnsi="Times New Roman" w:eastAsia="仿宋_GB2312" w:cs="Times New Roman"/>
          <w:color w:val="auto"/>
          <w:sz w:val="28"/>
          <w:szCs w:val="28"/>
          <w:lang w:val="en-US"/>
        </w:rPr>
      </w:pPr>
    </w:p>
    <w:p>
      <w:pPr>
        <w:pStyle w:val="183"/>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eastAsia="zh-TW"/>
        </w:rPr>
        <w:t>投标人（企业电子签章）：</w:t>
      </w:r>
      <w:r>
        <w:rPr>
          <w:rFonts w:hint="default" w:ascii="Times New Roman" w:hAnsi="Times New Roman" w:eastAsia="仿宋_GB2312" w:cs="Times New Roman"/>
          <w:color w:val="auto"/>
          <w:sz w:val="28"/>
          <w:szCs w:val="28"/>
          <w:u w:val="single"/>
        </w:rPr>
        <w:t xml:space="preserve">                             </w:t>
      </w:r>
    </w:p>
    <w:p>
      <w:pPr>
        <w:pStyle w:val="183"/>
        <w:tabs>
          <w:tab w:val="left" w:pos="5580"/>
        </w:tabs>
        <w:spacing w:line="360" w:lineRule="auto"/>
        <w:ind w:left="269" w:firstLine="1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eastAsia="zh-TW"/>
        </w:rPr>
        <w:t>详细通讯地址：</w:t>
      </w:r>
      <w:r>
        <w:rPr>
          <w:rFonts w:hint="default" w:ascii="Times New Roman" w:hAnsi="Times New Roman" w:eastAsia="仿宋_GB2312" w:cs="Times New Roman"/>
          <w:color w:val="auto"/>
          <w:sz w:val="28"/>
          <w:szCs w:val="28"/>
          <w:u w:val="single"/>
        </w:rPr>
        <w:t xml:space="preserve">                                </w:t>
      </w:r>
    </w:p>
    <w:p>
      <w:pPr>
        <w:pStyle w:val="183"/>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eastAsia="zh-TW"/>
        </w:rPr>
        <w:t>邮 政 编 码 ：</w:t>
      </w:r>
      <w:r>
        <w:rPr>
          <w:rFonts w:hint="default" w:ascii="Times New Roman" w:hAnsi="Times New Roman" w:eastAsia="仿宋_GB2312" w:cs="Times New Roman"/>
          <w:color w:val="auto"/>
          <w:sz w:val="28"/>
          <w:szCs w:val="28"/>
          <w:u w:val="single"/>
        </w:rPr>
        <w:t xml:space="preserve">                                </w:t>
      </w:r>
    </w:p>
    <w:p>
      <w:pPr>
        <w:pStyle w:val="183"/>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eastAsia="zh-TW"/>
        </w:rPr>
        <w:t>传　　　　真：</w:t>
      </w:r>
      <w:r>
        <w:rPr>
          <w:rFonts w:hint="default" w:ascii="Times New Roman" w:hAnsi="Times New Roman" w:eastAsia="仿宋_GB2312" w:cs="Times New Roman"/>
          <w:color w:val="auto"/>
          <w:sz w:val="28"/>
          <w:szCs w:val="28"/>
          <w:u w:val="single"/>
        </w:rPr>
        <w:t xml:space="preserve">                                </w:t>
      </w:r>
    </w:p>
    <w:p>
      <w:pPr>
        <w:pStyle w:val="183"/>
        <w:tabs>
          <w:tab w:val="left" w:pos="5580"/>
        </w:tabs>
        <w:spacing w:line="360" w:lineRule="auto"/>
        <w:ind w:firstLine="360"/>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lang w:val="zh-TW" w:eastAsia="zh-TW"/>
        </w:rPr>
        <w:t>电　　　　话：</w:t>
      </w:r>
      <w:r>
        <w:rPr>
          <w:rFonts w:hint="default" w:ascii="Times New Roman" w:hAnsi="Times New Roman" w:eastAsia="仿宋_GB2312" w:cs="Times New Roman"/>
          <w:color w:val="auto"/>
          <w:sz w:val="28"/>
          <w:szCs w:val="28"/>
          <w:u w:val="single"/>
        </w:rPr>
        <w:t xml:space="preserve">                                </w:t>
      </w:r>
    </w:p>
    <w:p>
      <w:pPr>
        <w:pStyle w:val="183"/>
        <w:tabs>
          <w:tab w:val="left" w:pos="5580"/>
        </w:tabs>
        <w:spacing w:line="360" w:lineRule="auto"/>
        <w:ind w:firstLine="360"/>
        <w:rPr>
          <w:rFonts w:hint="default" w:ascii="Times New Roman" w:hAnsi="Times New Roman" w:eastAsia="仿宋_GB2312" w:cs="Times New Roman"/>
          <w:color w:val="auto"/>
          <w:sz w:val="28"/>
          <w:szCs w:val="28"/>
          <w:u w:val="single"/>
        </w:rPr>
      </w:pPr>
    </w:p>
    <w:tbl>
      <w:tblPr>
        <w:tblStyle w:val="51"/>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法定代表人身份证（国徽面）</w:t>
            </w:r>
          </w:p>
        </w:tc>
      </w:tr>
    </w:tbl>
    <w:p>
      <w:pPr>
        <w:spacing w:line="360" w:lineRule="auto"/>
        <w:ind w:firstLine="480"/>
        <w:rPr>
          <w:rFonts w:hint="default" w:ascii="Times New Roman" w:hAnsi="Times New Roman" w:eastAsia="仿宋_GB2312" w:cs="Times New Roman"/>
          <w:color w:val="auto"/>
          <w:sz w:val="28"/>
          <w:szCs w:val="28"/>
          <w:lang w:val="en-US"/>
        </w:rPr>
      </w:pPr>
    </w:p>
    <w:p>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注：自然人投标的无需提供。</w:t>
      </w:r>
    </w:p>
    <w:p>
      <w:pPr>
        <w:rPr>
          <w:rFonts w:hint="default" w:ascii="Times New Roman" w:hAnsi="Times New Roman" w:cs="Times New Roman"/>
        </w:rPr>
      </w:pPr>
    </w:p>
    <w:p>
      <w:pPr>
        <w:pStyle w:val="14"/>
        <w:rPr>
          <w:rFonts w:hint="default" w:ascii="Times New Roman" w:hAnsi="Times New Roman" w:cs="Times New Roman"/>
          <w:color w:val="000000"/>
        </w:rPr>
      </w:pPr>
    </w:p>
    <w:p>
      <w:pPr>
        <w:pStyle w:val="14"/>
        <w:rPr>
          <w:rFonts w:hint="default" w:ascii="Times New Roman" w:hAnsi="Times New Roman" w:cs="Times New Roman"/>
          <w:color w:val="000000"/>
        </w:rPr>
      </w:pPr>
    </w:p>
    <w:p>
      <w:pPr>
        <w:pStyle w:val="39"/>
        <w:ind w:left="840" w:hanging="420"/>
        <w:rPr>
          <w:rFonts w:hint="default" w:ascii="Times New Roman" w:hAnsi="Times New Roman" w:cs="Times New Roman"/>
        </w:rPr>
        <w:sectPr>
          <w:headerReference r:id="rId4" w:type="default"/>
          <w:pgSz w:w="11906" w:h="16838"/>
          <w:pgMar w:top="1440" w:right="1797" w:bottom="1440" w:left="1797" w:header="851" w:footer="992" w:gutter="0"/>
          <w:cols w:space="720" w:num="1"/>
          <w:docGrid w:linePitch="312" w:charSpace="0"/>
        </w:sect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515" w:name="_Toc1562600580"/>
      <w:bookmarkStart w:id="516" w:name="_Toc78562412"/>
      <w:bookmarkStart w:id="517" w:name="_Toc237482121"/>
      <w:bookmarkStart w:id="518" w:name="_Toc1133662823"/>
      <w:bookmarkStart w:id="519" w:name="_Toc1081326330"/>
      <w:bookmarkStart w:id="520" w:name="_Toc1306770718"/>
      <w:bookmarkStart w:id="521" w:name="_Toc8905096_WPSOffice_Level2"/>
      <w:bookmarkStart w:id="522" w:name="_Toc1888555944"/>
      <w:bookmarkStart w:id="523" w:name="_Toc1929226479"/>
      <w:bookmarkStart w:id="524" w:name="_Toc807820015"/>
      <w:bookmarkStart w:id="525" w:name="_Toc1726056647"/>
      <w:bookmarkStart w:id="526" w:name="_Toc1179847034"/>
      <w:bookmarkStart w:id="527" w:name="_Toc881536663"/>
      <w:bookmarkStart w:id="528" w:name="_Toc1046173163"/>
      <w:bookmarkStart w:id="529" w:name="_Toc1255393211"/>
      <w:bookmarkStart w:id="530" w:name="_Toc95209368"/>
      <w:bookmarkStart w:id="531" w:name="_Toc860628901"/>
      <w:bookmarkStart w:id="532" w:name="_Toc320103337"/>
      <w:r>
        <w:rPr>
          <w:rFonts w:hint="default" w:ascii="Times New Roman" w:hAnsi="Times New Roman" w:eastAsia="方正小标宋_GBK" w:cs="Times New Roman"/>
          <w:bCs/>
          <w:color w:val="auto"/>
          <w:kern w:val="0"/>
          <w:sz w:val="30"/>
          <w:szCs w:val="30"/>
          <w:lang w:eastAsia="zh-CN"/>
        </w:rPr>
        <w:t>三</w:t>
      </w:r>
      <w:r>
        <w:rPr>
          <w:rFonts w:hint="default" w:ascii="Times New Roman" w:hAnsi="Times New Roman" w:eastAsia="方正小标宋_GBK" w:cs="Times New Roman"/>
          <w:bCs/>
          <w:color w:val="auto"/>
          <w:kern w:val="0"/>
          <w:sz w:val="30"/>
          <w:szCs w:val="30"/>
          <w:lang w:val="en-US" w:eastAsia="zh-CN"/>
        </w:rPr>
        <w:t>、</w:t>
      </w:r>
      <w:r>
        <w:rPr>
          <w:rFonts w:hint="default" w:ascii="Times New Roman" w:hAnsi="Times New Roman" w:eastAsia="方正小标宋_GBK" w:cs="Times New Roman"/>
          <w:bCs/>
          <w:color w:val="auto"/>
          <w:kern w:val="0"/>
          <w:sz w:val="30"/>
          <w:szCs w:val="30"/>
        </w:rPr>
        <w:t>投标人关联单位的说明</w:t>
      </w:r>
      <w:bookmarkEnd w:id="515"/>
      <w:bookmarkEnd w:id="516"/>
      <w:bookmarkEnd w:id="517"/>
      <w:bookmarkEnd w:id="518"/>
      <w:bookmarkEnd w:id="519"/>
      <w:bookmarkEnd w:id="520"/>
      <w:bookmarkEnd w:id="521"/>
      <w:bookmarkEnd w:id="522"/>
      <w:bookmarkEnd w:id="523"/>
      <w:bookmarkEnd w:id="524"/>
      <w:bookmarkEnd w:id="525"/>
      <w:bookmarkEnd w:id="526"/>
    </w:p>
    <w:p>
      <w:pPr>
        <w:spacing w:before="100" w:after="100" w:line="360" w:lineRule="auto"/>
        <w:ind w:firstLine="420"/>
        <w:jc w:val="left"/>
        <w:rPr>
          <w:rFonts w:hint="default" w:ascii="Times New Roman" w:hAnsi="Times New Roman" w:eastAsia="仿宋_GB2312" w:cs="Times New Roman"/>
          <w:color w:val="auto"/>
          <w:kern w:val="0"/>
          <w:sz w:val="28"/>
          <w:szCs w:val="28"/>
        </w:rPr>
      </w:pPr>
    </w:p>
    <w:p>
      <w:pPr>
        <w:spacing w:line="360" w:lineRule="auto"/>
        <w:ind w:firstLine="480"/>
        <w:jc w:val="left"/>
        <w:rPr>
          <w:rFonts w:hint="default" w:ascii="Times New Roman" w:hAnsi="Times New Roman" w:eastAsia="仿宋_GB2312" w:cs="Times New Roman"/>
          <w:color w:val="auto"/>
          <w:sz w:val="28"/>
          <w:szCs w:val="28"/>
          <w:lang w:val="en-US" w:eastAsia="zh-CN"/>
        </w:rPr>
      </w:pPr>
      <w:bookmarkStart w:id="533" w:name="_Toc1756840888_WPSOffice_Level3"/>
      <w:r>
        <w:rPr>
          <w:rFonts w:hint="default" w:ascii="Times New Roman" w:hAnsi="Times New Roman" w:eastAsia="仿宋_GB2312" w:cs="Times New Roman"/>
          <w:color w:val="auto"/>
          <w:sz w:val="30"/>
          <w:szCs w:val="30"/>
          <w:lang w:val="en-US" w:eastAsia="zh-CN"/>
        </w:rPr>
        <w:t>我单位作为本次采购项目的投标人，根据招标文件要求，现郑重承诺如下：</w:t>
      </w:r>
      <w:bookmarkEnd w:id="533"/>
    </w:p>
    <w:p>
      <w:pPr>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我单位参加本次招标采购活动，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（填写“存在”或“不存在”）与单位负责人为同一人或者存在直接控股、管理关系的其他投标人参与同一合同项下的投标活动行为。</w:t>
      </w:r>
    </w:p>
    <w:p>
      <w:pPr>
        <w:pStyle w:val="215"/>
        <w:rPr>
          <w:rFonts w:hint="default" w:ascii="Times New Roman" w:hAnsi="Times New Roman" w:cs="Times New Roman"/>
        </w:rPr>
      </w:pPr>
    </w:p>
    <w:p>
      <w:pPr>
        <w:pStyle w:val="215"/>
        <w:rPr>
          <w:rFonts w:hint="default" w:ascii="Times New Roman" w:hAnsi="Times New Roman" w:cs="Times New Roman"/>
        </w:rPr>
      </w:pPr>
    </w:p>
    <w:p>
      <w:pPr>
        <w:pStyle w:val="215"/>
        <w:rPr>
          <w:rFonts w:hint="default" w:ascii="Times New Roman" w:hAnsi="Times New Roman" w:cs="Times New Roman"/>
        </w:rPr>
      </w:pPr>
    </w:p>
    <w:p>
      <w:pPr>
        <w:pStyle w:val="215"/>
        <w:rPr>
          <w:rFonts w:hint="default" w:ascii="Times New Roman" w:hAnsi="Times New Roman" w:cs="Times New Roman"/>
        </w:rPr>
      </w:pPr>
    </w:p>
    <w:p>
      <w:pPr>
        <w:pStyle w:val="215"/>
        <w:rPr>
          <w:rFonts w:hint="default" w:ascii="Times New Roman" w:hAnsi="Times New Roman" w:cs="Times New Roman"/>
        </w:rPr>
      </w:pPr>
    </w:p>
    <w:p>
      <w:pPr>
        <w:spacing w:before="100" w:after="100" w:line="360" w:lineRule="auto"/>
        <w:jc w:val="left"/>
        <w:rPr>
          <w:rFonts w:hint="default" w:ascii="Times New Roman" w:hAnsi="Times New Roman" w:eastAsia="仿宋_GB2312" w:cs="Times New Roman"/>
          <w:color w:val="auto"/>
          <w:kern w:val="0"/>
          <w:sz w:val="28"/>
          <w:szCs w:val="28"/>
          <w:lang w:eastAsia="zh-CN"/>
        </w:rPr>
      </w:pPr>
    </w:p>
    <w:p>
      <w:pPr>
        <w:spacing w:before="100" w:after="100" w:line="360" w:lineRule="auto"/>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xml:space="preserve">  </w:t>
      </w:r>
    </w:p>
    <w:p>
      <w:pPr>
        <w:pStyle w:val="14"/>
        <w:rPr>
          <w:rFonts w:hint="default" w:ascii="Times New Roman" w:hAnsi="Times New Roman" w:cs="Times New Roman"/>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投标人（企业电子签章）：</w:t>
      </w:r>
      <w:r>
        <w:rPr>
          <w:rFonts w:hint="default" w:ascii="Times New Roman" w:hAnsi="Times New Roman" w:eastAsia="仿宋_GB2312" w:cs="Times New Roman"/>
          <w:color w:val="auto"/>
          <w:kern w:val="0"/>
          <w:sz w:val="28"/>
          <w:szCs w:val="28"/>
          <w:u w:val="single"/>
          <w:lang w:val="en-US"/>
        </w:rPr>
        <w:t xml:space="preserve">             </w:t>
      </w:r>
    </w:p>
    <w:p>
      <w:pPr>
        <w:spacing w:before="100" w:after="100" w:line="360" w:lineRule="auto"/>
        <w:ind w:firstLine="3720"/>
        <w:jc w:val="left"/>
        <w:rPr>
          <w:rFonts w:hint="default" w:ascii="Times New Roman" w:hAnsi="Times New Roman" w:eastAsia="仿宋_GB2312" w:cs="Times New Roman"/>
          <w:color w:val="auto"/>
          <w:kern w:val="0"/>
          <w:sz w:val="28"/>
          <w:szCs w:val="28"/>
          <w:u w:val="single"/>
        </w:rPr>
      </w:pPr>
      <w:r>
        <w:rPr>
          <w:rFonts w:hint="default" w:ascii="Times New Roman" w:hAnsi="Times New Roman" w:eastAsia="仿宋_GB2312" w:cs="Times New Roman"/>
          <w:color w:val="auto"/>
          <w:kern w:val="0"/>
          <w:sz w:val="28"/>
          <w:szCs w:val="28"/>
        </w:rPr>
        <w:t>　日　期：</w:t>
      </w:r>
      <w:r>
        <w:rPr>
          <w:rFonts w:hint="default" w:ascii="Times New Roman" w:hAnsi="Times New Roman" w:eastAsia="仿宋_GB2312" w:cs="Times New Roman"/>
          <w:color w:val="auto"/>
          <w:kern w:val="0"/>
          <w:sz w:val="28"/>
          <w:szCs w:val="28"/>
          <w:u w:val="single"/>
          <w:lang w:val="en-US"/>
        </w:rPr>
        <w:t xml:space="preserve">             </w:t>
      </w: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pStyle w:val="2"/>
        <w:jc w:val="center"/>
        <w:rPr>
          <w:rFonts w:hint="default" w:ascii="Times New Roman" w:hAnsi="Times New Roman" w:eastAsia="方正小标宋_GBK" w:cs="Times New Roman"/>
          <w:b w:val="0"/>
          <w:color w:val="auto"/>
          <w:sz w:val="30"/>
          <w:szCs w:val="30"/>
        </w:rPr>
      </w:pPr>
      <w:r>
        <w:rPr>
          <w:rFonts w:hint="default" w:ascii="Times New Roman" w:hAnsi="Times New Roman" w:cs="Times New Roman"/>
        </w:rPr>
        <w:br w:type="page"/>
      </w:r>
      <w:bookmarkStart w:id="534" w:name="_Toc2129612794"/>
      <w:bookmarkStart w:id="535" w:name="_Toc1881793082_WPSOffice_Level2"/>
      <w:r>
        <w:rPr>
          <w:rFonts w:hint="default" w:ascii="Times New Roman" w:hAnsi="Times New Roman" w:eastAsia="方正小标宋_GBK" w:cs="Times New Roman"/>
          <w:b w:val="0"/>
          <w:color w:val="auto"/>
          <w:sz w:val="30"/>
          <w:szCs w:val="30"/>
          <w:lang w:eastAsia="zh-CN"/>
        </w:rPr>
        <w:t>四、</w:t>
      </w:r>
      <w:r>
        <w:rPr>
          <w:rFonts w:hint="default" w:ascii="Times New Roman" w:hAnsi="Times New Roman" w:eastAsia="方正小标宋_GBK" w:cs="Times New Roman"/>
          <w:b w:val="0"/>
          <w:color w:val="auto"/>
          <w:sz w:val="30"/>
          <w:szCs w:val="30"/>
        </w:rPr>
        <w:t>投标报价表格</w:t>
      </w:r>
      <w:bookmarkEnd w:id="527"/>
      <w:bookmarkEnd w:id="528"/>
      <w:bookmarkEnd w:id="529"/>
      <w:bookmarkEnd w:id="530"/>
      <w:bookmarkEnd w:id="531"/>
      <w:bookmarkEnd w:id="532"/>
      <w:bookmarkEnd w:id="534"/>
      <w:bookmarkEnd w:id="535"/>
    </w:p>
    <w:p>
      <w:pPr>
        <w:spacing w:line="480" w:lineRule="auto"/>
        <w:jc w:val="center"/>
        <w:outlineLvl w:val="2"/>
        <w:rPr>
          <w:rFonts w:hint="default" w:ascii="Times New Roman" w:hAnsi="Times New Roman" w:eastAsia="黑体" w:cs="Times New Roman"/>
          <w:sz w:val="28"/>
          <w:szCs w:val="28"/>
        </w:rPr>
      </w:pPr>
      <w:bookmarkStart w:id="536" w:name="_Toc55824951"/>
      <w:bookmarkStart w:id="537" w:name="_Toc326650802_WPSOffice_Level3"/>
      <w:bookmarkStart w:id="538" w:name="_Toc562840553"/>
      <w:bookmarkStart w:id="539" w:name="_Toc1289935819"/>
      <w:r>
        <w:rPr>
          <w:rFonts w:hint="default" w:ascii="Times New Roman" w:hAnsi="Times New Roman" w:eastAsia="黑体" w:cs="Times New Roman"/>
          <w:sz w:val="28"/>
          <w:szCs w:val="28"/>
        </w:rPr>
        <w:t>1</w:t>
      </w:r>
      <w:r>
        <w:rPr>
          <w:rFonts w:hint="default" w:ascii="Times New Roman" w:hAnsi="Times New Roman" w:eastAsia="黑体" w:cs="Times New Roman"/>
          <w:sz w:val="28"/>
          <w:szCs w:val="28"/>
          <w:lang w:val="en-US" w:eastAsia="zh-CN"/>
        </w:rPr>
        <w:t>.</w:t>
      </w:r>
      <w:r>
        <w:rPr>
          <w:rFonts w:hint="default" w:ascii="Times New Roman" w:hAnsi="Times New Roman" w:eastAsia="黑体" w:cs="Times New Roman"/>
          <w:sz w:val="28"/>
          <w:szCs w:val="28"/>
        </w:rPr>
        <w:t>投标主要内容汇总表</w:t>
      </w:r>
      <w:bookmarkEnd w:id="536"/>
      <w:bookmarkEnd w:id="537"/>
      <w:bookmarkEnd w:id="538"/>
      <w:bookmarkEnd w:id="539"/>
    </w:p>
    <w:p>
      <w:pPr>
        <w:spacing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采购编号：</w:t>
      </w:r>
      <w:r>
        <w:rPr>
          <w:rFonts w:hint="default" w:ascii="Times New Roman" w:hAnsi="Times New Roman" w:eastAsia="仿宋_GB2312" w:cs="Times New Roman"/>
          <w:color w:val="auto"/>
          <w:sz w:val="28"/>
          <w:szCs w:val="28"/>
          <w:lang w:val="en" w:eastAsia="zh-CN"/>
        </w:rPr>
        <w:t>豫财招标采购-2023-161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金额单位：元人民币</w:t>
      </w:r>
    </w:p>
    <w:tbl>
      <w:tblPr>
        <w:tblStyle w:val="51"/>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940"/>
        <w:gridCol w:w="685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
              </w:rPr>
              <w:t>采购项目</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 w:eastAsia="zh-CN"/>
              </w:rPr>
              <w:t>河南省荣康医院电子病历一体化项目</w:t>
            </w:r>
            <w:r>
              <w:rPr>
                <w:rFonts w:hint="default" w:ascii="Times New Roman" w:hAnsi="Times New Roman" w:eastAsia="仿宋_GB2312" w:cs="Times New Roman"/>
                <w:b/>
                <w:bCs/>
                <w:color w:val="auto"/>
                <w:kern w:val="0"/>
                <w:sz w:val="28"/>
                <w:szCs w:val="28"/>
                <w:lang w:val="en-US" w:eastAsia="zh-CN"/>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投标人名称</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投标总报价（大写）</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投标总报价（小写）</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投标范围</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 w:eastAsia="zh-CN"/>
              </w:rPr>
              <w:t>河南省荣康医院电子病历一体化项目</w:t>
            </w:r>
            <w:r>
              <w:rPr>
                <w:rFonts w:hint="default" w:ascii="Times New Roman" w:hAnsi="Times New Roman" w:eastAsia="仿宋_GB2312" w:cs="Times New Roman"/>
                <w:b/>
                <w:bCs/>
                <w:color w:val="auto"/>
                <w:kern w:val="0"/>
                <w:sz w:val="28"/>
                <w:szCs w:val="28"/>
                <w:lang w:val="en-US" w:eastAsia="zh-CN"/>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sz w:val="28"/>
                <w:szCs w:val="28"/>
                <w:highlight w:val="none"/>
                <w:lang w:val="en-US" w:eastAsia="zh-CN"/>
              </w:rPr>
              <w:t>工</w:t>
            </w:r>
            <w:r>
              <w:rPr>
                <w:rFonts w:hint="default" w:ascii="Times New Roman" w:hAnsi="Times New Roman" w:eastAsia="仿宋_GB2312" w:cs="Times New Roman"/>
                <w:color w:val="auto"/>
                <w:sz w:val="28"/>
                <w:szCs w:val="28"/>
                <w:highlight w:val="none"/>
                <w:lang w:val="en-US" w:eastAsia="zh-CN"/>
              </w:rPr>
              <w:t>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sz w:val="28"/>
                <w:szCs w:val="28"/>
                <w:lang w:val="en" w:eastAsia="zh-CN"/>
              </w:rPr>
              <w:t>合同签订后40个日历日内完成本项目的集成开发及部署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服务地点</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eastAsia="zh-CN"/>
              </w:rPr>
              <w:t>采购人指定地点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服务质量</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满足采购人需求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投标有效期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从投标截止之日起60天</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付款方式</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合同条款</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其他声明</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bl>
    <w:p>
      <w:pPr>
        <w:widowControl w:val="0"/>
        <w:jc w:val="center"/>
        <w:rPr>
          <w:rFonts w:hint="default" w:ascii="Times New Roman" w:hAnsi="Times New Roman" w:eastAsia="仿宋_GB2312" w:cs="Times New Roman"/>
          <w:color w:val="auto"/>
          <w:sz w:val="28"/>
          <w:szCs w:val="28"/>
        </w:rPr>
      </w:pPr>
    </w:p>
    <w:p>
      <w:pPr>
        <w:spacing w:line="440" w:lineRule="exac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rPr>
        <w:t>投标人（企业电子签章）：</w:t>
      </w:r>
    </w:p>
    <w:p>
      <w:pPr>
        <w:spacing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法定代表人（个人电子签章）：</w:t>
      </w:r>
      <w:bookmarkEnd w:id="501"/>
      <w:bookmarkEnd w:id="502"/>
      <w:bookmarkEnd w:id="503"/>
      <w:bookmarkEnd w:id="504"/>
      <w:bookmarkEnd w:id="505"/>
      <w:bookmarkEnd w:id="506"/>
      <w:bookmarkStart w:id="540" w:name="_Toc2582323"/>
      <w:bookmarkStart w:id="541" w:name="_Toc585133884"/>
      <w:bookmarkStart w:id="542" w:name="_Toc1973880807"/>
      <w:bookmarkStart w:id="543" w:name="_Toc643738620"/>
      <w:bookmarkStart w:id="544" w:name="_Toc74240239"/>
      <w:bookmarkStart w:id="545" w:name="_Toc893708091"/>
      <w:bookmarkStart w:id="546" w:name="_Toc299604904"/>
    </w:p>
    <w:p>
      <w:pPr>
        <w:pStyle w:val="87"/>
        <w:rPr>
          <w:rFonts w:hint="default" w:ascii="Times New Roman" w:hAnsi="Times New Roman" w:eastAsia="仿宋_GB2312" w:cs="Times New Roman"/>
          <w:color w:val="auto"/>
          <w:sz w:val="28"/>
          <w:szCs w:val="28"/>
        </w:rPr>
      </w:pPr>
    </w:p>
    <w:p>
      <w:pPr>
        <w:numPr>
          <w:ilvl w:val="0"/>
          <w:numId w:val="3"/>
        </w:numPr>
        <w:spacing w:line="480" w:lineRule="auto"/>
        <w:jc w:val="center"/>
        <w:outlineLvl w:val="2"/>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bCs/>
          <w:sz w:val="28"/>
          <w:szCs w:val="28"/>
          <w:lang w:val="en"/>
        </w:rPr>
        <w:br w:type="page"/>
      </w:r>
      <w:bookmarkStart w:id="547" w:name="_Toc2051642436_WPSOffice_Level3"/>
      <w:r>
        <w:rPr>
          <w:rFonts w:hint="default" w:ascii="Times New Roman" w:hAnsi="Times New Roman" w:eastAsia="黑体" w:cs="Times New Roman"/>
          <w:b/>
          <w:bCs/>
          <w:sz w:val="28"/>
          <w:szCs w:val="28"/>
          <w:lang w:val="en-US" w:eastAsia="zh-CN"/>
        </w:rPr>
        <w:t>分项报价一览表及有关说明</w:t>
      </w:r>
      <w:bookmarkEnd w:id="547"/>
    </w:p>
    <w:p>
      <w:pPr>
        <w:spacing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采购编号：</w:t>
      </w:r>
      <w:r>
        <w:rPr>
          <w:rFonts w:hint="default" w:ascii="Times New Roman" w:hAnsi="Times New Roman" w:eastAsia="仿宋_GB2312" w:cs="Times New Roman"/>
          <w:color w:val="auto"/>
          <w:sz w:val="28"/>
          <w:szCs w:val="28"/>
          <w:lang w:val="en" w:eastAsia="zh-CN"/>
        </w:rPr>
        <w:t>豫财招标采购-2023-161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金额单位：元人民币</w:t>
      </w:r>
    </w:p>
    <w:p>
      <w:pPr>
        <w:pStyle w:val="217"/>
        <w:rPr>
          <w:rFonts w:hint="default" w:ascii="Times New Roman" w:hAnsi="Times New Roman" w:eastAsia="仿宋_GB2312" w:cs="Times New Roman"/>
          <w:color w:val="000000"/>
          <w:sz w:val="2"/>
          <w:szCs w:val="2"/>
        </w:rPr>
      </w:pPr>
    </w:p>
    <w:p>
      <w:pPr>
        <w:spacing w:line="360" w:lineRule="auto"/>
        <w:ind w:firstLine="420" w:firstLineChars="200"/>
        <w:rPr>
          <w:rFonts w:hint="default" w:ascii="Times New Roman" w:hAnsi="Times New Roman" w:cs="Times New Roman"/>
        </w:rPr>
      </w:pPr>
    </w:p>
    <w:p>
      <w:pPr>
        <w:spacing w:line="360" w:lineRule="auto"/>
        <w:ind w:firstLine="240" w:firstLineChars="100"/>
        <w:rPr>
          <w:rFonts w:hint="default" w:ascii="Times New Roman" w:hAnsi="Times New Roman" w:eastAsia="仿宋_GB2312" w:cs="Times New Roman"/>
          <w:sz w:val="24"/>
          <w:szCs w:val="24"/>
        </w:rPr>
      </w:pPr>
    </w:p>
    <w:p>
      <w:pPr>
        <w:rPr>
          <w:rFonts w:hint="default"/>
        </w:rPr>
      </w:pPr>
    </w:p>
    <w:p>
      <w:pPr>
        <w:spacing w:line="360" w:lineRule="auto"/>
        <w:ind w:firstLine="240" w:firstLineChars="1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投标人（企业电子签章）：</w:t>
      </w:r>
      <w:r>
        <w:rPr>
          <w:rFonts w:hint="default" w:ascii="Times New Roman" w:hAnsi="Times New Roman" w:eastAsia="仿宋_GB2312" w:cs="Times New Roman"/>
          <w:bCs/>
          <w:sz w:val="24"/>
          <w:szCs w:val="24"/>
          <w:u w:val="single"/>
        </w:rPr>
        <w:t xml:space="preserve">                </w:t>
      </w:r>
    </w:p>
    <w:p>
      <w:pPr>
        <w:spacing w:line="360" w:lineRule="auto"/>
        <w:ind w:firstLine="240" w:firstLineChars="100"/>
        <w:rPr>
          <w:rFonts w:hint="default" w:ascii="Times New Roman" w:hAnsi="Times New Roman" w:eastAsia="仿宋_GB2312" w:cs="Times New Roman"/>
          <w:bCs/>
          <w:sz w:val="24"/>
          <w:szCs w:val="24"/>
          <w:u w:val="single"/>
        </w:rPr>
      </w:pPr>
      <w:r>
        <w:rPr>
          <w:rFonts w:hint="default" w:ascii="Times New Roman" w:hAnsi="Times New Roman" w:eastAsia="仿宋_GB2312" w:cs="Times New Roman"/>
          <w:sz w:val="24"/>
          <w:szCs w:val="24"/>
        </w:rPr>
        <w:t>法定代表人（个人电子签章）：</w:t>
      </w:r>
      <w:r>
        <w:rPr>
          <w:rFonts w:hint="default" w:ascii="Times New Roman" w:hAnsi="Times New Roman" w:eastAsia="仿宋_GB2312" w:cs="Times New Roman"/>
          <w:bCs/>
          <w:sz w:val="24"/>
          <w:szCs w:val="24"/>
          <w:u w:val="single"/>
        </w:rPr>
        <w:t xml:space="preserve">            </w:t>
      </w:r>
    </w:p>
    <w:p>
      <w:pPr>
        <w:spacing w:line="360" w:lineRule="auto"/>
        <w:ind w:firstLine="240" w:firstLineChars="100"/>
        <w:rPr>
          <w:rFonts w:hint="default" w:ascii="Times New Roman" w:hAnsi="Times New Roman" w:eastAsia="仿宋_GB2312" w:cs="Times New Roman"/>
          <w:sz w:val="24"/>
          <w:szCs w:val="24"/>
        </w:rPr>
      </w:pPr>
    </w:p>
    <w:p>
      <w:pPr>
        <w:spacing w:line="360" w:lineRule="auto"/>
        <w:ind w:firstLine="240" w:firstLineChars="100"/>
        <w:jc w:val="right"/>
        <w:rPr>
          <w:rFonts w:hint="default" w:ascii="Times New Roman" w:hAnsi="Times New Roman" w:eastAsia="仿宋_GB2312" w:cs="Times New Roman"/>
          <w:b/>
          <w:sz w:val="24"/>
          <w:szCs w:val="24"/>
        </w:rPr>
      </w:pPr>
      <w:r>
        <w:rPr>
          <w:rFonts w:hint="default" w:ascii="Times New Roman" w:hAnsi="Times New Roman" w:eastAsia="仿宋_GB2312" w:cs="Times New Roman"/>
          <w:bCs/>
          <w:sz w:val="24"/>
          <w:szCs w:val="24"/>
        </w:rPr>
        <w:t>日期：</w:t>
      </w:r>
      <w:r>
        <w:rPr>
          <w:rFonts w:hint="default" w:ascii="Times New Roman" w:hAnsi="Times New Roman" w:eastAsia="仿宋_GB2312" w:cs="Times New Roman"/>
          <w:bCs/>
          <w:sz w:val="24"/>
          <w:szCs w:val="24"/>
          <w:u w:val="single"/>
        </w:rPr>
        <w:t xml:space="preserve">      </w:t>
      </w:r>
      <w:r>
        <w:rPr>
          <w:rFonts w:hint="default" w:ascii="Times New Roman" w:hAnsi="Times New Roman" w:eastAsia="仿宋_GB2312" w:cs="Times New Roman"/>
          <w:bCs/>
          <w:sz w:val="24"/>
          <w:szCs w:val="24"/>
        </w:rPr>
        <w:t>年</w:t>
      </w:r>
      <w:r>
        <w:rPr>
          <w:rFonts w:hint="default" w:ascii="Times New Roman" w:hAnsi="Times New Roman" w:eastAsia="仿宋_GB2312" w:cs="Times New Roman"/>
          <w:bCs/>
          <w:sz w:val="24"/>
          <w:szCs w:val="24"/>
          <w:u w:val="single"/>
        </w:rPr>
        <w:t xml:space="preserve">   </w:t>
      </w:r>
      <w:r>
        <w:rPr>
          <w:rFonts w:hint="default" w:ascii="Times New Roman" w:hAnsi="Times New Roman" w:eastAsia="仿宋_GB2312" w:cs="Times New Roman"/>
          <w:bCs/>
          <w:sz w:val="24"/>
          <w:szCs w:val="24"/>
        </w:rPr>
        <w:t>月</w:t>
      </w:r>
      <w:r>
        <w:rPr>
          <w:rFonts w:hint="default" w:ascii="Times New Roman" w:hAnsi="Times New Roman" w:eastAsia="仿宋_GB2312" w:cs="Times New Roman"/>
          <w:bCs/>
          <w:sz w:val="24"/>
          <w:szCs w:val="24"/>
          <w:u w:val="single"/>
        </w:rPr>
        <w:t xml:space="preserve">   </w:t>
      </w:r>
      <w:r>
        <w:rPr>
          <w:rFonts w:hint="default" w:ascii="Times New Roman" w:hAnsi="Times New Roman" w:eastAsia="仿宋_GB2312" w:cs="Times New Roman"/>
          <w:bCs/>
          <w:sz w:val="24"/>
          <w:szCs w:val="24"/>
        </w:rPr>
        <w:t>日</w:t>
      </w:r>
    </w:p>
    <w:p>
      <w:pPr>
        <w:pStyle w:val="14"/>
        <w:spacing w:line="240" w:lineRule="auto"/>
        <w:rPr>
          <w:rFonts w:hint="default" w:ascii="Times New Roman" w:hAnsi="Times New Roman" w:cs="Times New Roman"/>
          <w:b/>
          <w:color w:val="000000"/>
        </w:rPr>
      </w:pPr>
      <w:bookmarkStart w:id="548" w:name="_Toc483428099_WPSOffice_Level3"/>
      <w:r>
        <w:rPr>
          <w:rFonts w:hint="default" w:ascii="Times New Roman" w:hAnsi="Times New Roman" w:cs="Times New Roman"/>
          <w:b/>
          <w:color w:val="000000"/>
        </w:rPr>
        <w:t>备注：</w:t>
      </w:r>
      <w:bookmarkEnd w:id="548"/>
    </w:p>
    <w:p>
      <w:pPr>
        <w:pStyle w:val="14"/>
        <w:spacing w:line="240" w:lineRule="auto"/>
        <w:rPr>
          <w:rFonts w:hint="default" w:ascii="Times New Roman" w:hAnsi="Times New Roman" w:eastAsia="仿宋_GB2312" w:cs="Times New Roman"/>
          <w:sz w:val="28"/>
          <w:szCs w:val="28"/>
        </w:rPr>
      </w:pPr>
      <w:r>
        <w:rPr>
          <w:rFonts w:hint="default" w:ascii="Times New Roman" w:hAnsi="Times New Roman" w:cs="Times New Roman"/>
          <w:b/>
          <w:color w:val="000000"/>
        </w:rPr>
        <w:t>1、格式供参考，不做统一规定，可由投标人自行设计。</w:t>
      </w:r>
    </w:p>
    <w:p>
      <w:pPr>
        <w:pStyle w:val="39"/>
        <w:ind w:left="840" w:hanging="420"/>
        <w:rPr>
          <w:rFonts w:hint="default" w:ascii="Times New Roman" w:hAnsi="Times New Roman" w:cs="Times New Roman"/>
          <w:lang w:val="en-US" w:eastAsia="zh-CN"/>
        </w:rPr>
        <w:sectPr>
          <w:headerReference r:id="rId5" w:type="default"/>
          <w:footerReference r:id="rId6" w:type="default"/>
          <w:pgSz w:w="11900" w:h="16840"/>
          <w:pgMar w:top="1440" w:right="1800" w:bottom="1440" w:left="1800" w:header="851" w:footer="992" w:gutter="0"/>
          <w:cols w:space="720" w:num="1"/>
        </w:sectPr>
      </w:pPr>
    </w:p>
    <w:p>
      <w:pPr>
        <w:pStyle w:val="2"/>
        <w:jc w:val="center"/>
        <w:rPr>
          <w:rFonts w:hint="default" w:ascii="Times New Roman" w:hAnsi="Times New Roman" w:eastAsia="方正小标宋_GBK" w:cs="Times New Roman"/>
          <w:b w:val="0"/>
          <w:color w:val="auto"/>
          <w:sz w:val="30"/>
          <w:szCs w:val="30"/>
        </w:rPr>
      </w:pPr>
      <w:bookmarkStart w:id="549" w:name="_Toc1251267079"/>
      <w:bookmarkStart w:id="550" w:name="_Toc821511257"/>
      <w:bookmarkStart w:id="551" w:name="_Toc131578556"/>
      <w:bookmarkStart w:id="552" w:name="_Toc300470794"/>
      <w:bookmarkStart w:id="553" w:name="_Toc441969721_WPSOffice_Level2"/>
      <w:bookmarkStart w:id="554" w:name="_Toc314692236"/>
      <w:r>
        <w:rPr>
          <w:rFonts w:hint="default" w:ascii="Times New Roman" w:hAnsi="Times New Roman" w:eastAsia="方正小标宋_GBK" w:cs="Times New Roman"/>
          <w:b w:val="0"/>
          <w:color w:val="auto"/>
          <w:sz w:val="30"/>
          <w:szCs w:val="30"/>
          <w:lang w:val="en-US" w:eastAsia="zh-CN"/>
        </w:rPr>
        <w:t>五、</w:t>
      </w:r>
      <w:bookmarkEnd w:id="540"/>
      <w:bookmarkEnd w:id="541"/>
      <w:bookmarkEnd w:id="542"/>
      <w:bookmarkEnd w:id="543"/>
      <w:bookmarkEnd w:id="544"/>
      <w:bookmarkEnd w:id="545"/>
      <w:bookmarkEnd w:id="549"/>
      <w:bookmarkEnd w:id="550"/>
      <w:bookmarkEnd w:id="551"/>
      <w:r>
        <w:rPr>
          <w:rFonts w:hint="default" w:ascii="Times New Roman" w:hAnsi="Times New Roman" w:eastAsia="方正小标宋_GBK" w:cs="Times New Roman"/>
          <w:b w:val="0"/>
          <w:color w:val="auto"/>
          <w:sz w:val="30"/>
          <w:szCs w:val="30"/>
        </w:rPr>
        <w:t>综合证明文件</w:t>
      </w:r>
      <w:bookmarkEnd w:id="552"/>
      <w:bookmarkEnd w:id="553"/>
      <w:bookmarkEnd w:id="554"/>
    </w:p>
    <w:p>
      <w:pPr>
        <w:pStyle w:val="5"/>
        <w:rPr>
          <w:rFonts w:hint="default" w:ascii="Times New Roman" w:hAnsi="Times New Roman" w:cs="Times New Roman"/>
          <w:b w:val="0"/>
          <w:color w:val="000000"/>
          <w:szCs w:val="28"/>
        </w:rPr>
      </w:pPr>
      <w:bookmarkStart w:id="555" w:name="_Toc766822801"/>
      <w:bookmarkStart w:id="556" w:name="_Toc126373309_WPSOffice_Level3"/>
      <w:r>
        <w:rPr>
          <w:rFonts w:hint="default" w:ascii="Times New Roman" w:hAnsi="Times New Roman" w:cs="Times New Roman"/>
          <w:b w:val="0"/>
          <w:color w:val="000000"/>
          <w:szCs w:val="28"/>
          <w:lang w:val="en-US" w:eastAsia="zh-CN"/>
        </w:rPr>
        <w:t>1.</w:t>
      </w:r>
      <w:r>
        <w:rPr>
          <w:rFonts w:hint="default" w:ascii="Times New Roman" w:hAnsi="Times New Roman" w:cs="Times New Roman"/>
          <w:b w:val="0"/>
          <w:color w:val="000000"/>
          <w:szCs w:val="28"/>
        </w:rPr>
        <w:t>综合实力及履约保障</w:t>
      </w:r>
      <w:bookmarkEnd w:id="555"/>
      <w:bookmarkEnd w:id="556"/>
    </w:p>
    <w:p>
      <w:pPr>
        <w:spacing w:line="360" w:lineRule="auto"/>
        <w:ind w:firstLine="48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根据招标文件要求，提供</w:t>
      </w:r>
      <w:r>
        <w:rPr>
          <w:rFonts w:hint="default" w:ascii="Times New Roman" w:hAnsi="Times New Roman" w:eastAsia="仿宋_GB2312" w:cs="Times New Roman"/>
          <w:kern w:val="0"/>
          <w:sz w:val="28"/>
          <w:szCs w:val="28"/>
          <w:lang w:eastAsia="zh-CN"/>
        </w:rPr>
        <w:t>投标人</w:t>
      </w:r>
      <w:r>
        <w:rPr>
          <w:rFonts w:hint="default" w:ascii="Times New Roman" w:hAnsi="Times New Roman" w:eastAsia="仿宋_GB2312" w:cs="Times New Roman"/>
          <w:kern w:val="0"/>
          <w:sz w:val="28"/>
          <w:szCs w:val="28"/>
        </w:rPr>
        <w:t>认证等证书。（提供认证扫描件，扫描不清晰的不得分，招标文件未要求的不需要提供）</w:t>
      </w:r>
    </w:p>
    <w:p>
      <w:pPr>
        <w:spacing w:line="360" w:lineRule="auto"/>
        <w:ind w:firstLine="480"/>
        <w:jc w:val="left"/>
        <w:rPr>
          <w:rFonts w:hint="default" w:ascii="Times New Roman" w:hAnsi="Times New Roman" w:cs="Times New Roman"/>
        </w:rPr>
      </w:pPr>
    </w:p>
    <w:p>
      <w:pPr>
        <w:pStyle w:val="5"/>
        <w:rPr>
          <w:rFonts w:hint="default" w:ascii="Times New Roman" w:hAnsi="Times New Roman" w:cs="Times New Roman"/>
          <w:b w:val="0"/>
        </w:rPr>
      </w:pPr>
      <w:bookmarkStart w:id="557" w:name="_Toc854016709_WPSOffice_Level3"/>
      <w:bookmarkStart w:id="558" w:name="_Toc554354734"/>
      <w:r>
        <w:rPr>
          <w:rFonts w:hint="default" w:ascii="Times New Roman" w:hAnsi="Times New Roman" w:cs="Times New Roman"/>
          <w:b w:val="0"/>
          <w:lang w:val="en-US" w:eastAsia="zh-CN"/>
        </w:rPr>
        <w:t>2.</w:t>
      </w:r>
      <w:r>
        <w:rPr>
          <w:rFonts w:hint="default" w:ascii="Times New Roman" w:hAnsi="Times New Roman" w:cs="Times New Roman"/>
          <w:b w:val="0"/>
        </w:rPr>
        <w:t>类似项目业绩</w:t>
      </w:r>
      <w:bookmarkEnd w:id="557"/>
      <w:bookmarkEnd w:id="558"/>
    </w:p>
    <w:p>
      <w:pPr>
        <w:spacing w:line="360" w:lineRule="auto"/>
        <w:jc w:val="center"/>
        <w:rPr>
          <w:rFonts w:hint="default" w:ascii="Times New Roman" w:hAnsi="Times New Roman" w:eastAsia="仿宋_GB2312" w:cs="Times New Roman"/>
          <w:sz w:val="32"/>
          <w:szCs w:val="32"/>
        </w:rPr>
      </w:pPr>
      <w:bookmarkStart w:id="559" w:name="_Toc939678011_WPSOffice_Level3"/>
      <w:r>
        <w:rPr>
          <w:rFonts w:hint="default" w:ascii="Times New Roman" w:hAnsi="Times New Roman" w:eastAsia="仿宋_GB2312" w:cs="Times New Roman"/>
          <w:sz w:val="32"/>
          <w:szCs w:val="32"/>
          <w:lang w:eastAsia="zh-CN"/>
        </w:rPr>
        <w:t>类似</w:t>
      </w:r>
      <w:r>
        <w:rPr>
          <w:rFonts w:hint="default" w:ascii="Times New Roman" w:hAnsi="Times New Roman" w:eastAsia="仿宋_GB2312" w:cs="Times New Roman"/>
          <w:sz w:val="32"/>
          <w:szCs w:val="32"/>
        </w:rPr>
        <w:t>业绩一览表</w:t>
      </w:r>
      <w:bookmarkEnd w:id="559"/>
    </w:p>
    <w:tbl>
      <w:tblPr>
        <w:tblStyle w:val="51"/>
        <w:tblW w:w="893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206"/>
        <w:gridCol w:w="2104"/>
        <w:gridCol w:w="1590"/>
        <w:gridCol w:w="1494"/>
        <w:gridCol w:w="153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3" w:hRule="atLeast"/>
        </w:trPr>
        <w:tc>
          <w:tcPr>
            <w:tcW w:w="2206"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项目名称</w:t>
            </w: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简要描述</w:t>
            </w: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项目金额</w:t>
            </w:r>
          </w:p>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w:t>
            </w: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项目单位联系电话</w:t>
            </w: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jc w:val="center"/>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6" w:hRule="atLeast"/>
        </w:trPr>
        <w:tc>
          <w:tcPr>
            <w:tcW w:w="2206"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2206"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1" w:hRule="atLeast"/>
        </w:trPr>
        <w:tc>
          <w:tcPr>
            <w:tcW w:w="2206"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1" w:hRule="atLeast"/>
        </w:trPr>
        <w:tc>
          <w:tcPr>
            <w:tcW w:w="2206"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7" w:hRule="atLeast"/>
        </w:trPr>
        <w:tc>
          <w:tcPr>
            <w:tcW w:w="2206"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default" w:ascii="Times New Roman" w:hAnsi="Times New Roman" w:eastAsia="仿宋_GB2312" w:cs="Times New Roman"/>
                <w:kern w:val="0"/>
                <w:sz w:val="28"/>
                <w:szCs w:val="28"/>
              </w:rPr>
            </w:pPr>
          </w:p>
        </w:tc>
      </w:tr>
    </w:tbl>
    <w:p>
      <w:pPr>
        <w:spacing w:line="360" w:lineRule="auto"/>
        <w:rPr>
          <w:rFonts w:hint="default" w:ascii="Times New Roman" w:hAnsi="Times New Roman" w:eastAsia="仿宋_GB2312" w:cs="Times New Roman"/>
          <w:sz w:val="28"/>
          <w:szCs w:val="28"/>
        </w:rPr>
      </w:pP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投标人可按上述的格式自行编制</w:t>
      </w:r>
      <w:r>
        <w:rPr>
          <w:rFonts w:hint="default" w:ascii="Times New Roman" w:hAnsi="Times New Roman" w:eastAsia="仿宋_GB2312" w:cs="Times New Roman"/>
          <w:sz w:val="28"/>
          <w:szCs w:val="28"/>
          <w:lang w:eastAsia="zh-CN"/>
        </w:rPr>
        <w:t>，后附扫描件。</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业绩扫描不清楚或合同总金额不明确的不予认可，虚假业绩将自行承担相关责任。</w:t>
      </w:r>
    </w:p>
    <w:p>
      <w:pPr>
        <w:pStyle w:val="2"/>
        <w:jc w:val="center"/>
        <w:rPr>
          <w:rFonts w:hint="default" w:ascii="Times New Roman" w:hAnsi="Times New Roman" w:eastAsia="方正小标宋_GBK" w:cs="Times New Roman"/>
          <w:b w:val="0"/>
          <w:color w:val="auto"/>
          <w:sz w:val="28"/>
          <w:szCs w:val="28"/>
          <w:lang w:val="en-US" w:eastAsia="zh-CN"/>
        </w:rPr>
      </w:pPr>
      <w:r>
        <w:rPr>
          <w:rFonts w:hint="default" w:ascii="Times New Roman" w:hAnsi="Times New Roman" w:cs="Times New Roman"/>
        </w:rPr>
        <w:br w:type="page"/>
      </w:r>
      <w:bookmarkStart w:id="560" w:name="_Toc71543328"/>
      <w:bookmarkStart w:id="561" w:name="_Toc2020026904_WPSOffice_Level2"/>
      <w:bookmarkStart w:id="562" w:name="_Toc671407240"/>
      <w:r>
        <w:rPr>
          <w:rFonts w:hint="default" w:ascii="Times New Roman" w:hAnsi="Times New Roman" w:cs="Times New Roman"/>
          <w:sz w:val="28"/>
          <w:szCs w:val="28"/>
          <w:lang w:eastAsia="zh-CN"/>
        </w:rPr>
        <w:t>六</w:t>
      </w:r>
      <w:r>
        <w:rPr>
          <w:rFonts w:hint="default" w:ascii="Times New Roman" w:hAnsi="Times New Roman" w:eastAsia="方正小标宋_GBK" w:cs="Times New Roman"/>
          <w:b w:val="0"/>
          <w:color w:val="auto"/>
          <w:sz w:val="28"/>
          <w:szCs w:val="28"/>
          <w:lang w:val="en-US" w:eastAsia="zh-CN"/>
        </w:rPr>
        <w:t>、服务方案</w:t>
      </w:r>
      <w:bookmarkEnd w:id="560"/>
      <w:bookmarkEnd w:id="561"/>
      <w:bookmarkEnd w:id="562"/>
    </w:p>
    <w:p>
      <w:pPr>
        <w:pStyle w:val="152"/>
        <w:ind w:firstLine="0"/>
        <w:rPr>
          <w:rFonts w:hint="default" w:ascii="Times New Roman" w:hAnsi="Times New Roman" w:eastAsia="仿宋_GB2312" w:cs="Times New Roman"/>
          <w:color w:val="auto"/>
          <w:kern w:val="0"/>
          <w:sz w:val="28"/>
          <w:szCs w:val="28"/>
          <w:lang w:val="en-US" w:eastAsia="zh-CN"/>
        </w:rPr>
      </w:pPr>
    </w:p>
    <w:p>
      <w:pPr>
        <w:pStyle w:val="152"/>
        <w:ind w:firstLine="0"/>
        <w:rPr>
          <w:rFonts w:hint="default" w:ascii="Times New Roman" w:hAnsi="Times New Roman" w:eastAsia="仿宋_GB2312" w:cs="Times New Roman"/>
          <w:color w:val="auto"/>
          <w:kern w:val="0"/>
          <w:sz w:val="28"/>
          <w:szCs w:val="28"/>
          <w:lang w:val="en-US" w:eastAsia="zh-CN"/>
        </w:rPr>
        <w:sectPr>
          <w:headerReference r:id="rId7" w:type="default"/>
          <w:footerReference r:id="rId8" w:type="default"/>
          <w:pgSz w:w="11900" w:h="16840"/>
          <w:pgMar w:top="1440" w:right="1800" w:bottom="1440" w:left="1800" w:header="851" w:footer="992" w:gutter="0"/>
          <w:cols w:space="720" w:num="1"/>
        </w:sectPr>
      </w:pPr>
    </w:p>
    <w:bookmarkEnd w:id="546"/>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28"/>
          <w:szCs w:val="28"/>
        </w:rPr>
      </w:pPr>
      <w:bookmarkStart w:id="563" w:name="_Toc1893993795"/>
      <w:bookmarkStart w:id="564" w:name="_Toc203536082"/>
      <w:bookmarkStart w:id="565" w:name="_Toc1405132080"/>
      <w:bookmarkStart w:id="566" w:name="_Toc2003764980"/>
      <w:bookmarkStart w:id="567" w:name="_Toc782655613"/>
      <w:bookmarkStart w:id="568" w:name="_Toc1342357120"/>
      <w:bookmarkStart w:id="569" w:name="_Toc71543334"/>
      <w:bookmarkStart w:id="570" w:name="_Toc1027952896"/>
      <w:bookmarkStart w:id="571" w:name="_Toc683097015"/>
      <w:bookmarkStart w:id="572" w:name="_Toc741327320"/>
      <w:bookmarkStart w:id="573" w:name="_Toc1642658699"/>
      <w:bookmarkStart w:id="574" w:name="_Toc1961816944"/>
      <w:bookmarkStart w:id="575" w:name="_Toc364407768_WPSOffice_Level2"/>
      <w:bookmarkStart w:id="576" w:name="_Toc297277348"/>
      <w:r>
        <w:rPr>
          <w:rFonts w:hint="default" w:ascii="Times New Roman" w:hAnsi="Times New Roman" w:eastAsia="方正小标宋_GBK" w:cs="Times New Roman"/>
          <w:bCs/>
          <w:color w:val="auto"/>
          <w:kern w:val="0"/>
          <w:sz w:val="28"/>
          <w:szCs w:val="28"/>
          <w:lang w:val="en" w:eastAsia="zh-CN"/>
        </w:rPr>
        <w:t>七</w:t>
      </w:r>
      <w:r>
        <w:rPr>
          <w:rFonts w:hint="default" w:ascii="Times New Roman" w:hAnsi="Times New Roman" w:eastAsia="方正小标宋_GBK" w:cs="Times New Roman"/>
          <w:bCs/>
          <w:color w:val="auto"/>
          <w:kern w:val="0"/>
          <w:sz w:val="28"/>
          <w:szCs w:val="28"/>
          <w:lang w:eastAsia="zh-CN"/>
        </w:rPr>
        <w:t>、</w:t>
      </w:r>
      <w:r>
        <w:rPr>
          <w:rFonts w:hint="default" w:ascii="Times New Roman" w:hAnsi="Times New Roman" w:eastAsia="方正小标宋_GBK" w:cs="Times New Roman"/>
          <w:bCs/>
          <w:color w:val="auto"/>
          <w:kern w:val="0"/>
          <w:sz w:val="28"/>
          <w:szCs w:val="28"/>
        </w:rPr>
        <w:t>其他文件</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pPr>
        <w:pStyle w:val="152"/>
        <w:rPr>
          <w:rFonts w:hint="default" w:ascii="Times New Roman" w:hAnsi="Times New Roman" w:eastAsia="宋体" w:cs="Times New Roman"/>
          <w:color w:val="auto"/>
          <w:kern w:val="0"/>
        </w:rPr>
      </w:pPr>
    </w:p>
    <w:p>
      <w:pPr>
        <w:pStyle w:val="152"/>
        <w:rPr>
          <w:rFonts w:hint="default" w:ascii="Times New Roman" w:hAnsi="Times New Roman" w:eastAsia="宋体" w:cs="Times New Roman"/>
          <w:color w:val="auto"/>
          <w:kern w:val="0"/>
        </w:rPr>
      </w:pPr>
    </w:p>
    <w:p>
      <w:pPr>
        <w:spacing w:line="360" w:lineRule="auto"/>
        <w:ind w:left="1080" w:hanging="540"/>
        <w:jc w:val="center"/>
        <w:rPr>
          <w:rFonts w:hint="default" w:ascii="Times New Roman" w:hAnsi="Times New Roman" w:eastAsia="宋体" w:cs="Times New Roman"/>
          <w:color w:val="auto"/>
        </w:rPr>
        <w:sectPr>
          <w:pgSz w:w="11900" w:h="16840"/>
          <w:pgMar w:top="1440" w:right="1800" w:bottom="1440" w:left="1800" w:header="851" w:footer="992" w:gutter="0"/>
          <w:cols w:space="720" w:num="1"/>
        </w:sectPr>
      </w:pPr>
    </w:p>
    <w:p>
      <w:pPr>
        <w:pStyle w:val="3"/>
        <w:numPr>
          <w:ilvl w:val="0"/>
          <w:numId w:val="4"/>
        </w:numPr>
        <w:spacing w:before="0" w:after="0" w:line="240" w:lineRule="auto"/>
        <w:jc w:val="center"/>
        <w:rPr>
          <w:rFonts w:hint="default" w:ascii="Times New Roman" w:hAnsi="Times New Roman" w:eastAsia="宋体" w:cs="Times New Roman"/>
          <w:color w:val="auto"/>
          <w:sz w:val="28"/>
          <w:szCs w:val="28"/>
          <w:lang w:val="en"/>
        </w:rPr>
      </w:pPr>
      <w:bookmarkStart w:id="577" w:name="_Toc1023053876"/>
      <w:bookmarkStart w:id="578" w:name="_Toc1957633089"/>
      <w:bookmarkStart w:id="579" w:name="_Toc1176089766_WPSOffice_Level1"/>
      <w:bookmarkStart w:id="580" w:name="_Toc1188500584"/>
      <w:bookmarkStart w:id="581" w:name="_Toc1004984858"/>
      <w:r>
        <w:rPr>
          <w:rFonts w:hint="default" w:ascii="Times New Roman" w:hAnsi="Times New Roman" w:eastAsia="宋体" w:cs="Times New Roman"/>
          <w:color w:val="auto"/>
          <w:sz w:val="28"/>
          <w:szCs w:val="28"/>
          <w:lang w:val="en"/>
        </w:rPr>
        <w:t>项目需求及有关要求</w:t>
      </w:r>
      <w:bookmarkEnd w:id="577"/>
      <w:bookmarkEnd w:id="578"/>
      <w:bookmarkEnd w:id="579"/>
      <w:bookmarkEnd w:id="580"/>
      <w:bookmarkEnd w:id="581"/>
    </w:p>
    <w:p>
      <w:pPr>
        <w:keepNext/>
        <w:keepLines/>
        <w:spacing w:line="360" w:lineRule="auto"/>
        <w:jc w:val="center"/>
        <w:outlineLvl w:val="0"/>
        <w:rPr>
          <w:rFonts w:hint="default"/>
        </w:rPr>
      </w:pPr>
      <w:r>
        <w:rPr>
          <w:rFonts w:ascii="宋体" w:hAnsi="宋体" w:eastAsia="宋体" w:cs="宋体"/>
          <w:b/>
          <w:bCs/>
          <w:sz w:val="24"/>
          <w:szCs w:val="24"/>
          <w:lang w:val="en-US"/>
        </w:rPr>
        <w:t>河南省荣康医院电子病历一体化项目</w:t>
      </w:r>
      <w:r>
        <w:rPr>
          <w:rFonts w:ascii="宋体" w:hAnsi="宋体" w:eastAsia="宋体" w:cs="宋体"/>
          <w:b/>
          <w:bCs/>
          <w:sz w:val="24"/>
          <w:szCs w:val="24"/>
        </w:rPr>
        <w:t>参数</w:t>
      </w:r>
      <w:r>
        <w:rPr>
          <w:rFonts w:ascii="宋体" w:hAnsi="宋体" w:eastAsia="宋体" w:cs="宋体"/>
          <w:b/>
          <w:bCs/>
          <w:sz w:val="24"/>
          <w:szCs w:val="24"/>
          <w:lang w:eastAsia="zh-CN"/>
        </w:rPr>
        <w:t>及</w:t>
      </w:r>
      <w:r>
        <w:rPr>
          <w:rFonts w:ascii="宋体" w:hAnsi="宋体" w:eastAsia="宋体" w:cs="宋体"/>
          <w:b/>
          <w:bCs/>
          <w:sz w:val="24"/>
          <w:szCs w:val="24"/>
        </w:rPr>
        <w:t>要求</w:t>
      </w:r>
    </w:p>
    <w:p>
      <w:pPr>
        <w:pStyle w:val="3"/>
        <w:spacing w:line="240" w:lineRule="auto"/>
        <w:rPr>
          <w:lang w:val="en-US" w:eastAsia="zh-CN"/>
        </w:rPr>
      </w:pPr>
      <w:r>
        <w:rPr>
          <w:rFonts w:hint="eastAsia"/>
          <w:lang w:val="en-US" w:eastAsia="zh-CN"/>
        </w:rPr>
        <w:t>一、采购内容：</w:t>
      </w:r>
    </w:p>
    <w:tbl>
      <w:tblPr>
        <w:tblStyle w:val="51"/>
        <w:tblW w:w="465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0"/>
        <w:gridCol w:w="1457"/>
        <w:gridCol w:w="4434"/>
        <w:gridCol w:w="825"/>
        <w:gridCol w:w="7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tblHeader/>
        </w:trPr>
        <w:tc>
          <w:tcPr>
            <w:tcW w:w="308" w:type="pct"/>
            <w:noWrap w:val="0"/>
            <w:vAlign w:val="center"/>
          </w:tcPr>
          <w:p>
            <w:pPr>
              <w:jc w:val="center"/>
              <w:rPr>
                <w:rFonts w:hint="default" w:ascii="Times New Roman" w:hAnsi="Times New Roman"/>
                <w:b/>
                <w:bCs/>
                <w:kern w:val="0"/>
                <w:sz w:val="22"/>
              </w:rPr>
            </w:pPr>
            <w:r>
              <w:rPr>
                <w:rFonts w:ascii="宋体" w:hAnsi="宋体"/>
                <w:b/>
                <w:bCs/>
                <w:kern w:val="0"/>
                <w:sz w:val="22"/>
              </w:rPr>
              <w:t>序号</w:t>
            </w:r>
          </w:p>
        </w:tc>
        <w:tc>
          <w:tcPr>
            <w:tcW w:w="917" w:type="pct"/>
            <w:noWrap/>
            <w:vAlign w:val="center"/>
          </w:tcPr>
          <w:p>
            <w:pPr>
              <w:jc w:val="center"/>
              <w:rPr>
                <w:rFonts w:hint="default" w:ascii="宋体" w:hAnsi="宋体" w:cs="宋体"/>
                <w:b/>
                <w:bCs/>
                <w:kern w:val="0"/>
                <w:sz w:val="22"/>
              </w:rPr>
            </w:pPr>
            <w:r>
              <w:rPr>
                <w:rFonts w:ascii="宋体" w:hAnsi="宋体" w:cs="宋体"/>
                <w:b/>
                <w:bCs/>
                <w:kern w:val="0"/>
                <w:sz w:val="22"/>
              </w:rPr>
              <w:t>设备及软件名称</w:t>
            </w:r>
          </w:p>
        </w:tc>
        <w:tc>
          <w:tcPr>
            <w:tcW w:w="2792" w:type="pct"/>
            <w:noWrap w:val="0"/>
            <w:vAlign w:val="center"/>
          </w:tcPr>
          <w:p>
            <w:pPr>
              <w:jc w:val="center"/>
              <w:rPr>
                <w:rFonts w:hint="default" w:ascii="Times New Roman" w:hAnsi="Times New Roman"/>
                <w:b/>
                <w:bCs/>
                <w:kern w:val="0"/>
                <w:sz w:val="22"/>
              </w:rPr>
            </w:pPr>
            <w:r>
              <w:rPr>
                <w:rFonts w:ascii="宋体" w:hAnsi="宋体"/>
                <w:b/>
                <w:bCs/>
                <w:kern w:val="0"/>
                <w:sz w:val="22"/>
              </w:rPr>
              <w:t>主要技术（性能）指标</w:t>
            </w:r>
          </w:p>
        </w:tc>
        <w:tc>
          <w:tcPr>
            <w:tcW w:w="519" w:type="pct"/>
            <w:noWrap w:val="0"/>
            <w:vAlign w:val="center"/>
          </w:tcPr>
          <w:p>
            <w:pPr>
              <w:jc w:val="center"/>
              <w:rPr>
                <w:rFonts w:hint="default" w:ascii="宋体" w:hAnsi="宋体" w:cs="宋体"/>
                <w:b/>
                <w:kern w:val="0"/>
                <w:sz w:val="24"/>
                <w:szCs w:val="24"/>
                <w:lang w:eastAsia="zh-CN"/>
              </w:rPr>
            </w:pPr>
            <w:r>
              <w:rPr>
                <w:rFonts w:ascii="宋体" w:hAnsi="宋体" w:cs="宋体"/>
                <w:b/>
                <w:kern w:val="0"/>
                <w:sz w:val="24"/>
                <w:szCs w:val="24"/>
              </w:rPr>
              <w:t>单位</w:t>
            </w:r>
          </w:p>
        </w:tc>
        <w:tc>
          <w:tcPr>
            <w:tcW w:w="462" w:type="pct"/>
            <w:noWrap w:val="0"/>
            <w:vAlign w:val="center"/>
          </w:tcPr>
          <w:p>
            <w:pPr>
              <w:jc w:val="center"/>
              <w:rPr>
                <w:rFonts w:hint="default" w:ascii="宋体" w:hAnsi="宋体" w:cs="宋体"/>
                <w:b/>
                <w:kern w:val="0"/>
                <w:sz w:val="24"/>
                <w:szCs w:val="24"/>
              </w:rPr>
            </w:pPr>
            <w:r>
              <w:rPr>
                <w:rFonts w:ascii="宋体" w:hAnsi="宋体" w:cs="宋体"/>
                <w:b/>
                <w:kern w:val="0"/>
                <w:sz w:val="24"/>
                <w:szCs w:val="24"/>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308"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一</w:t>
            </w:r>
          </w:p>
        </w:tc>
        <w:tc>
          <w:tcPr>
            <w:tcW w:w="4691" w:type="pct"/>
            <w:gridSpan w:val="4"/>
            <w:noWrap/>
            <w:vAlign w:val="center"/>
          </w:tcPr>
          <w:p>
            <w:pPr>
              <w:jc w:val="left"/>
              <w:rPr>
                <w:rFonts w:hint="default" w:ascii="Times New Roman" w:hAnsi="Times New Roman"/>
                <w:kern w:val="0"/>
                <w:sz w:val="22"/>
              </w:rPr>
            </w:pPr>
            <w:r>
              <w:rPr>
                <w:rFonts w:ascii="宋体" w:hAnsi="宋体" w:cs="宋体"/>
                <w:b/>
                <w:bCs/>
                <w:kern w:val="0"/>
                <w:sz w:val="22"/>
              </w:rPr>
              <w:t>电子病历四级信息化系统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门急诊挂号系统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现场、自助设备、远程预约登记或预约挂号，支持现场、自助设备、支付宝、微信、手机APP等挂号结算方式，支持医生排班号表生成、调整，支持挂号信息汇总统计查询，参与自助机取卡、取号、结算的接口设计。</w:t>
            </w:r>
          </w:p>
        </w:tc>
        <w:tc>
          <w:tcPr>
            <w:tcW w:w="519" w:type="pct"/>
            <w:noWrap w:val="0"/>
            <w:vAlign w:val="center"/>
          </w:tcPr>
          <w:p>
            <w:pPr>
              <w:jc w:val="center"/>
              <w:rPr>
                <w:rFonts w:hint="default" w:ascii="宋体" w:hAnsi="宋体" w:cs="宋体"/>
                <w:kern w:val="0"/>
                <w:sz w:val="24"/>
                <w:szCs w:val="24"/>
                <w:lang w:eastAsia="zh-CN"/>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lang w:eastAsia="zh-CN"/>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门急诊收费系统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支持门急诊的日常收费、退费、统计、查询、发票打印等业务。</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门急诊医生站系统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辅助门诊医师完成日常诊疗业务处理，包括诊断录入、检查、检验申请单开立、处置单开立、处方开立等。</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门急诊护士站系统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辅助门诊护士完成日常治疗工作，包括单据获取、记账、单据打印、工作量统计等，支持多院区管理。</w:t>
            </w:r>
          </w:p>
        </w:tc>
        <w:tc>
          <w:tcPr>
            <w:tcW w:w="519" w:type="pct"/>
            <w:noWrap w:val="0"/>
            <w:vAlign w:val="center"/>
          </w:tcPr>
          <w:p>
            <w:pPr>
              <w:jc w:val="center"/>
              <w:rPr>
                <w:rFonts w:hint="default" w:ascii="Times New Roman" w:hAnsi="Times New Roman"/>
                <w:kern w:val="0"/>
                <w:sz w:val="20"/>
                <w:szCs w:val="20"/>
              </w:rPr>
            </w:pPr>
            <w:r>
              <w:rPr>
                <w:rFonts w:hint="default" w:ascii="宋体" w:hAnsi="宋体" w:cs="宋体"/>
                <w:kern w:val="0"/>
                <w:sz w:val="24"/>
                <w:szCs w:val="24"/>
              </w:rPr>
              <w:t>套</w:t>
            </w:r>
          </w:p>
        </w:tc>
        <w:tc>
          <w:tcPr>
            <w:tcW w:w="462" w:type="pct"/>
            <w:noWrap w:val="0"/>
            <w:vAlign w:val="center"/>
          </w:tcPr>
          <w:p>
            <w:pPr>
              <w:jc w:val="center"/>
              <w:rPr>
                <w:rFonts w:hint="default" w:ascii="Times New Roman" w:hAnsi="Times New Roman"/>
                <w:kern w:val="0"/>
                <w:sz w:val="20"/>
                <w:szCs w:val="20"/>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就诊卡管理系统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辅助就诊卡管理窗口工作人员完成患者信息注册业务办理。</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医技科室管理系统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辅助医技科室工作人员完成患者申请单登记、记账等业务办理。</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住院入出院管理系统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辅助住院收费处窗口工作人员完成住院病人登记、押金续交、出院结算等业务办理。</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住院医生站系统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辅助住院医生完成日常业务办理，包括医嘱管理、检查/检验申请单管理、医嘱本管理等。</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住院护士站系统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辅助住院护士完成日常业务办理，包括患者入科、医嘱管理、费用管理等。</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24"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病案管理系统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符合卫生部有关规定，包含卫生部规定的各种统计报表；病案首页信息录入、报表统计、随诊管理，病案借阅管理；住院工作日报、门诊工作日报、护理工作日报管理统计等功能；具有医院指标对比分析和病种质量费用分析的功能；具有ICD-10编码管理和ICD-10疾病名称别名的管理功能；具有对录入数据的逻辑安全检验和专业性检验功能，保证数据的准确性和一致性。完成病案首页的录入、维护，通过数据资源共享，住院病案首页的产生实现从住院病区到病案室流水作业，由病案室最后确认归档。</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药房管理系统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辅助药房工作人员完成日常业务办理，包括处方/医嘱发药、退药、单据打印、药品调剂、库存盘点、药柜管理、毒麻精药品管理、查询统计等功能</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药库管理系统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辅助药库工作人员完成日常业务办理，包括药品入出库业务办理、库存盘点、效期管理、批号管理、药柜管理、查询统计等功能</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基础信息维护系统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辅助信息管理部门实现基础数据及权限的统一管理。</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14</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基本药物管理系统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包含基本药物目录管理、基本药物使用管理、基本药物统计分析等功能</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15</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统一报表管理系统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生成财务报表、药品报表、医疗统计报表，并支持数据整合和快速定制</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16</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后勤物流管理系统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后勤物流管理系统的主要任务是对包括办公耗材、普通耗材、设备等后勤物资及设备的科室申请、采购计划、入库、出库、耗用、盘点等全程流程管理，支持仓库分级管理，能管理到使用科室耗用明细，使用科室可以实时申请，仓库可以根据科室申请进行配送。</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atLeast"/>
        </w:trPr>
        <w:tc>
          <w:tcPr>
            <w:tcW w:w="308"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17</w:t>
            </w:r>
          </w:p>
        </w:tc>
        <w:tc>
          <w:tcPr>
            <w:tcW w:w="917"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诊室分诊叫号系统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应用于门诊分诊台，辅助分诊护士完成就诊登记和排队，大幅度优化病人就诊次序，缩短病人就医等候时间。</w:t>
            </w:r>
          </w:p>
        </w:tc>
        <w:tc>
          <w:tcPr>
            <w:tcW w:w="519" w:type="pct"/>
            <w:vMerge w:val="restar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trPr>
        <w:tc>
          <w:tcPr>
            <w:tcW w:w="308" w:type="pct"/>
            <w:vMerge w:val="continue"/>
            <w:noWrap w:val="0"/>
            <w:vAlign w:val="center"/>
          </w:tcPr>
          <w:p>
            <w:pPr>
              <w:jc w:val="center"/>
              <w:rPr>
                <w:rFonts w:ascii="宋体" w:hAnsi="宋体" w:cs="宋体"/>
                <w:kern w:val="0"/>
                <w:sz w:val="24"/>
                <w:szCs w:val="24"/>
              </w:rPr>
            </w:pPr>
          </w:p>
        </w:tc>
        <w:tc>
          <w:tcPr>
            <w:tcW w:w="917" w:type="pct"/>
            <w:vMerge w:val="continue"/>
            <w:noWrap/>
            <w:vAlign w:val="center"/>
          </w:tcPr>
          <w:p>
            <w:pPr>
              <w:jc w:val="left"/>
              <w:rPr>
                <w:rFonts w:ascii="宋体" w:hAnsi="宋体" w:cs="宋体"/>
                <w:kern w:val="0"/>
                <w:sz w:val="24"/>
                <w:szCs w:val="24"/>
              </w:rPr>
            </w:pPr>
          </w:p>
        </w:tc>
        <w:tc>
          <w:tcPr>
            <w:tcW w:w="2792" w:type="pct"/>
            <w:noWrap w:val="0"/>
            <w:vAlign w:val="center"/>
          </w:tcPr>
          <w:p>
            <w:pPr>
              <w:jc w:val="left"/>
              <w:rPr>
                <w:rFonts w:hint="eastAsia" w:ascii="宋体" w:hAnsi="宋体" w:eastAsia="宋体" w:cs="宋体"/>
                <w:kern w:val="0"/>
                <w:sz w:val="24"/>
                <w:szCs w:val="24"/>
                <w:lang w:eastAsia="zh-CN"/>
              </w:rPr>
            </w:pPr>
            <w:r>
              <w:rPr>
                <w:rFonts w:ascii="宋体" w:hAnsi="宋体" w:cs="宋体"/>
                <w:kern w:val="0"/>
                <w:sz w:val="24"/>
                <w:szCs w:val="24"/>
              </w:rPr>
              <w:t>含候诊区4台大屏和诊室门口20台小屏设备及安装。</w:t>
            </w:r>
          </w:p>
        </w:tc>
        <w:tc>
          <w:tcPr>
            <w:tcW w:w="519" w:type="pct"/>
            <w:vMerge w:val="continue"/>
            <w:noWrap w:val="0"/>
            <w:vAlign w:val="center"/>
          </w:tcPr>
          <w:p>
            <w:pPr>
              <w:jc w:val="center"/>
              <w:rPr>
                <w:rFonts w:hint="default" w:ascii="宋体" w:hAnsi="宋体" w:cs="宋体"/>
                <w:kern w:val="0"/>
                <w:sz w:val="24"/>
                <w:szCs w:val="24"/>
              </w:rPr>
            </w:pPr>
          </w:p>
        </w:tc>
        <w:tc>
          <w:tcPr>
            <w:tcW w:w="462" w:type="pct"/>
            <w:vMerge w:val="continue"/>
            <w:noWrap w:val="0"/>
            <w:vAlign w:val="center"/>
          </w:tcPr>
          <w:p>
            <w:pPr>
              <w:jc w:val="center"/>
              <w:rPr>
                <w:rFonts w:ascii="宋体" w:hAnsi="宋体" w:cs="宋体"/>
                <w:kern w:val="0"/>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18</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取药排队叫号系统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应用于门诊药房，患者通过自助机或线上支付完后药房自动打印摆药单，患者进入取药排队队列，可大大优化病人取药次序，节约病人取药等候时间。</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308" w:type="pct"/>
            <w:noWrap w:val="0"/>
            <w:vAlign w:val="center"/>
          </w:tcPr>
          <w:p>
            <w:pPr>
              <w:jc w:val="center"/>
              <w:rPr>
                <w:rFonts w:hint="default" w:ascii="宋体" w:hAnsi="宋体" w:cs="宋体"/>
                <w:color w:val="auto"/>
                <w:kern w:val="0"/>
                <w:sz w:val="24"/>
                <w:szCs w:val="24"/>
              </w:rPr>
            </w:pPr>
            <w:r>
              <w:rPr>
                <w:rFonts w:ascii="宋体" w:hAnsi="宋体" w:cs="宋体"/>
                <w:color w:val="auto"/>
                <w:kern w:val="0"/>
                <w:sz w:val="24"/>
                <w:szCs w:val="24"/>
              </w:rPr>
              <w:t>19</w:t>
            </w:r>
          </w:p>
        </w:tc>
        <w:tc>
          <w:tcPr>
            <w:tcW w:w="917" w:type="pct"/>
            <w:noWrap/>
            <w:vAlign w:val="center"/>
          </w:tcPr>
          <w:p>
            <w:pPr>
              <w:jc w:val="left"/>
              <w:rPr>
                <w:rFonts w:hint="default" w:ascii="宋体" w:hAnsi="宋体" w:cs="宋体"/>
                <w:color w:val="auto"/>
                <w:kern w:val="0"/>
                <w:sz w:val="24"/>
                <w:szCs w:val="24"/>
              </w:rPr>
            </w:pPr>
            <w:r>
              <w:rPr>
                <w:rFonts w:ascii="宋体" w:hAnsi="宋体" w:cs="宋体"/>
                <w:color w:val="auto"/>
                <w:kern w:val="0"/>
                <w:sz w:val="24"/>
                <w:szCs w:val="24"/>
              </w:rPr>
              <w:t>结构化住院电子病历系统</w:t>
            </w:r>
          </w:p>
        </w:tc>
        <w:tc>
          <w:tcPr>
            <w:tcW w:w="2792" w:type="pct"/>
            <w:noWrap w:val="0"/>
            <w:vAlign w:val="center"/>
          </w:tcPr>
          <w:p>
            <w:pPr>
              <w:jc w:val="left"/>
              <w:rPr>
                <w:rFonts w:hint="default" w:ascii="宋体" w:hAnsi="宋体" w:cs="宋体"/>
                <w:color w:val="auto"/>
                <w:kern w:val="0"/>
                <w:sz w:val="24"/>
                <w:szCs w:val="24"/>
              </w:rPr>
            </w:pPr>
            <w:r>
              <w:rPr>
                <w:rFonts w:ascii="宋体" w:hAnsi="宋体" w:cs="宋体"/>
                <w:color w:val="auto"/>
                <w:kern w:val="0"/>
                <w:sz w:val="24"/>
                <w:szCs w:val="24"/>
              </w:rPr>
              <w:t>结构化住院病历系统支持病历全结构化处理，包括病历模板结构化、病历书写结构化、病历存储结构化和病历检索结构化，完全符合电子病历分级评价标准要求。面向住院患者，辅助住院医生完成住院病历书写，大大提高病历文书质量和书写效率。</w:t>
            </w:r>
          </w:p>
        </w:tc>
        <w:tc>
          <w:tcPr>
            <w:tcW w:w="519" w:type="pct"/>
            <w:noWrap w:val="0"/>
            <w:vAlign w:val="center"/>
          </w:tcPr>
          <w:p>
            <w:pPr>
              <w:jc w:val="center"/>
              <w:rPr>
                <w:rFonts w:hint="default" w:ascii="宋体" w:hAnsi="宋体" w:cs="宋体"/>
                <w:color w:val="auto"/>
                <w:kern w:val="0"/>
                <w:sz w:val="24"/>
                <w:szCs w:val="24"/>
              </w:rPr>
            </w:pPr>
            <w:r>
              <w:rPr>
                <w:rFonts w:hint="default" w:ascii="宋体" w:hAnsi="宋体" w:cs="宋体"/>
                <w:color w:val="auto"/>
                <w:kern w:val="0"/>
                <w:sz w:val="24"/>
                <w:szCs w:val="24"/>
              </w:rPr>
              <w:t>套</w:t>
            </w:r>
          </w:p>
        </w:tc>
        <w:tc>
          <w:tcPr>
            <w:tcW w:w="462" w:type="pct"/>
            <w:noWrap w:val="0"/>
            <w:vAlign w:val="center"/>
          </w:tcPr>
          <w:p>
            <w:pPr>
              <w:jc w:val="center"/>
              <w:rPr>
                <w:rFonts w:hint="default" w:ascii="宋体" w:hAnsi="宋体" w:cs="宋体"/>
                <w:color w:val="auto"/>
                <w:kern w:val="0"/>
                <w:sz w:val="24"/>
                <w:szCs w:val="24"/>
              </w:rPr>
            </w:pPr>
            <w:r>
              <w:rPr>
                <w:rFonts w:ascii="宋体" w:hAnsi="宋体" w:cs="宋体"/>
                <w:color w:val="auto"/>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20</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结构化护理电子病历系统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结构化护理病历系统支持病历全结构化处理，包括病历模板结构化、病历书写结构化、病历存储结构化和病历检索结构化，支持专科护理病历书写和移动端应用，完全符合电子病历分级评价标准要求。面向住院患者，辅助住院护士完成住院病历书写，大大提高病历文书质量和书写效率。</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21</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结构化门诊电子病历系统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结构化门诊病历系统支持病历全结构化处理，包括病历模板结构化、病历书写结构化、病历存储结构化和病历检索结构化，支持各门诊科室自定义全结构化门诊病历模板，支持特殊门诊科室病历书写，如：产科门诊、口腔科门诊等。面向门诊患者，辅助门诊医生完成门诊病历书写，大大提高病历文书质量和书写效率。</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22</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病历质控系统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辅助医院建立全过程病历文书三级质控体系，实现病历文书由终末质控向环节质控转变，包括时效质控、内容质控、环节质控和病案首页质控，为病历质控工作的及时性、完整性、合法性提供信息技术支撑。</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23</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检验信息系统（LIS）</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实现全院检验设备的联网，检验科管理的标准化、智能化、信息化和规范化，涵盖了仪器通讯、质量控制、试剂管理 、设备管理、人事管理、主任管理、信息发布等功能模块，提供检验申请、核收、预处理、分析、报告审核及发布功能，在整个检验过程中实时对检验结果监控、评估、分析、统计并对操作规程进行严格规范。</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24</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影像信息系统（PACS）</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实现包括CT、核磁、DR、内镜、超声等全院影像检查设备的联网,包括检查登记、影像获取、报告书写、报告审核等功能，可实现全院影像图片和报告的集中共享应用，具有高性能、海量吞吐能力和兼容性，全面提升医技检查科室的工作效率。</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25</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电生理系统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实现全院心电及脑电设备的联网，包括检查申请、收费、预约登记、检查报告输入与审核、专业的心电图及脑电图处理分析、危机值管理、报告打印/发布、统计/查询等功能，使全医院的电生理检查，电生理数据的储存，电生理诊断和报告实现数字化、网络化、无纸化集中管理，实现报告的集中管理，WEB共享。</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4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26</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临床路径管理系统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辅助临床医生和医务管理者完成临床路径病人的智能化管理，系统内含国家卫健委发布的标准临床路径，支新二级路经管理、换药管理、复杂路径（多学科诊疗协作）管理、子路径管理、路径管控、消息提醒等功能，能够有效降低路径变异率和退出率，提高医院临床路径管理水平。</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27</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患者信息管理系统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患者信息管理系统是基于医院临床数据的应用，围绕患者的诊疗数据开展分析，具体包括：历史就诊、患者的基本信息、诊断、过敏、用药记录、检验、检查、手术、病历、输血等，全方位展示患者诊疗周期的临床数据。默认显示病人本次就诊信息，就诊次数过多的,显示最近一段时间的就诊记录,门诊、急诊、住院、体检就诊类型可以选择。</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28</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危急值闭环（门诊和住院）</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根据电子病历系统应用水平分级4级检验危急值闭环（含门诊和住院）要求，梳理业务流程，改造相关业务系统。</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29</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医保接口系统（含移动支付）</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根据医保接口规范要求，改造相关业务系统，包含医保电子凭证系统。</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30</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自助机接口系统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根据自助机接口规范要求，改造相关业务系统。</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31</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电子发票接口系统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根据电子发票接口规范要求，改造相关业务系统。</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32</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数字签名接口系统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根据数字签名（上海CA）接口规范要求，改造相关业务系统。</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33</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院感接口系统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根据院感（蓝蜻蜓）接口规范要求，改造相关业务系统。</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34</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合理用药接口系统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根据合理用药（四川美康）接口规范要求，改造相关业务系统。</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35</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河南省预约挂号服务平台对接</w:t>
            </w:r>
          </w:p>
        </w:tc>
        <w:tc>
          <w:tcPr>
            <w:tcW w:w="2792" w:type="pct"/>
            <w:noWrap/>
            <w:vAlign w:val="center"/>
          </w:tcPr>
          <w:p>
            <w:pPr>
              <w:rPr>
                <w:rFonts w:hint="default" w:ascii="宋体" w:hAnsi="宋体" w:cs="宋体"/>
                <w:kern w:val="0"/>
                <w:sz w:val="24"/>
                <w:szCs w:val="24"/>
              </w:rPr>
            </w:pPr>
            <w:r>
              <w:rPr>
                <w:rFonts w:ascii="宋体" w:hAnsi="宋体" w:cs="宋体"/>
                <w:kern w:val="0"/>
                <w:sz w:val="24"/>
                <w:szCs w:val="24"/>
              </w:rPr>
              <w:t>根据河南省118114预约挂号服务平台接口规范要求，改造相关业务系统。</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08" w:type="pct"/>
            <w:noWrap w:val="0"/>
            <w:vAlign w:val="center"/>
          </w:tcPr>
          <w:p>
            <w:pPr>
              <w:rPr>
                <w:rFonts w:hint="default" w:ascii="宋体" w:hAnsi="宋体" w:cs="宋体"/>
                <w:kern w:val="0"/>
                <w:sz w:val="24"/>
                <w:szCs w:val="24"/>
                <w:lang w:eastAsia="zh-CN"/>
              </w:rPr>
            </w:pPr>
            <w:r>
              <w:rPr>
                <w:rFonts w:ascii="宋体" w:hAnsi="宋体" w:cs="宋体"/>
                <w:kern w:val="0"/>
                <w:sz w:val="24"/>
                <w:szCs w:val="24"/>
                <w:lang w:eastAsia="zh-CN"/>
              </w:rPr>
              <w:t>36</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第三方支付平台对接</w:t>
            </w:r>
          </w:p>
        </w:tc>
        <w:tc>
          <w:tcPr>
            <w:tcW w:w="2792" w:type="pct"/>
            <w:noWrap/>
            <w:vAlign w:val="center"/>
          </w:tcPr>
          <w:p>
            <w:pPr>
              <w:rPr>
                <w:rFonts w:hint="default" w:ascii="宋体" w:hAnsi="宋体" w:cs="宋体"/>
                <w:kern w:val="0"/>
                <w:sz w:val="24"/>
                <w:szCs w:val="24"/>
                <w:lang w:eastAsia="zh-CN"/>
              </w:rPr>
            </w:pPr>
            <w:r>
              <w:rPr>
                <w:rFonts w:ascii="宋体" w:hAnsi="宋体" w:cs="宋体"/>
                <w:kern w:val="0"/>
                <w:sz w:val="24"/>
                <w:szCs w:val="24"/>
              </w:rPr>
              <w:t>根据医院的相关要求对接微信、支付宝等第三方支付平台。</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lang w:eastAsia="zh-CN"/>
              </w:rPr>
            </w:pPr>
            <w:r>
              <w:rPr>
                <w:rFonts w:hint="default"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308" w:type="pct"/>
            <w:noWrap w:val="0"/>
            <w:vAlign w:val="center"/>
          </w:tcPr>
          <w:p>
            <w:pPr>
              <w:jc w:val="center"/>
              <w:rPr>
                <w:rFonts w:hint="default" w:ascii="宋体" w:hAnsi="宋体" w:cs="宋体"/>
                <w:kern w:val="0"/>
                <w:sz w:val="24"/>
                <w:szCs w:val="24"/>
                <w:lang w:eastAsia="zh-CN"/>
              </w:rPr>
            </w:pPr>
            <w:r>
              <w:rPr>
                <w:rFonts w:ascii="宋体" w:hAnsi="宋体" w:cs="宋体"/>
                <w:kern w:val="0"/>
                <w:sz w:val="24"/>
                <w:szCs w:val="24"/>
              </w:rPr>
              <w:t>3</w:t>
            </w:r>
            <w:r>
              <w:rPr>
                <w:rFonts w:ascii="宋体" w:hAnsi="宋体" w:cs="宋体"/>
                <w:kern w:val="0"/>
                <w:sz w:val="24"/>
                <w:szCs w:val="24"/>
                <w:lang w:eastAsia="zh-CN"/>
              </w:rPr>
              <w:t>7</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临床辅助决策支持系统（CDSS）</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以全国三甲医院真实历史病历为基础，同时依托全球权威医学文献资料知识库，利用自然语言处理、机器学习、深度学习等先进的大数据及人工智能技术手段，通过精准的算法模型导出疾病知识图谱，生成辅助诊断、辅助诊疗及临床预警规则库，患者就诊时，相关信息自动与规则库相匹配，从而触发规则引擎，为临床医生的诊断及诊疗全流程提供决策辅助。</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25" w:hRule="atLeast"/>
        </w:trPr>
        <w:tc>
          <w:tcPr>
            <w:tcW w:w="308" w:type="pct"/>
            <w:noWrap w:val="0"/>
            <w:vAlign w:val="center"/>
          </w:tcPr>
          <w:p>
            <w:pPr>
              <w:jc w:val="center"/>
              <w:rPr>
                <w:rFonts w:hint="default" w:ascii="宋体" w:hAnsi="宋体" w:cs="宋体"/>
                <w:kern w:val="0"/>
                <w:sz w:val="24"/>
                <w:szCs w:val="24"/>
                <w:lang w:eastAsia="zh-CN"/>
              </w:rPr>
            </w:pPr>
            <w:r>
              <w:rPr>
                <w:rFonts w:ascii="宋体" w:hAnsi="宋体" w:cs="宋体"/>
                <w:kern w:val="0"/>
                <w:sz w:val="24"/>
                <w:szCs w:val="24"/>
              </w:rPr>
              <w:t>3</w:t>
            </w:r>
            <w:r>
              <w:rPr>
                <w:rFonts w:ascii="宋体" w:hAnsi="宋体" w:cs="宋体"/>
                <w:kern w:val="0"/>
                <w:sz w:val="24"/>
                <w:szCs w:val="24"/>
                <w:lang w:eastAsia="zh-CN"/>
              </w:rPr>
              <w:t>8</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麻醉管理系统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患者管理：病历数据集成、风险评估、安全核查、器械清点、护理记录、护理交班、患者交互；麻醉管理：病历数据集成、术前访视、麻醉知情同意书、麻醉记录、麻醉小结、麻醉交班；复苏管理：复苏申请、复苏记录、病房交接、记录查询、工作量统计、质控统计；人员权限：机构人员维护、角色和权限</w:t>
            </w:r>
            <w:r>
              <w:rPr>
                <w:rFonts w:ascii="宋体" w:hAnsi="宋体" w:cs="宋体"/>
                <w:kern w:val="0"/>
                <w:sz w:val="24"/>
                <w:szCs w:val="24"/>
              </w:rPr>
              <w:br w:type="textWrapping"/>
            </w:r>
            <w:r>
              <w:rPr>
                <w:rFonts w:ascii="宋体" w:hAnsi="宋体" w:cs="宋体"/>
                <w:kern w:val="0"/>
                <w:sz w:val="24"/>
                <w:szCs w:val="24"/>
              </w:rPr>
              <w:t>数据字典：麻醉字典。</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308" w:type="pct"/>
            <w:noWrap w:val="0"/>
            <w:vAlign w:val="center"/>
          </w:tcPr>
          <w:p>
            <w:pPr>
              <w:jc w:val="center"/>
              <w:rPr>
                <w:rFonts w:hint="default" w:ascii="宋体" w:hAnsi="宋体" w:cs="宋体"/>
                <w:kern w:val="0"/>
                <w:sz w:val="24"/>
                <w:szCs w:val="24"/>
                <w:lang w:eastAsia="zh-CN"/>
              </w:rPr>
            </w:pPr>
            <w:r>
              <w:rPr>
                <w:rFonts w:ascii="宋体" w:hAnsi="宋体" w:cs="宋体"/>
                <w:kern w:val="0"/>
                <w:sz w:val="24"/>
                <w:szCs w:val="24"/>
              </w:rPr>
              <w:t>3</w:t>
            </w:r>
            <w:r>
              <w:rPr>
                <w:rFonts w:ascii="宋体" w:hAnsi="宋体" w:cs="宋体"/>
                <w:kern w:val="0"/>
                <w:sz w:val="24"/>
                <w:szCs w:val="24"/>
                <w:lang w:eastAsia="zh-CN"/>
              </w:rPr>
              <w:t>9</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康复治疗管理信息系统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康复管理信息系统通过对康复工作的全流程信息化管理，实现临床和康复业务数据互通共享。康复治疗信息系统的登记安排可以在门诊、病房等全院共享。包含患者管理、治疗人员管理、治疗安排、治疗项目执行、康复评定、康复治疗方案、康复治疗记录、康复知识库管理、统计报表等功能。</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08" w:type="pct"/>
            <w:noWrap w:val="0"/>
            <w:vAlign w:val="center"/>
          </w:tcPr>
          <w:p>
            <w:pPr>
              <w:jc w:val="center"/>
              <w:rPr>
                <w:rFonts w:hint="default" w:ascii="宋体" w:hAnsi="宋体" w:cs="宋体"/>
                <w:kern w:val="0"/>
                <w:sz w:val="24"/>
                <w:szCs w:val="24"/>
                <w:lang w:eastAsia="zh-CN"/>
              </w:rPr>
            </w:pPr>
            <w:r>
              <w:rPr>
                <w:rFonts w:ascii="宋体" w:hAnsi="宋体" w:cs="宋体"/>
                <w:kern w:val="0"/>
                <w:sz w:val="24"/>
                <w:szCs w:val="24"/>
                <w:lang w:eastAsia="zh-CN"/>
              </w:rPr>
              <w:t>40</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优抚对象管理系统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对医院退役军人优抚对象信息进行统一分类管理。</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08" w:type="pct"/>
            <w:noWrap w:val="0"/>
            <w:vAlign w:val="center"/>
          </w:tcPr>
          <w:p>
            <w:pPr>
              <w:jc w:val="center"/>
              <w:rPr>
                <w:rFonts w:hint="default" w:ascii="宋体" w:hAnsi="宋体" w:cs="宋体"/>
                <w:kern w:val="0"/>
                <w:sz w:val="24"/>
                <w:szCs w:val="24"/>
                <w:lang w:eastAsia="zh-CN"/>
              </w:rPr>
            </w:pPr>
            <w:r>
              <w:rPr>
                <w:rFonts w:ascii="宋体" w:hAnsi="宋体" w:cs="宋体"/>
                <w:kern w:val="0"/>
                <w:sz w:val="24"/>
                <w:szCs w:val="24"/>
              </w:rPr>
              <w:t>4</w:t>
            </w:r>
            <w:r>
              <w:rPr>
                <w:rFonts w:ascii="宋体" w:hAnsi="宋体" w:cs="宋体"/>
                <w:kern w:val="0"/>
                <w:sz w:val="24"/>
                <w:szCs w:val="24"/>
                <w:lang w:eastAsia="zh-CN"/>
              </w:rPr>
              <w:t>1</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电子病历分级评价辅助上报系统</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辅助医院完成每年的电子病历分级评价上报和数据收集。</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308" w:type="pct"/>
            <w:noWrap w:val="0"/>
            <w:vAlign w:val="center"/>
          </w:tcPr>
          <w:p>
            <w:pPr>
              <w:jc w:val="center"/>
              <w:rPr>
                <w:rFonts w:hint="default" w:ascii="宋体" w:hAnsi="宋体" w:cs="宋体"/>
                <w:kern w:val="0"/>
                <w:sz w:val="24"/>
                <w:szCs w:val="24"/>
                <w:lang w:eastAsia="zh-CN"/>
              </w:rPr>
            </w:pPr>
            <w:r>
              <w:rPr>
                <w:rFonts w:ascii="宋体" w:hAnsi="宋体" w:cs="宋体"/>
                <w:kern w:val="0"/>
                <w:sz w:val="24"/>
                <w:szCs w:val="24"/>
              </w:rPr>
              <w:t>4</w:t>
            </w:r>
            <w:r>
              <w:rPr>
                <w:rFonts w:ascii="宋体" w:hAnsi="宋体" w:cs="宋体"/>
                <w:kern w:val="0"/>
                <w:sz w:val="24"/>
                <w:szCs w:val="24"/>
                <w:lang w:eastAsia="zh-CN"/>
              </w:rPr>
              <w:t>2</w:t>
            </w:r>
          </w:p>
        </w:tc>
        <w:tc>
          <w:tcPr>
            <w:tcW w:w="917" w:type="pct"/>
            <w:noWrap/>
            <w:vAlign w:val="center"/>
          </w:tcPr>
          <w:p>
            <w:pPr>
              <w:jc w:val="left"/>
              <w:rPr>
                <w:rFonts w:hint="default" w:ascii="宋体" w:hAnsi="宋体" w:cs="宋体"/>
                <w:kern w:val="0"/>
                <w:sz w:val="24"/>
                <w:szCs w:val="24"/>
              </w:rPr>
            </w:pPr>
            <w:r>
              <w:rPr>
                <w:rFonts w:ascii="宋体" w:hAnsi="宋体" w:cs="宋体"/>
                <w:kern w:val="0"/>
                <w:sz w:val="24"/>
                <w:szCs w:val="24"/>
              </w:rPr>
              <w:t>电子病历评审咨询服务</w:t>
            </w:r>
          </w:p>
        </w:tc>
        <w:tc>
          <w:tcPr>
            <w:tcW w:w="2792" w:type="pct"/>
            <w:noWrap w:val="0"/>
            <w:vAlign w:val="center"/>
          </w:tcPr>
          <w:p>
            <w:pPr>
              <w:jc w:val="left"/>
              <w:rPr>
                <w:rFonts w:hint="default" w:ascii="宋体" w:hAnsi="宋体" w:cs="宋体"/>
                <w:kern w:val="0"/>
                <w:sz w:val="24"/>
                <w:szCs w:val="24"/>
              </w:rPr>
            </w:pPr>
            <w:r>
              <w:rPr>
                <w:rFonts w:ascii="宋体" w:hAnsi="宋体" w:cs="宋体"/>
                <w:kern w:val="0"/>
                <w:sz w:val="24"/>
                <w:szCs w:val="24"/>
              </w:rPr>
              <w:t>含标准宣贯解读、现场评审指导以及实证材料汇总上报等服务。</w:t>
            </w:r>
          </w:p>
        </w:tc>
        <w:tc>
          <w:tcPr>
            <w:tcW w:w="519" w:type="pct"/>
            <w:noWrap w:val="0"/>
            <w:vAlign w:val="center"/>
          </w:tcPr>
          <w:p>
            <w:pPr>
              <w:jc w:val="center"/>
              <w:rPr>
                <w:rFonts w:hint="default" w:ascii="宋体" w:hAnsi="宋体" w:cs="宋体"/>
                <w:kern w:val="0"/>
                <w:sz w:val="24"/>
                <w:szCs w:val="24"/>
                <w:lang w:eastAsia="zh-CN"/>
              </w:rPr>
            </w:pPr>
            <w:r>
              <w:rPr>
                <w:rFonts w:hint="default" w:ascii="宋体" w:hAnsi="宋体" w:cs="宋体"/>
                <w:kern w:val="0"/>
                <w:sz w:val="24"/>
                <w:szCs w:val="24"/>
              </w:rPr>
              <w:t>项</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1" w:hRule="atLeast"/>
        </w:trPr>
        <w:tc>
          <w:tcPr>
            <w:tcW w:w="308"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二</w:t>
            </w:r>
          </w:p>
        </w:tc>
        <w:tc>
          <w:tcPr>
            <w:tcW w:w="4691" w:type="pct"/>
            <w:gridSpan w:val="4"/>
            <w:noWrap/>
            <w:vAlign w:val="center"/>
          </w:tcPr>
          <w:p>
            <w:pPr>
              <w:jc w:val="center"/>
              <w:rPr>
                <w:rFonts w:hint="default" w:ascii="宋体" w:hAnsi="宋体" w:cs="宋体"/>
                <w:kern w:val="0"/>
                <w:sz w:val="24"/>
                <w:szCs w:val="24"/>
              </w:rPr>
            </w:pPr>
            <w:r>
              <w:rPr>
                <w:rFonts w:ascii="宋体" w:hAnsi="宋体" w:cs="宋体"/>
                <w:b/>
                <w:bCs/>
                <w:kern w:val="0"/>
                <w:sz w:val="24"/>
                <w:szCs w:val="24"/>
              </w:rPr>
              <w:t>三级医院信息化系统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传染病监测与上报系统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实现对符合传染病（包括法定报告传染病、突发急性传染病等）、疑似传染病诊断标准的患者，以及各类突发公共卫生事件提供传染病和突发公共卫生事件上报卡登记、审核、统计的功能，或可按区域疾病控制中心直接提供网络上报功能，保证传染病例和突发公共卫生事件上报的实效性、实时性。</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医疗安全不良事件（包含药品、器械）</w:t>
            </w:r>
          </w:p>
        </w:tc>
        <w:tc>
          <w:tcPr>
            <w:tcW w:w="2792" w:type="pct"/>
            <w:noWrap/>
            <w:vAlign w:val="center"/>
          </w:tcPr>
          <w:p>
            <w:pPr>
              <w:jc w:val="left"/>
              <w:rPr>
                <w:rFonts w:hint="default" w:ascii="宋体" w:hAnsi="宋体" w:cs="宋体"/>
                <w:kern w:val="0"/>
                <w:sz w:val="24"/>
                <w:szCs w:val="24"/>
              </w:rPr>
            </w:pPr>
            <w:r>
              <w:rPr>
                <w:rFonts w:ascii="宋体" w:hAnsi="宋体" w:cs="宋体"/>
                <w:kern w:val="0"/>
                <w:sz w:val="24"/>
                <w:szCs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390525</wp:posOffset>
                      </wp:positionV>
                      <wp:extent cx="142875" cy="219075"/>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a:xfrm>
                                <a:off x="0" y="0"/>
                                <a:ext cx="142875" cy="219075"/>
                              </a:xfrm>
                              <a:prstGeom prst="rect">
                                <a:avLst/>
                              </a:prstGeom>
                              <a:noFill/>
                              <a:ln w="9525">
                                <a:noFill/>
                                <a:miter lim="800000"/>
                              </a:ln>
                              <a:effectLst/>
                            </wps:spPr>
                            <wps:bodyPr/>
                          </wps:wsp>
                        </a:graphicData>
                      </a:graphic>
                    </wp:anchor>
                  </w:drawing>
                </mc:Choice>
                <mc:Fallback>
                  <w:pict>
                    <v:shape id="_x0000_s1026" o:spid="_x0000_s1026" o:spt="202" type="#_x0000_t202" style="position:absolute;left:0pt;margin-left:36.75pt;margin-top:30.75pt;height:17.25pt;width:11.25pt;z-index:251660288;mso-width-relative:page;mso-height-relative:page;" filled="f" stroked="f" coordsize="21600,21600" o:gfxdata="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POmC6jTAAAA&#10;BwEAAA8AAAAAAAAAAQAgAAAAOAAAAGRycy9kb3ducmV2LnhtbFBLAQIUABQAAAAIAIdO4kDS2dqg&#10;0wEAAJQDAAAOAAAAAAAAAAEAIAAAADgBAABkcnMvZTJvRG9jLnhtbFBLBQYAAAAABgAGAFkBAAB9&#10;BQAAAAA=&#10;">
                      <v:fill on="f" focussize="0,0"/>
                      <v:stroke on="f" miterlimit="8" joinstyle="miter"/>
                      <v:imagedata o:title=""/>
                      <o:lock v:ext="edit" aspectratio="f"/>
                    </v:shape>
                  </w:pict>
                </mc:Fallback>
              </mc:AlternateContent>
            </w:r>
            <w:r>
              <w:rPr>
                <w:rFonts w:ascii="宋体" w:hAnsi="宋体" w:cs="宋体"/>
                <w:kern w:val="0"/>
                <w:sz w:val="24"/>
                <w:szCs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390525</wp:posOffset>
                      </wp:positionV>
                      <wp:extent cx="142875" cy="219075"/>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a:xfrm>
                                <a:off x="0" y="0"/>
                                <a:ext cx="142875" cy="219075"/>
                              </a:xfrm>
                              <a:prstGeom prst="rect">
                                <a:avLst/>
                              </a:prstGeom>
                              <a:noFill/>
                              <a:ln w="9525">
                                <a:noFill/>
                                <a:miter lim="800000"/>
                              </a:ln>
                              <a:effectLst/>
                            </wps:spPr>
                            <wps:bodyPr/>
                          </wps:wsp>
                        </a:graphicData>
                      </a:graphic>
                    </wp:anchor>
                  </w:drawing>
                </mc:Choice>
                <mc:Fallback>
                  <w:pict>
                    <v:shape id="_x0000_s1026" o:spid="_x0000_s1026" o:spt="202" type="#_x0000_t202" style="position:absolute;left:0pt;margin-left:36.75pt;margin-top:30.75pt;height:17.25pt;width:11.25pt;z-index:251661312;mso-width-relative:page;mso-height-relative:page;" filled="f" stroked="f" coordsize="21600,21600" o:gfxdata="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guo0wAA&#10;AAcBAAAPAAAAAAAAAAEAIAAAADgAAABkcnMvZG93bnJldi54bWxQSwECFAAUAAAACACHTuJASjVE&#10;19QBAACWAwAADgAAAAAAAAABACAAAAA4AQAAZHJzL2Uyb0RvYy54bWxQSwUGAAAAAAYABgBZAQAA&#10;fgUAAAAA&#10;">
                      <v:fill on="f" focussize="0,0"/>
                      <v:stroke on="f" miterlimit="8" joinstyle="miter"/>
                      <v:imagedata o:title=""/>
                      <o:lock v:ext="edit" aspectratio="f"/>
                    </v:shape>
                  </w:pict>
                </mc:Fallback>
              </mc:AlternateContent>
            </w:r>
            <w:r>
              <w:rPr>
                <w:rFonts w:ascii="宋体" w:hAnsi="宋体" w:cs="宋体"/>
                <w:kern w:val="0"/>
                <w:sz w:val="24"/>
                <w:szCs w:val="24"/>
                <w:lang w:val="en-US" w:eastAsia="zh-CN"/>
              </w:rPr>
              <mc:AlternateContent>
                <mc:Choice Requires="wps">
                  <w:drawing>
                    <wp:anchor distT="0" distB="0" distL="114300" distR="114300" simplePos="0" relativeHeight="251662336" behindDoc="0" locked="0" layoutInCell="1" allowOverlap="1">
                      <wp:simplePos x="0" y="0"/>
                      <wp:positionH relativeFrom="column">
                        <wp:posOffset>466725</wp:posOffset>
                      </wp:positionH>
                      <wp:positionV relativeFrom="paragraph">
                        <wp:posOffset>390525</wp:posOffset>
                      </wp:positionV>
                      <wp:extent cx="142875" cy="21907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a:xfrm>
                                <a:off x="0" y="0"/>
                                <a:ext cx="142875" cy="219075"/>
                              </a:xfrm>
                              <a:prstGeom prst="rect">
                                <a:avLst/>
                              </a:prstGeom>
                              <a:noFill/>
                              <a:ln w="9525">
                                <a:noFill/>
                                <a:miter lim="800000"/>
                              </a:ln>
                              <a:effectLst/>
                            </wps:spPr>
                            <wps:bodyPr/>
                          </wps:wsp>
                        </a:graphicData>
                      </a:graphic>
                    </wp:anchor>
                  </w:drawing>
                </mc:Choice>
                <mc:Fallback>
                  <w:pict>
                    <v:shape id="_x0000_s1026" o:spid="_x0000_s1026" o:spt="202" type="#_x0000_t202" style="position:absolute;left:0pt;margin-left:36.75pt;margin-top:30.75pt;height:17.25pt;width:11.25pt;z-index:251662336;mso-width-relative:page;mso-height-relative:page;" filled="f" stroked="f" coordsize="21600,21600" o:gfxdata="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guo0wAA&#10;AAcBAAAPAAAAAAAAAAEAIAAAADgAAABkcnMvZG93bnJldi54bWxQSwECFAAUAAAACACHTuJAo770&#10;+dQBAACWAwAADgAAAAAAAAABACAAAAA4AQAAZHJzL2Uyb0RvYy54bWxQSwUGAAAAAAYABgBZAQAA&#10;fgUAAAAA&#10;">
                      <v:fill on="f" focussize="0,0"/>
                      <v:stroke on="f" miterlimit="8" joinstyle="miter"/>
                      <v:imagedata o:title=""/>
                      <o:lock v:ext="edit" aspectratio="f"/>
                    </v:shape>
                  </w:pict>
                </mc:Fallback>
              </mc:AlternateContent>
            </w:r>
            <w:r>
              <w:rPr>
                <w:rFonts w:ascii="宋体" w:hAnsi="宋体" w:cs="宋体"/>
                <w:kern w:val="0"/>
                <w:sz w:val="24"/>
                <w:szCs w:val="24"/>
              </w:rPr>
              <w:t>系统提供涵盖护理部、医务科、门诊部、药学部等多个主管部门的事件上报和跟踪评价流程，支持匿名上报和实名上报两种模式。系统包括不良事件监测、不良事件上报、不良事件审核、不良事件分析整改、不良事件跟踪评价等业务管理功能，以及鱼骨图分析、不良事件分类统计、不良事件各科室月度环比、不量事件各科室月度同比等20余类统计分析，实现不良事件的全流程管控。</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公立医院绩效考核系统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按照国家二级/三级公立医院绩效考核操作手册（最新版）要求，实现医院病案首页信息与国家医院质量监测系统(HQMS)的数据采集、上传；对于医院系统内未能提供的数据，可由医院病案室进行数据补录。</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发热门诊及流感上报</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按照医院提供的流感和发热数据上报要求，完成医院流感数据、门诊发热病人数据的上报。</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6" w:hRule="atLeast"/>
        </w:trPr>
        <w:tc>
          <w:tcPr>
            <w:tcW w:w="308"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三</w:t>
            </w:r>
          </w:p>
        </w:tc>
        <w:tc>
          <w:tcPr>
            <w:tcW w:w="4691" w:type="pct"/>
            <w:gridSpan w:val="4"/>
            <w:noWrap/>
            <w:vAlign w:val="center"/>
          </w:tcPr>
          <w:p>
            <w:pPr>
              <w:jc w:val="center"/>
              <w:rPr>
                <w:rFonts w:hint="default" w:ascii="宋体" w:hAnsi="宋体" w:cs="宋体"/>
                <w:kern w:val="0"/>
                <w:sz w:val="24"/>
                <w:szCs w:val="24"/>
              </w:rPr>
            </w:pPr>
            <w:r>
              <w:rPr>
                <w:rFonts w:ascii="宋体" w:hAnsi="宋体" w:cs="宋体"/>
                <w:b/>
                <w:bCs/>
                <w:kern w:val="0"/>
                <w:sz w:val="24"/>
                <w:szCs w:val="24"/>
              </w:rPr>
              <w:t>其他服务及辅助信息化系统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处方前置审核管理系统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处方前置审核系统结合医院信息系统，做到实时审方，自动分析问题处方、识别疑似处方，并实时反馈给医生和药师，实现医院全处方监控、即时全面的掌握审方中心处理进程、多维度进行拦截与干预，将药师、医生、药房三方信息交互，确保患者及时用到药，并确保用药无差错。</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防统方系统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对所有数据操作 进行实时监控，杜绝非法“统方”违纪、违法行为，使相关人员从技术上远离“统方”禁区。</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人事管理系统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门户在线：移动工作台、PC门户。日常办公：审批流程、会议管理、工作总结、工作沟通、考勤打卡、规范制度、图表中心。团队协作：知识文档、日程安排、任务管理。组织文化：网上调查、知识地图、员工黄页、员工活动、内部社区、投票管理、新闻公告。人事在线：人事档案、招聘管理、人事流程、绩效考核、统计报表、薪资管理</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0"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单病种管理系统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国家规定的51个单病种上报管理。包括病种覆盖、心血管系统疾病/手术、神经系统疾病/手术、呼吸系统疾病、运动系统疾病/手术、生殖系统疾病/手术、肿瘤（手术治疗）、泌尿系统疾病/操作、口腔系统疾病/手术、眼科系统疾病/手术、其他疾病/手术数据填报、数据管理、填报汇总、数据对接自动填报、填报补充、病种漏报、病种上报统计、病种填、报内容统计、病种数据明细、院内数据来源、国家单病种中心等。</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等级医院评审数据上报系统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数据填报、指标数据分析、指标树查询、指标多维度查询、结果卡片矩阵展示、结果列表展示、指标结果的可视化展示、填报任务管理、基础配置信息、指标信息配置、人员信息配置、模板管理、指标库管理</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2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患者电子签名平台</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可实现当事人签名笔迹、指纹、图像证据链采集来确定当事人身份后，利用证据特征值通过手写签名模块请求生成手写签名事件性证书进行无纸化电子签名及可视化电子签章服务支持通过微信、短信等短链接方式推送到当事人手机端进行手写签名，含与院内系统对接服务。含30台手写签名终端和配套数字证书服务</w:t>
            </w:r>
            <w:r>
              <w:rPr>
                <w:rFonts w:hint="eastAsia" w:ascii="宋体" w:hAnsi="宋体" w:cs="宋体"/>
                <w:kern w:val="0"/>
                <w:sz w:val="24"/>
                <w:szCs w:val="24"/>
                <w:lang w:eastAsia="zh-CN"/>
              </w:rPr>
              <w:t>。</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308"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917" w:type="pct"/>
            <w:noWrap/>
            <w:vAlign w:val="center"/>
          </w:tcPr>
          <w:p>
            <w:pPr>
              <w:rPr>
                <w:rFonts w:hint="default" w:ascii="宋体" w:hAnsi="宋体" w:cs="宋体"/>
                <w:kern w:val="0"/>
                <w:sz w:val="24"/>
                <w:szCs w:val="24"/>
              </w:rPr>
            </w:pPr>
            <w:r>
              <w:rPr>
                <w:rFonts w:ascii="宋体" w:hAnsi="宋体" w:cs="宋体"/>
                <w:kern w:val="0"/>
                <w:sz w:val="24"/>
                <w:szCs w:val="24"/>
              </w:rPr>
              <w:t>DIP(或DRGB)管理系统</w:t>
            </w:r>
          </w:p>
        </w:tc>
        <w:tc>
          <w:tcPr>
            <w:tcW w:w="2792" w:type="pct"/>
            <w:noWrap w:val="0"/>
            <w:vAlign w:val="center"/>
          </w:tcPr>
          <w:p>
            <w:pPr>
              <w:rPr>
                <w:rFonts w:hint="default" w:ascii="宋体" w:hAnsi="宋体" w:cs="宋体"/>
                <w:kern w:val="0"/>
                <w:sz w:val="24"/>
                <w:szCs w:val="24"/>
              </w:rPr>
            </w:pPr>
            <w:r>
              <w:rPr>
                <w:rFonts w:ascii="宋体" w:hAnsi="宋体" w:cs="宋体"/>
                <w:kern w:val="0"/>
                <w:sz w:val="24"/>
                <w:szCs w:val="24"/>
              </w:rPr>
              <w:t>围绕医保支付制度改革，帮助医院在DRG/DIP的支付方式下进行风险管控及精细化管理。包含智能编码（诊断与手术操作编码）、DIP付费监测、DIP医保结算分析、DIP绩效分析等功能。</w:t>
            </w:r>
          </w:p>
        </w:tc>
        <w:tc>
          <w:tcPr>
            <w:tcW w:w="519" w:type="pct"/>
            <w:noWrap w:val="0"/>
            <w:vAlign w:val="center"/>
          </w:tcPr>
          <w:p>
            <w:pPr>
              <w:jc w:val="center"/>
              <w:rPr>
                <w:rFonts w:hint="default" w:ascii="宋体" w:hAnsi="宋体" w:cs="宋体"/>
                <w:kern w:val="0"/>
                <w:sz w:val="24"/>
                <w:szCs w:val="24"/>
              </w:rPr>
            </w:pPr>
            <w:r>
              <w:rPr>
                <w:rFonts w:hint="default" w:ascii="宋体" w:hAnsi="宋体" w:cs="宋体"/>
                <w:kern w:val="0"/>
                <w:sz w:val="24"/>
                <w:szCs w:val="24"/>
              </w:rPr>
              <w:t>套</w:t>
            </w:r>
          </w:p>
        </w:tc>
        <w:tc>
          <w:tcPr>
            <w:tcW w:w="462" w:type="pct"/>
            <w:noWrap w:val="0"/>
            <w:vAlign w:val="center"/>
          </w:tcPr>
          <w:p>
            <w:pPr>
              <w:jc w:val="center"/>
              <w:rPr>
                <w:rFonts w:hint="default" w:ascii="宋体" w:hAnsi="宋体" w:cs="宋体"/>
                <w:kern w:val="0"/>
                <w:sz w:val="24"/>
                <w:szCs w:val="24"/>
              </w:rPr>
            </w:pPr>
            <w:r>
              <w:rPr>
                <w:rFonts w:ascii="宋体" w:hAnsi="宋体" w:cs="宋体"/>
                <w:kern w:val="0"/>
                <w:sz w:val="24"/>
                <w:szCs w:val="24"/>
                <w:lang w:eastAsia="zh-CN"/>
              </w:rPr>
              <w:t>1</w:t>
            </w:r>
          </w:p>
        </w:tc>
      </w:tr>
    </w:tbl>
    <w:p>
      <w:pPr>
        <w:rPr>
          <w:rFonts w:hint="default"/>
        </w:rPr>
      </w:pPr>
      <w:r>
        <w:br w:type="page"/>
      </w:r>
    </w:p>
    <w:p>
      <w:pPr>
        <w:pStyle w:val="3"/>
        <w:spacing w:line="240" w:lineRule="auto"/>
        <w:rPr>
          <w:rFonts w:eastAsia="宋体"/>
          <w:lang w:val="en-US" w:eastAsia="zh-CN"/>
        </w:rPr>
      </w:pPr>
      <w:r>
        <w:rPr>
          <w:rFonts w:hint="eastAsia" w:eastAsia="宋体"/>
          <w:lang w:val="en-US" w:eastAsia="zh-CN"/>
        </w:rPr>
        <w:t>二、</w:t>
      </w:r>
      <w:r>
        <w:rPr>
          <w:rFonts w:hint="eastAsia"/>
          <w:lang w:val="en-US"/>
        </w:rPr>
        <w:t>建设需求</w:t>
      </w:r>
      <w:r>
        <w:rPr>
          <w:rFonts w:hint="eastAsia" w:eastAsia="宋体"/>
          <w:lang w:val="en-US" w:eastAsia="zh-CN"/>
        </w:rPr>
        <w:t>：</w:t>
      </w:r>
    </w:p>
    <w:p>
      <w:pPr>
        <w:pStyle w:val="3"/>
        <w:spacing w:line="240" w:lineRule="auto"/>
      </w:pPr>
      <w:r>
        <w:rPr>
          <w:rFonts w:ascii="Cambria" w:hAnsi="Cambria" w:cs="Cambria"/>
        </w:rPr>
        <w:t>1、</w:t>
      </w:r>
      <w:r>
        <w:rPr>
          <w:rFonts w:hint="eastAsia"/>
        </w:rPr>
        <w:t>主要硬软件设备清单</w:t>
      </w:r>
    </w:p>
    <w:p>
      <w:pPr>
        <w:pStyle w:val="4"/>
        <w:spacing w:before="0" w:after="0" w:line="240" w:lineRule="auto"/>
        <w:rPr>
          <w:rFonts w:ascii="Arial" w:hAnsi="Arial"/>
        </w:rPr>
      </w:pPr>
      <w:r>
        <w:rPr>
          <w:rFonts w:hint="eastAsia"/>
        </w:rPr>
        <w:t xml:space="preserve">1.1. </w:t>
      </w:r>
      <w:r>
        <w:rPr>
          <w:rFonts w:hint="eastAsia" w:ascii="Arial" w:hAnsi="Arial"/>
        </w:rPr>
        <w:t>电子病历四级信息化系统</w:t>
      </w:r>
    </w:p>
    <w:p>
      <w:pPr>
        <w:pStyle w:val="5"/>
        <w:numPr>
          <w:ilvl w:val="2"/>
          <w:numId w:val="5"/>
        </w:numPr>
        <w:spacing w:before="0" w:after="0" w:line="360" w:lineRule="auto"/>
        <w:rPr>
          <w:rFonts w:ascii="宋体" w:hAnsi="宋体"/>
        </w:rPr>
      </w:pPr>
      <w:bookmarkStart w:id="582" w:name="_Toc29966"/>
      <w:r>
        <w:rPr>
          <w:rFonts w:hint="eastAsia" w:ascii="宋体" w:hAnsi="宋体"/>
        </w:rPr>
        <w:t>门急诊挂号系统</w:t>
      </w:r>
      <w:bookmarkEnd w:id="582"/>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365"/>
        <w:gridCol w:w="6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tblHeader/>
        </w:trPr>
        <w:tc>
          <w:tcPr>
            <w:tcW w:w="41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801"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780"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312"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801" w:type="pct"/>
            <w:noWrap w:val="0"/>
            <w:vAlign w:val="center"/>
          </w:tcPr>
          <w:p>
            <w:pPr>
              <w:rPr>
                <w:rFonts w:hint="default" w:ascii="宋体" w:hAnsi="宋体" w:cs="宋体"/>
                <w:kern w:val="0"/>
                <w:sz w:val="24"/>
                <w:szCs w:val="24"/>
              </w:rPr>
            </w:pPr>
            <w:r>
              <w:rPr>
                <w:rFonts w:ascii="宋体" w:hAnsi="宋体" w:cs="宋体"/>
                <w:kern w:val="0"/>
                <w:sz w:val="24"/>
                <w:szCs w:val="24"/>
              </w:rPr>
              <w:t>预约挂号</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1)支持电话、现场、网络等多种预约方式，挂号登记；</w:t>
            </w:r>
          </w:p>
          <w:p>
            <w:pPr>
              <w:rPr>
                <w:rFonts w:hint="default" w:ascii="宋体" w:hAnsi="宋体" w:cs="宋体"/>
                <w:kern w:val="0"/>
                <w:sz w:val="24"/>
                <w:szCs w:val="24"/>
              </w:rPr>
            </w:pPr>
            <w:r>
              <w:rPr>
                <w:rFonts w:ascii="宋体" w:hAnsi="宋体" w:cs="宋体"/>
                <w:kern w:val="0"/>
                <w:sz w:val="24"/>
                <w:szCs w:val="24"/>
              </w:rPr>
              <w:t>2)支持分时段预约挂号；</w:t>
            </w:r>
          </w:p>
          <w:p>
            <w:pPr>
              <w:rPr>
                <w:rFonts w:hint="default" w:ascii="宋体" w:hAnsi="宋体" w:cs="宋体"/>
                <w:kern w:val="0"/>
                <w:sz w:val="24"/>
                <w:szCs w:val="24"/>
              </w:rPr>
            </w:pPr>
            <w:r>
              <w:rPr>
                <w:rFonts w:ascii="宋体" w:hAnsi="宋体" w:cs="宋体"/>
                <w:kern w:val="0"/>
                <w:sz w:val="24"/>
                <w:szCs w:val="24"/>
              </w:rPr>
              <w:t>3)支持与第三方系统对接，实现移动端预约、网络预约、自助预约等；</w:t>
            </w:r>
          </w:p>
          <w:p>
            <w:pPr>
              <w:rPr>
                <w:rFonts w:hint="default" w:ascii="宋体" w:hAnsi="宋体" w:cs="宋体"/>
                <w:kern w:val="0"/>
                <w:sz w:val="24"/>
                <w:szCs w:val="24"/>
              </w:rPr>
            </w:pPr>
            <w:r>
              <w:rPr>
                <w:rFonts w:ascii="宋体" w:hAnsi="宋体" w:cs="宋体"/>
                <w:kern w:val="0"/>
                <w:sz w:val="24"/>
                <w:szCs w:val="24"/>
              </w:rPr>
              <w:t>4)预约就诊当天，可根据预约密码到分诊处挂号登记排队。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8"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801" w:type="pct"/>
            <w:noWrap w:val="0"/>
            <w:vAlign w:val="center"/>
          </w:tcPr>
          <w:p>
            <w:pPr>
              <w:rPr>
                <w:rFonts w:hint="default" w:ascii="宋体" w:hAnsi="宋体" w:cs="宋体"/>
                <w:kern w:val="0"/>
                <w:sz w:val="24"/>
                <w:szCs w:val="24"/>
              </w:rPr>
            </w:pPr>
            <w:r>
              <w:rPr>
                <w:rFonts w:ascii="宋体" w:hAnsi="宋体" w:cs="宋体"/>
                <w:kern w:val="0"/>
                <w:sz w:val="24"/>
                <w:szCs w:val="24"/>
              </w:rPr>
              <w:t>挂号收费</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1)支持医保、自费等多种身份的病人挂号；</w:t>
            </w:r>
          </w:p>
          <w:p>
            <w:pPr>
              <w:rPr>
                <w:rFonts w:hint="default" w:ascii="宋体" w:hAnsi="宋体" w:cs="宋体"/>
                <w:kern w:val="0"/>
                <w:sz w:val="24"/>
                <w:szCs w:val="24"/>
              </w:rPr>
            </w:pPr>
            <w:r>
              <w:rPr>
                <w:rFonts w:ascii="宋体" w:hAnsi="宋体" w:cs="宋体"/>
                <w:kern w:val="0"/>
                <w:sz w:val="24"/>
                <w:szCs w:val="24"/>
              </w:rPr>
              <w:t>2)支持二代身份证、医保卡、居民健康卡、电子卡、就诊卡等多种卡类型完成挂号；</w:t>
            </w:r>
          </w:p>
          <w:p>
            <w:pPr>
              <w:rPr>
                <w:rFonts w:hint="default" w:ascii="宋体" w:hAnsi="宋体" w:cs="宋体"/>
                <w:kern w:val="0"/>
                <w:sz w:val="24"/>
                <w:szCs w:val="24"/>
              </w:rPr>
            </w:pPr>
            <w:r>
              <w:rPr>
                <w:rFonts w:ascii="宋体" w:hAnsi="宋体" w:cs="宋体"/>
                <w:kern w:val="0"/>
                <w:sz w:val="24"/>
                <w:szCs w:val="24"/>
              </w:rPr>
              <w:t>3)支持窗口挂号、分诊台分诊挂号、诊室挂号等多种挂号收费模式；</w:t>
            </w:r>
          </w:p>
          <w:p>
            <w:pPr>
              <w:rPr>
                <w:rFonts w:hint="default" w:ascii="宋体" w:hAnsi="宋体" w:cs="宋体"/>
                <w:kern w:val="0"/>
                <w:sz w:val="24"/>
                <w:szCs w:val="24"/>
              </w:rPr>
            </w:pPr>
            <w:r>
              <w:rPr>
                <w:rFonts w:ascii="宋体" w:hAnsi="宋体" w:cs="宋体"/>
                <w:kern w:val="0"/>
                <w:sz w:val="24"/>
                <w:szCs w:val="24"/>
              </w:rPr>
              <w:t>4)支持选择是否优惠挂号费、诊查费模式。</w:t>
            </w:r>
          </w:p>
          <w:p>
            <w:pPr>
              <w:rPr>
                <w:rFonts w:hint="default" w:ascii="宋体" w:hAnsi="宋体" w:cs="宋体"/>
                <w:kern w:val="0"/>
                <w:sz w:val="24"/>
                <w:szCs w:val="24"/>
              </w:rPr>
            </w:pPr>
            <w:r>
              <w:rPr>
                <w:rFonts w:ascii="宋体" w:hAnsi="宋体" w:cs="宋体"/>
                <w:kern w:val="0"/>
                <w:sz w:val="24"/>
                <w:szCs w:val="24"/>
              </w:rPr>
              <w:t>5)支持与第三方系统对接，实现自助挂号、线上挂号等业务。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3"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801" w:type="pct"/>
            <w:noWrap w:val="0"/>
            <w:vAlign w:val="center"/>
          </w:tcPr>
          <w:p>
            <w:pPr>
              <w:rPr>
                <w:rFonts w:hint="default" w:ascii="宋体" w:hAnsi="宋体" w:cs="宋体"/>
                <w:kern w:val="0"/>
                <w:sz w:val="24"/>
                <w:szCs w:val="24"/>
              </w:rPr>
            </w:pPr>
            <w:r>
              <w:rPr>
                <w:rFonts w:ascii="宋体" w:hAnsi="宋体" w:cs="宋体"/>
                <w:kern w:val="0"/>
                <w:sz w:val="24"/>
                <w:szCs w:val="24"/>
              </w:rPr>
              <w:t>挂号退费</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1)挂号之后，因为各种原因未能就诊，可以及时去退号；</w:t>
            </w:r>
          </w:p>
          <w:p>
            <w:pPr>
              <w:rPr>
                <w:rFonts w:hint="default" w:ascii="宋体" w:hAnsi="宋体" w:cs="宋体"/>
                <w:kern w:val="0"/>
                <w:sz w:val="24"/>
                <w:szCs w:val="24"/>
              </w:rPr>
            </w:pPr>
            <w:r>
              <w:rPr>
                <w:rFonts w:ascii="宋体" w:hAnsi="宋体" w:cs="宋体"/>
                <w:kern w:val="0"/>
                <w:sz w:val="24"/>
                <w:szCs w:val="24"/>
              </w:rPr>
              <w:t>2)支持窗口退号和分诊台退号。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801" w:type="pct"/>
            <w:noWrap w:val="0"/>
            <w:vAlign w:val="center"/>
          </w:tcPr>
          <w:p>
            <w:pPr>
              <w:rPr>
                <w:rFonts w:hint="default" w:ascii="宋体" w:hAnsi="宋体" w:cs="宋体"/>
                <w:kern w:val="0"/>
                <w:sz w:val="24"/>
                <w:szCs w:val="24"/>
              </w:rPr>
            </w:pPr>
            <w:r>
              <w:rPr>
                <w:rFonts w:ascii="宋体" w:hAnsi="宋体" w:cs="宋体"/>
                <w:kern w:val="0"/>
                <w:sz w:val="24"/>
                <w:szCs w:val="24"/>
              </w:rPr>
              <w:t>排班维护</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1)所见及所得的门诊医生排班维护功能，每周维护一次，支持复制上周功能，生成门诊医生排班表。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4"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801" w:type="pct"/>
            <w:noWrap w:val="0"/>
            <w:vAlign w:val="center"/>
          </w:tcPr>
          <w:p>
            <w:pPr>
              <w:rPr>
                <w:rFonts w:hint="default" w:ascii="宋体" w:hAnsi="宋体" w:cs="宋体"/>
                <w:kern w:val="0"/>
                <w:sz w:val="24"/>
                <w:szCs w:val="24"/>
              </w:rPr>
            </w:pPr>
            <w:r>
              <w:rPr>
                <w:rFonts w:ascii="宋体" w:hAnsi="宋体" w:cs="宋体"/>
                <w:kern w:val="0"/>
                <w:sz w:val="24"/>
                <w:szCs w:val="24"/>
              </w:rPr>
              <w:t>号表生成</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1)根据医生排班表生成号表；</w:t>
            </w:r>
          </w:p>
          <w:p>
            <w:pPr>
              <w:rPr>
                <w:rFonts w:hint="default" w:ascii="宋体" w:hAnsi="宋体" w:cs="宋体"/>
                <w:kern w:val="0"/>
                <w:sz w:val="24"/>
                <w:szCs w:val="24"/>
              </w:rPr>
            </w:pPr>
            <w:r>
              <w:rPr>
                <w:rFonts w:ascii="宋体" w:hAnsi="宋体" w:cs="宋体"/>
                <w:kern w:val="0"/>
                <w:sz w:val="24"/>
                <w:szCs w:val="24"/>
              </w:rPr>
              <w:t>2)挂号收费时根据生成的号表选择就诊医生。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801" w:type="pct"/>
            <w:noWrap w:val="0"/>
            <w:vAlign w:val="center"/>
          </w:tcPr>
          <w:p>
            <w:pPr>
              <w:rPr>
                <w:rFonts w:hint="default" w:ascii="宋体" w:hAnsi="宋体" w:cs="宋体"/>
                <w:kern w:val="0"/>
                <w:sz w:val="24"/>
                <w:szCs w:val="24"/>
              </w:rPr>
            </w:pPr>
            <w:r>
              <w:rPr>
                <w:rFonts w:ascii="宋体" w:hAnsi="宋体" w:cs="宋体"/>
                <w:kern w:val="0"/>
                <w:sz w:val="24"/>
                <w:szCs w:val="24"/>
              </w:rPr>
              <w:t>号表调整</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1)可根据医生实际情况临时调整号表；</w:t>
            </w:r>
          </w:p>
          <w:p>
            <w:pPr>
              <w:rPr>
                <w:rFonts w:hint="default" w:ascii="宋体" w:hAnsi="宋体" w:cs="宋体"/>
                <w:kern w:val="0"/>
                <w:sz w:val="24"/>
                <w:szCs w:val="24"/>
              </w:rPr>
            </w:pPr>
            <w:r>
              <w:rPr>
                <w:rFonts w:ascii="宋体" w:hAnsi="宋体" w:cs="宋体"/>
                <w:kern w:val="0"/>
                <w:sz w:val="24"/>
                <w:szCs w:val="24"/>
              </w:rPr>
              <w:t>2)设置就诊医生挂号状态，是正常还是暂停；</w:t>
            </w:r>
          </w:p>
          <w:p>
            <w:pPr>
              <w:rPr>
                <w:rFonts w:hint="default" w:ascii="宋体" w:hAnsi="宋体" w:cs="宋体"/>
                <w:kern w:val="0"/>
                <w:sz w:val="24"/>
                <w:szCs w:val="24"/>
              </w:rPr>
            </w:pPr>
            <w:r>
              <w:rPr>
                <w:rFonts w:ascii="宋体" w:hAnsi="宋体" w:cs="宋体"/>
                <w:kern w:val="0"/>
                <w:sz w:val="24"/>
                <w:szCs w:val="24"/>
              </w:rPr>
              <w:t>3)支持输入限制号、预约限号的数量。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4"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801" w:type="pct"/>
            <w:noWrap w:val="0"/>
            <w:vAlign w:val="center"/>
          </w:tcPr>
          <w:p>
            <w:pPr>
              <w:rPr>
                <w:rFonts w:hint="default" w:ascii="宋体" w:hAnsi="宋体" w:cs="宋体"/>
                <w:kern w:val="0"/>
                <w:sz w:val="24"/>
                <w:szCs w:val="24"/>
              </w:rPr>
            </w:pPr>
            <w:r>
              <w:rPr>
                <w:rFonts w:ascii="宋体" w:hAnsi="宋体" w:cs="宋体"/>
                <w:kern w:val="0"/>
                <w:sz w:val="24"/>
                <w:szCs w:val="24"/>
              </w:rPr>
              <w:t>分时段预约维护</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1)维护医生在每个时间段内允许预约的就诊人数，超过该人数则不能预约。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801" w:type="pct"/>
            <w:noWrap w:val="0"/>
            <w:vAlign w:val="center"/>
          </w:tcPr>
          <w:p>
            <w:pPr>
              <w:rPr>
                <w:rFonts w:hint="default" w:ascii="宋体" w:hAnsi="宋体" w:cs="宋体"/>
                <w:kern w:val="0"/>
                <w:sz w:val="24"/>
                <w:szCs w:val="24"/>
              </w:rPr>
            </w:pPr>
            <w:r>
              <w:rPr>
                <w:rFonts w:ascii="宋体" w:hAnsi="宋体" w:cs="宋体"/>
                <w:kern w:val="0"/>
                <w:sz w:val="24"/>
                <w:szCs w:val="24"/>
              </w:rPr>
              <w:t>个人结算</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1)汇总当前操作员本次从上班到下班期间的操作，一般操作员和财务部门对帐。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4"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801" w:type="pct"/>
            <w:noWrap w:val="0"/>
            <w:vAlign w:val="center"/>
          </w:tcPr>
          <w:p>
            <w:pPr>
              <w:rPr>
                <w:rFonts w:hint="default" w:ascii="宋体" w:hAnsi="宋体" w:cs="宋体"/>
                <w:kern w:val="0"/>
                <w:sz w:val="24"/>
                <w:szCs w:val="24"/>
              </w:rPr>
            </w:pPr>
            <w:r>
              <w:rPr>
                <w:rFonts w:ascii="宋体" w:hAnsi="宋体" w:cs="宋体"/>
                <w:kern w:val="0"/>
                <w:sz w:val="24"/>
                <w:szCs w:val="24"/>
              </w:rPr>
              <w:t>特殊挂号时段维护</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1)用于维护周末或节假日时间段信息，在该时间段内可以设置不用的优惠类型。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801" w:type="pct"/>
            <w:noWrap w:val="0"/>
            <w:vAlign w:val="center"/>
          </w:tcPr>
          <w:p>
            <w:pPr>
              <w:rPr>
                <w:rFonts w:hint="default" w:ascii="宋体" w:hAnsi="宋体" w:cs="宋体"/>
                <w:kern w:val="0"/>
                <w:sz w:val="24"/>
                <w:szCs w:val="24"/>
              </w:rPr>
            </w:pPr>
            <w:r>
              <w:rPr>
                <w:rFonts w:ascii="宋体" w:hAnsi="宋体" w:cs="宋体"/>
                <w:kern w:val="0"/>
                <w:sz w:val="24"/>
                <w:szCs w:val="24"/>
              </w:rPr>
              <w:t>预约挂号黑名单管理</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1)可将一定预约失约次数的患者加入黑名单，禁止其再次预约。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4"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801" w:type="pct"/>
            <w:noWrap w:val="0"/>
            <w:vAlign w:val="center"/>
          </w:tcPr>
          <w:p>
            <w:pPr>
              <w:rPr>
                <w:rFonts w:hint="default" w:ascii="宋体" w:hAnsi="宋体" w:cs="宋体"/>
                <w:kern w:val="0"/>
                <w:sz w:val="24"/>
                <w:szCs w:val="24"/>
              </w:rPr>
            </w:pPr>
            <w:r>
              <w:rPr>
                <w:rFonts w:ascii="宋体" w:hAnsi="宋体" w:cs="宋体"/>
                <w:kern w:val="0"/>
                <w:sz w:val="24"/>
                <w:szCs w:val="24"/>
              </w:rPr>
              <w:t>统计查询</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1)流水帐查询：查询病人的挂号流水账信息；</w:t>
            </w:r>
          </w:p>
          <w:p>
            <w:pPr>
              <w:rPr>
                <w:rFonts w:hint="default" w:ascii="宋体" w:hAnsi="宋体" w:cs="宋体"/>
                <w:kern w:val="0"/>
                <w:sz w:val="24"/>
                <w:szCs w:val="24"/>
              </w:rPr>
            </w:pPr>
            <w:r>
              <w:rPr>
                <w:rFonts w:ascii="宋体" w:hAnsi="宋体" w:cs="宋体"/>
                <w:kern w:val="0"/>
                <w:sz w:val="24"/>
                <w:szCs w:val="24"/>
              </w:rPr>
              <w:t>2)免挂号费明细查询：查询免挂号费病人的挂号明细信息；</w:t>
            </w:r>
          </w:p>
          <w:p>
            <w:pPr>
              <w:rPr>
                <w:rFonts w:hint="default" w:ascii="宋体" w:hAnsi="宋体" w:cs="宋体"/>
                <w:kern w:val="0"/>
                <w:sz w:val="24"/>
                <w:szCs w:val="24"/>
              </w:rPr>
            </w:pPr>
            <w:r>
              <w:rPr>
                <w:rFonts w:ascii="宋体" w:hAnsi="宋体" w:cs="宋体"/>
                <w:kern w:val="0"/>
                <w:sz w:val="24"/>
                <w:szCs w:val="24"/>
              </w:rPr>
              <w:t>3)就诊类型统计：统计一段时间内每个挂号科室不同就诊类型的挂号人次及金额；</w:t>
            </w:r>
          </w:p>
          <w:p>
            <w:pPr>
              <w:rPr>
                <w:rFonts w:hint="default" w:ascii="宋体" w:hAnsi="宋体" w:cs="宋体"/>
                <w:kern w:val="0"/>
                <w:sz w:val="24"/>
                <w:szCs w:val="24"/>
              </w:rPr>
            </w:pPr>
            <w:r>
              <w:rPr>
                <w:rFonts w:ascii="宋体" w:hAnsi="宋体" w:cs="宋体"/>
                <w:kern w:val="0"/>
                <w:sz w:val="24"/>
                <w:szCs w:val="24"/>
              </w:rPr>
              <w:t>4)退费流水账：查询退挂号费流水账信息；</w:t>
            </w:r>
          </w:p>
          <w:p>
            <w:pPr>
              <w:rPr>
                <w:rFonts w:hint="default" w:ascii="宋体" w:hAnsi="宋体" w:cs="宋体"/>
                <w:kern w:val="0"/>
                <w:sz w:val="24"/>
                <w:szCs w:val="24"/>
              </w:rPr>
            </w:pPr>
            <w:r>
              <w:rPr>
                <w:rFonts w:ascii="宋体" w:hAnsi="宋体" w:cs="宋体"/>
                <w:kern w:val="0"/>
                <w:sz w:val="24"/>
                <w:szCs w:val="24"/>
              </w:rPr>
              <w:t>5)预约挂号信息查询：查询预约挂号病人信息；</w:t>
            </w:r>
          </w:p>
          <w:p>
            <w:pPr>
              <w:rPr>
                <w:rFonts w:hint="default" w:ascii="宋体" w:hAnsi="宋体" w:cs="宋体"/>
                <w:kern w:val="0"/>
                <w:sz w:val="24"/>
                <w:szCs w:val="24"/>
              </w:rPr>
            </w:pPr>
            <w:r>
              <w:rPr>
                <w:rFonts w:ascii="宋体" w:hAnsi="宋体" w:cs="宋体"/>
                <w:kern w:val="0"/>
                <w:sz w:val="24"/>
                <w:szCs w:val="24"/>
              </w:rPr>
              <w:t>6)操作员结算：挂号操作员日结算，统计挂号、退号金额及人次；</w:t>
            </w:r>
          </w:p>
          <w:p>
            <w:pPr>
              <w:rPr>
                <w:rFonts w:hint="default" w:ascii="宋体" w:hAnsi="宋体" w:cs="宋体"/>
                <w:kern w:val="0"/>
                <w:sz w:val="24"/>
                <w:szCs w:val="24"/>
              </w:rPr>
            </w:pPr>
            <w:r>
              <w:rPr>
                <w:rFonts w:ascii="宋体" w:hAnsi="宋体" w:cs="宋体"/>
                <w:kern w:val="0"/>
                <w:sz w:val="24"/>
                <w:szCs w:val="24"/>
              </w:rPr>
              <w:t>7)操作员结算查询：用户查询操作员日结账信息；</w:t>
            </w:r>
          </w:p>
          <w:p>
            <w:pPr>
              <w:rPr>
                <w:rFonts w:hint="default" w:ascii="宋体" w:hAnsi="宋体" w:cs="宋体"/>
                <w:kern w:val="0"/>
                <w:sz w:val="24"/>
                <w:szCs w:val="24"/>
              </w:rPr>
            </w:pPr>
            <w:r>
              <w:rPr>
                <w:rFonts w:ascii="宋体" w:hAnsi="宋体" w:cs="宋体"/>
                <w:kern w:val="0"/>
                <w:sz w:val="24"/>
                <w:szCs w:val="24"/>
              </w:rPr>
              <w:t>8)挂号日报：用于统计一段时间内各挂号科室不同就诊类型的挂号和退号的人次及金额；</w:t>
            </w:r>
          </w:p>
          <w:p>
            <w:pPr>
              <w:rPr>
                <w:rFonts w:hint="default" w:ascii="宋体" w:hAnsi="宋体" w:cs="宋体"/>
                <w:kern w:val="0"/>
                <w:sz w:val="24"/>
                <w:szCs w:val="24"/>
              </w:rPr>
            </w:pPr>
            <w:r>
              <w:rPr>
                <w:rFonts w:ascii="宋体" w:hAnsi="宋体" w:cs="宋体"/>
                <w:kern w:val="0"/>
                <w:sz w:val="24"/>
                <w:szCs w:val="24"/>
              </w:rPr>
              <w:t>9)医师工作量；统计各科室医生的挂号人次及金额；</w:t>
            </w:r>
          </w:p>
          <w:p>
            <w:pPr>
              <w:rPr>
                <w:rFonts w:hint="default" w:ascii="宋体" w:hAnsi="宋体" w:cs="宋体"/>
                <w:kern w:val="0"/>
                <w:sz w:val="24"/>
                <w:szCs w:val="24"/>
              </w:rPr>
            </w:pPr>
            <w:r>
              <w:rPr>
                <w:rFonts w:ascii="宋体" w:hAnsi="宋体" w:cs="宋体"/>
                <w:kern w:val="0"/>
                <w:sz w:val="24"/>
                <w:szCs w:val="24"/>
              </w:rPr>
              <w:t>10)操作员工作量：;统计操作员挂号的人次及金额，支持按时间段和科室查询；</w:t>
            </w:r>
          </w:p>
          <w:p>
            <w:pPr>
              <w:rPr>
                <w:rFonts w:hint="default" w:ascii="宋体" w:hAnsi="宋体" w:cs="宋体"/>
                <w:kern w:val="0"/>
                <w:sz w:val="24"/>
                <w:szCs w:val="24"/>
              </w:rPr>
            </w:pPr>
            <w:r>
              <w:rPr>
                <w:rFonts w:ascii="宋体" w:hAnsi="宋体" w:cs="宋体"/>
                <w:kern w:val="0"/>
                <w:sz w:val="24"/>
                <w:szCs w:val="24"/>
              </w:rPr>
              <w:t>11)挂号人次统计表：统计一段时间内医生的挂号人次。</w:t>
            </w:r>
          </w:p>
        </w:tc>
      </w:tr>
    </w:tbl>
    <w:p>
      <w:pPr>
        <w:pStyle w:val="5"/>
        <w:numPr>
          <w:ilvl w:val="2"/>
          <w:numId w:val="5"/>
        </w:numPr>
        <w:spacing w:before="0" w:after="0" w:line="360" w:lineRule="auto"/>
        <w:rPr>
          <w:rFonts w:ascii="宋体" w:hAnsi="宋体"/>
        </w:rPr>
      </w:pPr>
      <w:bookmarkStart w:id="583" w:name="_Toc23078"/>
      <w:r>
        <w:rPr>
          <w:rFonts w:hint="eastAsia" w:ascii="宋体" w:hAnsi="宋体"/>
        </w:rPr>
        <w:t>门急诊收费系统</w:t>
      </w:r>
      <w:bookmarkEnd w:id="583"/>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1357"/>
        <w:gridCol w:w="6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blHeader/>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796"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780"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796" w:type="pct"/>
            <w:noWrap w:val="0"/>
            <w:vAlign w:val="center"/>
          </w:tcPr>
          <w:p>
            <w:pPr>
              <w:rPr>
                <w:rFonts w:hint="default" w:ascii="宋体" w:hAnsi="宋体" w:cs="宋体"/>
                <w:kern w:val="0"/>
                <w:sz w:val="24"/>
                <w:szCs w:val="24"/>
              </w:rPr>
            </w:pPr>
            <w:r>
              <w:rPr>
                <w:rFonts w:ascii="宋体" w:hAnsi="宋体" w:cs="宋体"/>
                <w:kern w:val="0"/>
                <w:sz w:val="24"/>
                <w:szCs w:val="24"/>
              </w:rPr>
              <w:t>划价收费</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1)支持通过读取患者二代身份证、医保卡、居民健康卡、电子卡、就诊卡等就诊介质调取患者费用信息，快速完成收费；</w:t>
            </w:r>
          </w:p>
          <w:p>
            <w:pPr>
              <w:rPr>
                <w:rFonts w:hint="default" w:ascii="宋体" w:hAnsi="宋体" w:cs="宋体"/>
                <w:kern w:val="0"/>
                <w:sz w:val="24"/>
                <w:szCs w:val="24"/>
              </w:rPr>
            </w:pPr>
            <w:r>
              <w:rPr>
                <w:rFonts w:ascii="宋体" w:hAnsi="宋体" w:cs="宋体"/>
                <w:kern w:val="0"/>
                <w:sz w:val="24"/>
                <w:szCs w:val="24"/>
              </w:rPr>
              <w:t>2)支持现金、就诊卡、线下扫码（微信和支付宝）、银联卡、医保卡等多种结算方式；</w:t>
            </w:r>
          </w:p>
          <w:p>
            <w:pPr>
              <w:rPr>
                <w:rFonts w:hint="default" w:ascii="宋体" w:hAnsi="宋体" w:cs="宋体"/>
                <w:kern w:val="0"/>
                <w:sz w:val="24"/>
                <w:szCs w:val="24"/>
              </w:rPr>
            </w:pPr>
            <w:r>
              <w:rPr>
                <w:rFonts w:ascii="宋体" w:hAnsi="宋体" w:cs="宋体"/>
                <w:kern w:val="0"/>
                <w:sz w:val="24"/>
                <w:szCs w:val="24"/>
              </w:rPr>
              <w:t>3)支持医保卡账户和就诊卡、现金混收功能；</w:t>
            </w:r>
          </w:p>
          <w:p>
            <w:pPr>
              <w:rPr>
                <w:rFonts w:hint="default" w:ascii="宋体" w:hAnsi="宋体" w:cs="宋体"/>
                <w:kern w:val="0"/>
                <w:sz w:val="24"/>
                <w:szCs w:val="24"/>
              </w:rPr>
            </w:pPr>
            <w:r>
              <w:rPr>
                <w:rFonts w:ascii="宋体" w:hAnsi="宋体" w:cs="宋体"/>
                <w:kern w:val="0"/>
                <w:sz w:val="24"/>
                <w:szCs w:val="24"/>
              </w:rPr>
              <w:t>4)支持多种优惠模式；</w:t>
            </w:r>
          </w:p>
          <w:p>
            <w:pPr>
              <w:rPr>
                <w:rFonts w:hint="default" w:ascii="宋体" w:hAnsi="宋体" w:cs="宋体"/>
                <w:kern w:val="0"/>
                <w:sz w:val="24"/>
                <w:szCs w:val="24"/>
              </w:rPr>
            </w:pPr>
            <w:r>
              <w:rPr>
                <w:rFonts w:ascii="宋体" w:hAnsi="宋体" w:cs="宋体"/>
                <w:kern w:val="0"/>
                <w:sz w:val="24"/>
                <w:szCs w:val="24"/>
              </w:rPr>
              <w:t>5)支持与医保系统对接，实时结算功能。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796" w:type="pct"/>
            <w:noWrap w:val="0"/>
            <w:vAlign w:val="center"/>
          </w:tcPr>
          <w:p>
            <w:pPr>
              <w:rPr>
                <w:rFonts w:hint="default" w:ascii="宋体" w:hAnsi="宋体" w:cs="宋体"/>
                <w:kern w:val="0"/>
                <w:sz w:val="24"/>
                <w:szCs w:val="24"/>
              </w:rPr>
            </w:pPr>
            <w:r>
              <w:rPr>
                <w:rFonts w:ascii="宋体" w:hAnsi="宋体" w:cs="宋体"/>
                <w:kern w:val="0"/>
                <w:sz w:val="24"/>
                <w:szCs w:val="24"/>
              </w:rPr>
              <w:t>退费</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1)支持部分退费和全部退费，保留操作全过程的记录。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796" w:type="pct"/>
            <w:noWrap w:val="0"/>
            <w:vAlign w:val="center"/>
          </w:tcPr>
          <w:p>
            <w:pPr>
              <w:rPr>
                <w:rFonts w:hint="default" w:ascii="宋体" w:hAnsi="宋体" w:cs="宋体"/>
                <w:kern w:val="0"/>
                <w:sz w:val="24"/>
                <w:szCs w:val="24"/>
              </w:rPr>
            </w:pPr>
            <w:r>
              <w:rPr>
                <w:rFonts w:ascii="宋体" w:hAnsi="宋体" w:cs="宋体"/>
                <w:kern w:val="0"/>
                <w:sz w:val="24"/>
                <w:szCs w:val="24"/>
              </w:rPr>
              <w:t>作废</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1)如果收费存盘之后由于打印机的问题造成发票不能正常打印或药房发药前发现药品处方划错，可以执行单据作废操作，作废只能在日结算之前进行。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796" w:type="pct"/>
            <w:noWrap w:val="0"/>
            <w:vAlign w:val="center"/>
          </w:tcPr>
          <w:p>
            <w:pPr>
              <w:rPr>
                <w:rFonts w:hint="default" w:ascii="宋体" w:hAnsi="宋体" w:cs="宋体"/>
                <w:kern w:val="0"/>
                <w:sz w:val="24"/>
                <w:szCs w:val="24"/>
              </w:rPr>
            </w:pPr>
            <w:r>
              <w:rPr>
                <w:rFonts w:ascii="宋体" w:hAnsi="宋体" w:cs="宋体"/>
                <w:kern w:val="0"/>
                <w:sz w:val="24"/>
                <w:szCs w:val="24"/>
              </w:rPr>
              <w:t>结算</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1)汇总当前操作员本次从上班到下班期间的操作，一般操作员和财务部门对帐；</w:t>
            </w:r>
          </w:p>
          <w:p>
            <w:pPr>
              <w:rPr>
                <w:rFonts w:hint="default" w:ascii="宋体" w:hAnsi="宋体" w:cs="宋体"/>
                <w:kern w:val="0"/>
                <w:sz w:val="24"/>
                <w:szCs w:val="24"/>
              </w:rPr>
            </w:pPr>
            <w:r>
              <w:rPr>
                <w:rFonts w:ascii="宋体" w:hAnsi="宋体" w:cs="宋体"/>
                <w:kern w:val="0"/>
                <w:sz w:val="24"/>
                <w:szCs w:val="24"/>
              </w:rPr>
              <w:t>2)打印机出现故障时可补打结算单；</w:t>
            </w:r>
          </w:p>
          <w:p>
            <w:pPr>
              <w:rPr>
                <w:rFonts w:hint="default" w:ascii="宋体" w:hAnsi="宋体" w:cs="宋体"/>
                <w:kern w:val="0"/>
                <w:sz w:val="24"/>
                <w:szCs w:val="24"/>
              </w:rPr>
            </w:pPr>
            <w:r>
              <w:rPr>
                <w:rFonts w:ascii="宋体" w:hAnsi="宋体" w:cs="宋体"/>
                <w:kern w:val="0"/>
                <w:sz w:val="24"/>
                <w:szCs w:val="24"/>
              </w:rPr>
              <w:t>3)退费作废浏览可查看自上次日结算以来的退费作废记录。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796" w:type="pct"/>
            <w:noWrap w:val="0"/>
            <w:vAlign w:val="center"/>
          </w:tcPr>
          <w:p>
            <w:pPr>
              <w:rPr>
                <w:rFonts w:hint="default" w:ascii="宋体" w:hAnsi="宋体" w:cs="宋体"/>
                <w:kern w:val="0"/>
                <w:sz w:val="24"/>
                <w:szCs w:val="24"/>
              </w:rPr>
            </w:pPr>
            <w:r>
              <w:rPr>
                <w:rFonts w:ascii="宋体" w:hAnsi="宋体" w:cs="宋体"/>
                <w:kern w:val="0"/>
                <w:sz w:val="24"/>
                <w:szCs w:val="24"/>
              </w:rPr>
              <w:t>汇总功能</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1)日结功能：完成日收费科目汇总，科目明细汇总，科室核算统计；</w:t>
            </w:r>
          </w:p>
          <w:p>
            <w:pPr>
              <w:rPr>
                <w:rFonts w:hint="default" w:ascii="宋体" w:hAnsi="宋体" w:cs="宋体"/>
                <w:kern w:val="0"/>
                <w:sz w:val="24"/>
                <w:szCs w:val="24"/>
              </w:rPr>
            </w:pPr>
            <w:r>
              <w:rPr>
                <w:rFonts w:ascii="宋体" w:hAnsi="宋体" w:cs="宋体"/>
                <w:kern w:val="0"/>
                <w:sz w:val="24"/>
                <w:szCs w:val="24"/>
              </w:rPr>
              <w:t>2)月结处理功能：须能完成全院月收费科目汇总，科室核算统计汇总；</w:t>
            </w:r>
          </w:p>
          <w:p>
            <w:pPr>
              <w:rPr>
                <w:rFonts w:hint="default" w:ascii="宋体" w:hAnsi="宋体" w:cs="宋体"/>
                <w:kern w:val="0"/>
                <w:sz w:val="24"/>
                <w:szCs w:val="24"/>
              </w:rPr>
            </w:pPr>
            <w:r>
              <w:rPr>
                <w:rFonts w:ascii="宋体" w:hAnsi="宋体" w:cs="宋体"/>
                <w:kern w:val="0"/>
                <w:sz w:val="24"/>
                <w:szCs w:val="24"/>
              </w:rPr>
              <w:t>3)全院门诊收费月、季、年报表处理功能。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796" w:type="pct"/>
            <w:noWrap w:val="0"/>
            <w:vAlign w:val="center"/>
          </w:tcPr>
          <w:p>
            <w:pPr>
              <w:rPr>
                <w:rFonts w:hint="default" w:ascii="宋体" w:hAnsi="宋体" w:cs="宋体"/>
                <w:kern w:val="0"/>
                <w:sz w:val="24"/>
                <w:szCs w:val="24"/>
              </w:rPr>
            </w:pPr>
            <w:r>
              <w:rPr>
                <w:rFonts w:ascii="宋体" w:hAnsi="宋体" w:cs="宋体"/>
                <w:kern w:val="0"/>
                <w:sz w:val="24"/>
                <w:szCs w:val="24"/>
              </w:rPr>
              <w:t>查询统计</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1)全部收费流水帐：支持查询某时间段内的三级收费项目信息；</w:t>
            </w:r>
          </w:p>
          <w:p>
            <w:pPr>
              <w:rPr>
                <w:rFonts w:hint="default" w:ascii="宋体" w:hAnsi="宋体" w:cs="宋体"/>
                <w:kern w:val="0"/>
                <w:sz w:val="24"/>
                <w:szCs w:val="24"/>
              </w:rPr>
            </w:pPr>
            <w:r>
              <w:rPr>
                <w:rFonts w:ascii="宋体" w:hAnsi="宋体" w:cs="宋体"/>
                <w:kern w:val="0"/>
                <w:sz w:val="24"/>
                <w:szCs w:val="24"/>
              </w:rPr>
              <w:t>2)个人收费流水帐：支持查询当前操作员在某时间段内的三级收费项目信息；</w:t>
            </w:r>
          </w:p>
          <w:p>
            <w:pPr>
              <w:rPr>
                <w:rFonts w:hint="default" w:ascii="宋体" w:hAnsi="宋体" w:cs="宋体"/>
                <w:kern w:val="0"/>
                <w:sz w:val="24"/>
                <w:szCs w:val="24"/>
              </w:rPr>
            </w:pPr>
            <w:r>
              <w:rPr>
                <w:rFonts w:ascii="宋体" w:hAnsi="宋体" w:cs="宋体"/>
                <w:kern w:val="0"/>
                <w:sz w:val="24"/>
                <w:szCs w:val="24"/>
              </w:rPr>
              <w:t>3)支付信息流水帐：支持查询某时间段内的支付信息流水账；</w:t>
            </w:r>
          </w:p>
          <w:p>
            <w:pPr>
              <w:rPr>
                <w:rFonts w:hint="default" w:ascii="宋体" w:hAnsi="宋体" w:cs="宋体"/>
                <w:kern w:val="0"/>
                <w:sz w:val="24"/>
                <w:szCs w:val="24"/>
              </w:rPr>
            </w:pPr>
            <w:r>
              <w:rPr>
                <w:rFonts w:ascii="宋体" w:hAnsi="宋体" w:cs="宋体"/>
                <w:kern w:val="0"/>
                <w:sz w:val="24"/>
                <w:szCs w:val="24"/>
              </w:rPr>
              <w:t>4)收费明细流水账：支持多条件查询某时间段内的患者费用明细流水账；</w:t>
            </w:r>
          </w:p>
          <w:p>
            <w:pPr>
              <w:rPr>
                <w:rFonts w:hint="default" w:ascii="宋体" w:hAnsi="宋体" w:cs="宋体"/>
                <w:kern w:val="0"/>
                <w:sz w:val="24"/>
                <w:szCs w:val="24"/>
              </w:rPr>
            </w:pPr>
            <w:r>
              <w:rPr>
                <w:rFonts w:ascii="宋体" w:hAnsi="宋体" w:cs="宋体"/>
                <w:kern w:val="0"/>
                <w:sz w:val="24"/>
                <w:szCs w:val="24"/>
              </w:rPr>
              <w:t>5)退费作废流水账：支持按时间段查询退费作废记录；</w:t>
            </w:r>
          </w:p>
          <w:p>
            <w:pPr>
              <w:rPr>
                <w:rFonts w:hint="default" w:ascii="宋体" w:hAnsi="宋体" w:cs="宋体"/>
                <w:kern w:val="0"/>
                <w:sz w:val="24"/>
                <w:szCs w:val="24"/>
              </w:rPr>
            </w:pPr>
            <w:r>
              <w:rPr>
                <w:rFonts w:ascii="宋体" w:hAnsi="宋体" w:cs="宋体"/>
                <w:kern w:val="0"/>
                <w:sz w:val="24"/>
                <w:szCs w:val="24"/>
              </w:rPr>
              <w:t>6)银联卡支付流水账：支持按时间段查询银联卡支付流水账；</w:t>
            </w:r>
          </w:p>
          <w:p>
            <w:pPr>
              <w:rPr>
                <w:rFonts w:hint="default" w:ascii="宋体" w:hAnsi="宋体" w:cs="宋体"/>
                <w:kern w:val="0"/>
                <w:sz w:val="24"/>
                <w:szCs w:val="24"/>
              </w:rPr>
            </w:pPr>
            <w:r>
              <w:rPr>
                <w:rFonts w:ascii="宋体" w:hAnsi="宋体" w:cs="宋体"/>
                <w:kern w:val="0"/>
                <w:sz w:val="24"/>
                <w:szCs w:val="24"/>
              </w:rPr>
              <w:t>7)发票打印查询：支持按时间段查询发票打印信息；</w:t>
            </w:r>
          </w:p>
          <w:p>
            <w:pPr>
              <w:rPr>
                <w:rFonts w:hint="default" w:ascii="宋体" w:hAnsi="宋体" w:cs="宋体"/>
                <w:kern w:val="0"/>
                <w:sz w:val="24"/>
                <w:szCs w:val="24"/>
              </w:rPr>
            </w:pPr>
            <w:r>
              <w:rPr>
                <w:rFonts w:ascii="宋体" w:hAnsi="宋体" w:cs="宋体"/>
                <w:kern w:val="0"/>
                <w:sz w:val="24"/>
                <w:szCs w:val="24"/>
              </w:rPr>
              <w:t>8)发票补打查询：支持按时间段查询发票补打记录；</w:t>
            </w:r>
          </w:p>
          <w:p>
            <w:pPr>
              <w:rPr>
                <w:rFonts w:hint="default" w:ascii="宋体" w:hAnsi="宋体" w:cs="宋体"/>
                <w:kern w:val="0"/>
                <w:sz w:val="24"/>
                <w:szCs w:val="24"/>
              </w:rPr>
            </w:pPr>
            <w:r>
              <w:rPr>
                <w:rFonts w:ascii="宋体" w:hAnsi="宋体" w:cs="宋体"/>
                <w:kern w:val="0"/>
                <w:sz w:val="24"/>
                <w:szCs w:val="24"/>
              </w:rPr>
              <w:t>9)医保收费结算单：支持按交易号查询医保患者费用结算信息；</w:t>
            </w:r>
          </w:p>
          <w:p>
            <w:pPr>
              <w:rPr>
                <w:rFonts w:hint="default" w:ascii="宋体" w:hAnsi="宋体" w:cs="宋体"/>
                <w:kern w:val="0"/>
                <w:sz w:val="24"/>
                <w:szCs w:val="24"/>
              </w:rPr>
            </w:pPr>
            <w:r>
              <w:rPr>
                <w:rFonts w:ascii="宋体" w:hAnsi="宋体" w:cs="宋体"/>
                <w:kern w:val="0"/>
                <w:sz w:val="24"/>
                <w:szCs w:val="24"/>
              </w:rPr>
              <w:t>10)操作员结算：用于操作员核对收款信息及确认交账凭证；</w:t>
            </w:r>
          </w:p>
          <w:p>
            <w:pPr>
              <w:rPr>
                <w:rFonts w:hint="default" w:ascii="宋体" w:hAnsi="宋体" w:cs="宋体"/>
                <w:kern w:val="0"/>
                <w:sz w:val="24"/>
                <w:szCs w:val="24"/>
              </w:rPr>
            </w:pPr>
            <w:r>
              <w:rPr>
                <w:rFonts w:ascii="宋体" w:hAnsi="宋体" w:cs="宋体"/>
                <w:kern w:val="0"/>
                <w:sz w:val="24"/>
                <w:szCs w:val="24"/>
              </w:rPr>
              <w:t>11)结算清单查询：用于打印操作员结算单；</w:t>
            </w:r>
          </w:p>
          <w:p>
            <w:pPr>
              <w:rPr>
                <w:rFonts w:hint="default" w:ascii="宋体" w:hAnsi="宋体" w:cs="宋体"/>
                <w:kern w:val="0"/>
                <w:sz w:val="24"/>
                <w:szCs w:val="24"/>
              </w:rPr>
            </w:pPr>
            <w:r>
              <w:rPr>
                <w:rFonts w:ascii="宋体" w:hAnsi="宋体" w:cs="宋体"/>
                <w:kern w:val="0"/>
                <w:sz w:val="24"/>
                <w:szCs w:val="24"/>
              </w:rPr>
              <w:t>12)操作员结算查询：支持按时间段查询操作员日结算信息；</w:t>
            </w:r>
          </w:p>
          <w:p>
            <w:pPr>
              <w:rPr>
                <w:rFonts w:hint="default" w:ascii="宋体" w:hAnsi="宋体" w:cs="宋体"/>
                <w:kern w:val="0"/>
                <w:sz w:val="24"/>
                <w:szCs w:val="24"/>
              </w:rPr>
            </w:pPr>
            <w:r>
              <w:rPr>
                <w:rFonts w:ascii="宋体" w:hAnsi="宋体" w:cs="宋体"/>
                <w:kern w:val="0"/>
                <w:sz w:val="24"/>
                <w:szCs w:val="24"/>
              </w:rPr>
              <w:t>13)操作员工作量：用于按结算时间查询操作员工作量；</w:t>
            </w:r>
          </w:p>
          <w:p>
            <w:pPr>
              <w:rPr>
                <w:rFonts w:hint="default" w:ascii="宋体" w:hAnsi="宋体" w:cs="宋体"/>
                <w:kern w:val="0"/>
                <w:sz w:val="24"/>
                <w:szCs w:val="24"/>
              </w:rPr>
            </w:pPr>
            <w:r>
              <w:rPr>
                <w:rFonts w:ascii="宋体" w:hAnsi="宋体" w:cs="宋体"/>
                <w:kern w:val="0"/>
                <w:sz w:val="24"/>
                <w:szCs w:val="24"/>
              </w:rPr>
              <w:t>14)门诊医药费结算表：特定医院使用；</w:t>
            </w:r>
          </w:p>
          <w:p>
            <w:pPr>
              <w:rPr>
                <w:rFonts w:hint="default" w:ascii="宋体" w:hAnsi="宋体" w:cs="宋体"/>
                <w:kern w:val="0"/>
                <w:sz w:val="24"/>
                <w:szCs w:val="24"/>
              </w:rPr>
            </w:pPr>
            <w:r>
              <w:rPr>
                <w:rFonts w:ascii="宋体" w:hAnsi="宋体" w:cs="宋体"/>
                <w:kern w:val="0"/>
                <w:sz w:val="24"/>
                <w:szCs w:val="24"/>
              </w:rPr>
              <w:t>15)收费项目汇总表：按财务项目统计医院收入；</w:t>
            </w:r>
          </w:p>
          <w:p>
            <w:pPr>
              <w:rPr>
                <w:rFonts w:hint="default" w:ascii="宋体" w:hAnsi="宋体" w:cs="宋体"/>
                <w:kern w:val="0"/>
                <w:sz w:val="24"/>
                <w:szCs w:val="24"/>
              </w:rPr>
            </w:pPr>
            <w:r>
              <w:rPr>
                <w:rFonts w:ascii="宋体" w:hAnsi="宋体" w:cs="宋体"/>
                <w:kern w:val="0"/>
                <w:sz w:val="24"/>
                <w:szCs w:val="24"/>
              </w:rPr>
              <w:t>16)执行科室收入汇总：按时间段统计、按执行科室统计医院收入；</w:t>
            </w:r>
          </w:p>
          <w:p>
            <w:pPr>
              <w:rPr>
                <w:rFonts w:hint="default" w:ascii="宋体" w:hAnsi="宋体" w:cs="宋体"/>
                <w:kern w:val="0"/>
                <w:sz w:val="24"/>
                <w:szCs w:val="24"/>
              </w:rPr>
            </w:pPr>
            <w:r>
              <w:rPr>
                <w:rFonts w:ascii="宋体" w:hAnsi="宋体" w:cs="宋体"/>
                <w:kern w:val="0"/>
                <w:sz w:val="24"/>
                <w:szCs w:val="24"/>
              </w:rPr>
              <w:t>17)医师工作量：按时间段统计医师开单收入；</w:t>
            </w:r>
          </w:p>
          <w:p>
            <w:pPr>
              <w:rPr>
                <w:rFonts w:hint="default" w:ascii="宋体" w:hAnsi="宋体" w:cs="宋体"/>
                <w:kern w:val="0"/>
                <w:sz w:val="24"/>
                <w:szCs w:val="24"/>
              </w:rPr>
            </w:pPr>
            <w:r>
              <w:rPr>
                <w:rFonts w:ascii="宋体" w:hAnsi="宋体" w:cs="宋体"/>
                <w:kern w:val="0"/>
                <w:sz w:val="24"/>
                <w:szCs w:val="24"/>
              </w:rPr>
              <w:t>18)医保病人费用统计：支持多条件统计医保病人费用信息；</w:t>
            </w:r>
          </w:p>
          <w:p>
            <w:pPr>
              <w:rPr>
                <w:rFonts w:hint="default" w:ascii="宋体" w:hAnsi="宋体" w:cs="宋体"/>
                <w:kern w:val="0"/>
                <w:sz w:val="24"/>
                <w:szCs w:val="24"/>
              </w:rPr>
            </w:pPr>
            <w:r>
              <w:rPr>
                <w:rFonts w:ascii="宋体" w:hAnsi="宋体" w:cs="宋体"/>
                <w:kern w:val="0"/>
                <w:sz w:val="24"/>
                <w:szCs w:val="24"/>
              </w:rPr>
              <w:t>19)门诊收入报表：按时间段统计门诊收入情况；</w:t>
            </w:r>
          </w:p>
          <w:p>
            <w:pPr>
              <w:rPr>
                <w:rFonts w:hint="default" w:ascii="宋体" w:hAnsi="宋体" w:cs="宋体"/>
                <w:kern w:val="0"/>
                <w:sz w:val="24"/>
                <w:szCs w:val="24"/>
              </w:rPr>
            </w:pPr>
            <w:r>
              <w:rPr>
                <w:rFonts w:ascii="宋体" w:hAnsi="宋体" w:cs="宋体"/>
                <w:kern w:val="0"/>
                <w:sz w:val="24"/>
                <w:szCs w:val="24"/>
              </w:rPr>
              <w:t>20)开单科室收入汇总：按时间段、按开单科室统计医院收入数据。</w:t>
            </w:r>
          </w:p>
        </w:tc>
      </w:tr>
    </w:tbl>
    <w:p>
      <w:pPr>
        <w:pStyle w:val="5"/>
        <w:numPr>
          <w:ilvl w:val="2"/>
          <w:numId w:val="5"/>
        </w:numPr>
        <w:spacing w:before="0" w:after="0" w:line="360" w:lineRule="auto"/>
        <w:rPr>
          <w:rFonts w:ascii="宋体" w:hAnsi="宋体"/>
        </w:rPr>
      </w:pPr>
      <w:bookmarkStart w:id="584" w:name="_Toc20646"/>
      <w:r>
        <w:rPr>
          <w:rFonts w:hint="eastAsia" w:ascii="宋体" w:hAnsi="宋体"/>
        </w:rPr>
        <w:t>门急诊医生站系统</w:t>
      </w:r>
      <w:bookmarkEnd w:id="584"/>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3"/>
        <w:gridCol w:w="1481"/>
        <w:gridCol w:w="6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7" w:hRule="atLeast"/>
          <w:tblHeader/>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86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707"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1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869" w:type="pct"/>
            <w:noWrap w:val="0"/>
            <w:vAlign w:val="center"/>
          </w:tcPr>
          <w:p>
            <w:pPr>
              <w:rPr>
                <w:rFonts w:hint="default" w:ascii="宋体" w:hAnsi="宋体" w:cs="宋体"/>
                <w:kern w:val="0"/>
                <w:sz w:val="24"/>
                <w:szCs w:val="24"/>
              </w:rPr>
            </w:pPr>
            <w:r>
              <w:rPr>
                <w:rFonts w:ascii="宋体" w:hAnsi="宋体" w:cs="宋体"/>
                <w:kern w:val="0"/>
                <w:sz w:val="24"/>
                <w:szCs w:val="24"/>
              </w:rPr>
              <w:t>患者接诊</w:t>
            </w:r>
          </w:p>
        </w:tc>
        <w:tc>
          <w:tcPr>
            <w:tcW w:w="3707" w:type="pct"/>
            <w:noWrap w:val="0"/>
            <w:vAlign w:val="center"/>
          </w:tcPr>
          <w:p>
            <w:pPr>
              <w:rPr>
                <w:rFonts w:hint="default" w:ascii="宋体" w:hAnsi="宋体" w:cs="宋体"/>
                <w:kern w:val="0"/>
                <w:sz w:val="24"/>
                <w:szCs w:val="24"/>
              </w:rPr>
            </w:pPr>
            <w:r>
              <w:rPr>
                <w:rFonts w:ascii="宋体" w:hAnsi="宋体" w:cs="宋体"/>
                <w:kern w:val="0"/>
                <w:sz w:val="24"/>
                <w:szCs w:val="24"/>
              </w:rPr>
              <w:t>1)支持预约就诊、初诊、复诊、回诊等多种就诊模式；</w:t>
            </w:r>
          </w:p>
          <w:p>
            <w:pPr>
              <w:rPr>
                <w:rFonts w:hint="default" w:ascii="宋体" w:hAnsi="宋体" w:cs="宋体"/>
                <w:kern w:val="0"/>
                <w:sz w:val="24"/>
                <w:szCs w:val="24"/>
              </w:rPr>
            </w:pPr>
            <w:r>
              <w:rPr>
                <w:rFonts w:ascii="宋体" w:hAnsi="宋体" w:cs="宋体"/>
                <w:kern w:val="0"/>
                <w:sz w:val="24"/>
                <w:szCs w:val="24"/>
              </w:rPr>
              <w:t>2) 一卡通病人刷卡，自动获取病人基本信息（包括门诊号、姓名、性别、病人类型等），选择或自动扣除挂号费、诊查费，实现挂号就诊；</w:t>
            </w:r>
          </w:p>
          <w:p>
            <w:pPr>
              <w:rPr>
                <w:rFonts w:hint="default" w:ascii="宋体" w:hAnsi="宋体" w:cs="宋体"/>
                <w:kern w:val="0"/>
                <w:sz w:val="24"/>
                <w:szCs w:val="24"/>
              </w:rPr>
            </w:pPr>
            <w:r>
              <w:rPr>
                <w:rFonts w:ascii="宋体" w:hAnsi="宋体" w:cs="宋体"/>
                <w:kern w:val="0"/>
                <w:sz w:val="24"/>
                <w:szCs w:val="24"/>
              </w:rPr>
              <w:t>3) 持手机端电子就诊卡就诊模式；</w:t>
            </w:r>
          </w:p>
          <w:p>
            <w:pPr>
              <w:rPr>
                <w:rFonts w:hint="default" w:ascii="宋体" w:hAnsi="宋体" w:cs="宋体"/>
                <w:kern w:val="0"/>
                <w:sz w:val="24"/>
                <w:szCs w:val="24"/>
              </w:rPr>
            </w:pPr>
            <w:r>
              <w:rPr>
                <w:rFonts w:ascii="宋体" w:hAnsi="宋体" w:cs="宋体"/>
                <w:kern w:val="0"/>
                <w:sz w:val="24"/>
                <w:szCs w:val="24"/>
              </w:rPr>
              <w:t>4) 支持无卡病人直接挂号，选择优惠挂号费或生成挂号费申请单，到门诊收费处交费。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153"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869" w:type="pct"/>
            <w:noWrap w:val="0"/>
            <w:vAlign w:val="center"/>
          </w:tcPr>
          <w:p>
            <w:pPr>
              <w:rPr>
                <w:rFonts w:hint="default" w:ascii="宋体" w:hAnsi="宋体" w:cs="宋体"/>
                <w:kern w:val="0"/>
                <w:sz w:val="24"/>
                <w:szCs w:val="24"/>
              </w:rPr>
            </w:pPr>
            <w:r>
              <w:rPr>
                <w:rFonts w:ascii="宋体" w:hAnsi="宋体" w:cs="宋体"/>
                <w:kern w:val="0"/>
                <w:sz w:val="24"/>
                <w:szCs w:val="24"/>
              </w:rPr>
              <w:t>书写门急诊病历</w:t>
            </w:r>
          </w:p>
        </w:tc>
        <w:tc>
          <w:tcPr>
            <w:tcW w:w="3707" w:type="pct"/>
            <w:noWrap w:val="0"/>
            <w:vAlign w:val="center"/>
          </w:tcPr>
          <w:p>
            <w:pPr>
              <w:rPr>
                <w:rFonts w:hint="default" w:ascii="宋体" w:hAnsi="宋体" w:cs="宋体"/>
                <w:kern w:val="0"/>
                <w:sz w:val="24"/>
                <w:szCs w:val="24"/>
              </w:rPr>
            </w:pPr>
            <w:r>
              <w:rPr>
                <w:rFonts w:ascii="宋体" w:hAnsi="宋体" w:cs="宋体"/>
                <w:kern w:val="0"/>
                <w:sz w:val="24"/>
                <w:szCs w:val="24"/>
              </w:rPr>
              <w:t>1)可以控制病历信息的那些内容必须输入，那些不需要输入；</w:t>
            </w:r>
          </w:p>
          <w:p>
            <w:pPr>
              <w:rPr>
                <w:rFonts w:hint="default" w:ascii="宋体" w:hAnsi="宋体" w:cs="宋体"/>
                <w:kern w:val="0"/>
                <w:sz w:val="24"/>
                <w:szCs w:val="24"/>
              </w:rPr>
            </w:pPr>
            <w:r>
              <w:rPr>
                <w:rFonts w:ascii="宋体" w:hAnsi="宋体" w:cs="宋体"/>
                <w:kern w:val="0"/>
                <w:sz w:val="24"/>
                <w:szCs w:val="24"/>
              </w:rPr>
              <w:t>2)可以控制病历到期后不让书写，只有通过申请后才可以书写，并记录；</w:t>
            </w:r>
          </w:p>
          <w:p>
            <w:pPr>
              <w:rPr>
                <w:rFonts w:hint="default" w:ascii="宋体" w:hAnsi="宋体" w:cs="宋体"/>
                <w:kern w:val="0"/>
                <w:sz w:val="24"/>
                <w:szCs w:val="24"/>
              </w:rPr>
            </w:pPr>
            <w:r>
              <w:rPr>
                <w:rFonts w:ascii="宋体" w:hAnsi="宋体" w:cs="宋体"/>
                <w:kern w:val="0"/>
                <w:sz w:val="24"/>
                <w:szCs w:val="24"/>
              </w:rPr>
              <w:t>3)支持病人以往病历信息的复制；</w:t>
            </w:r>
          </w:p>
          <w:p>
            <w:pPr>
              <w:rPr>
                <w:rFonts w:hint="default" w:ascii="宋体" w:hAnsi="宋体" w:cs="宋体"/>
                <w:kern w:val="0"/>
                <w:sz w:val="24"/>
                <w:szCs w:val="24"/>
              </w:rPr>
            </w:pPr>
            <w:r>
              <w:rPr>
                <w:rFonts w:ascii="宋体" w:hAnsi="宋体" w:cs="宋体"/>
                <w:kern w:val="0"/>
                <w:sz w:val="24"/>
                <w:szCs w:val="24"/>
              </w:rPr>
              <w:t>4)支持病历模版制作与维护。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869" w:type="pct"/>
            <w:noWrap w:val="0"/>
            <w:vAlign w:val="center"/>
          </w:tcPr>
          <w:p>
            <w:pPr>
              <w:rPr>
                <w:rFonts w:hint="default" w:ascii="宋体" w:hAnsi="宋体" w:cs="宋体"/>
                <w:kern w:val="0"/>
                <w:sz w:val="24"/>
                <w:szCs w:val="24"/>
              </w:rPr>
            </w:pPr>
            <w:r>
              <w:rPr>
                <w:rFonts w:ascii="宋体" w:hAnsi="宋体" w:cs="宋体"/>
                <w:kern w:val="0"/>
                <w:sz w:val="24"/>
                <w:szCs w:val="24"/>
              </w:rPr>
              <w:t>书写疾病诊断</w:t>
            </w:r>
          </w:p>
        </w:tc>
        <w:tc>
          <w:tcPr>
            <w:tcW w:w="3707" w:type="pct"/>
            <w:noWrap w:val="0"/>
            <w:vAlign w:val="center"/>
          </w:tcPr>
          <w:p>
            <w:pPr>
              <w:rPr>
                <w:rFonts w:hint="default" w:ascii="宋体" w:hAnsi="宋体" w:cs="宋体"/>
                <w:kern w:val="0"/>
                <w:sz w:val="24"/>
                <w:szCs w:val="24"/>
              </w:rPr>
            </w:pPr>
            <w:r>
              <w:rPr>
                <w:rFonts w:ascii="宋体" w:hAnsi="宋体" w:cs="宋体"/>
                <w:kern w:val="0"/>
                <w:sz w:val="24"/>
                <w:szCs w:val="24"/>
              </w:rPr>
              <w:t>1)包含一套标准最新疾病诊断库，支持书写中医诊断和西医诊断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1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869" w:type="pct"/>
            <w:noWrap w:val="0"/>
            <w:vAlign w:val="center"/>
          </w:tcPr>
          <w:p>
            <w:pPr>
              <w:rPr>
                <w:rFonts w:hint="default" w:ascii="宋体" w:hAnsi="宋体" w:cs="宋体"/>
                <w:kern w:val="0"/>
                <w:sz w:val="24"/>
                <w:szCs w:val="24"/>
              </w:rPr>
            </w:pPr>
            <w:r>
              <w:rPr>
                <w:rFonts w:ascii="宋体" w:hAnsi="宋体" w:cs="宋体"/>
                <w:kern w:val="0"/>
                <w:sz w:val="24"/>
                <w:szCs w:val="24"/>
              </w:rPr>
              <w:t>开立检验/检查单</w:t>
            </w:r>
          </w:p>
        </w:tc>
        <w:tc>
          <w:tcPr>
            <w:tcW w:w="3707" w:type="pct"/>
            <w:noWrap w:val="0"/>
            <w:vAlign w:val="center"/>
          </w:tcPr>
          <w:p>
            <w:pPr>
              <w:rPr>
                <w:rFonts w:hint="default" w:ascii="宋体" w:hAnsi="宋体" w:cs="宋体"/>
                <w:kern w:val="0"/>
                <w:sz w:val="24"/>
                <w:szCs w:val="24"/>
              </w:rPr>
            </w:pPr>
            <w:r>
              <w:rPr>
                <w:rFonts w:ascii="宋体" w:hAnsi="宋体" w:cs="宋体"/>
                <w:kern w:val="0"/>
                <w:sz w:val="24"/>
                <w:szCs w:val="24"/>
              </w:rPr>
              <w:t>1)一卡通病人支持开立检验/检查单后自动记账；</w:t>
            </w:r>
          </w:p>
          <w:p>
            <w:pPr>
              <w:rPr>
                <w:rFonts w:hint="default" w:ascii="宋体" w:hAnsi="宋体" w:cs="宋体"/>
                <w:kern w:val="0"/>
                <w:sz w:val="24"/>
                <w:szCs w:val="24"/>
              </w:rPr>
            </w:pPr>
            <w:r>
              <w:rPr>
                <w:rFonts w:ascii="宋体" w:hAnsi="宋体" w:cs="宋体"/>
                <w:kern w:val="0"/>
                <w:sz w:val="24"/>
                <w:szCs w:val="24"/>
              </w:rPr>
              <w:t>2)一卡通病人支持开立检验单时自动记抽血费；</w:t>
            </w:r>
          </w:p>
          <w:p>
            <w:pPr>
              <w:rPr>
                <w:rFonts w:hint="default" w:ascii="宋体" w:hAnsi="宋体" w:cs="宋体"/>
                <w:kern w:val="0"/>
                <w:sz w:val="24"/>
                <w:szCs w:val="24"/>
              </w:rPr>
            </w:pPr>
            <w:r>
              <w:rPr>
                <w:rFonts w:ascii="宋体" w:hAnsi="宋体" w:cs="宋体"/>
                <w:kern w:val="0"/>
                <w:sz w:val="24"/>
                <w:szCs w:val="24"/>
              </w:rPr>
              <w:t>3)支持开立检验/检查单后传入到相关医技科室；</w:t>
            </w:r>
          </w:p>
          <w:p>
            <w:pPr>
              <w:rPr>
                <w:rFonts w:hint="default" w:ascii="宋体" w:hAnsi="宋体" w:cs="宋体"/>
                <w:kern w:val="0"/>
                <w:sz w:val="24"/>
                <w:szCs w:val="24"/>
              </w:rPr>
            </w:pPr>
            <w:r>
              <w:rPr>
                <w:rFonts w:ascii="宋体" w:hAnsi="宋体" w:cs="宋体"/>
                <w:kern w:val="0"/>
                <w:sz w:val="24"/>
                <w:szCs w:val="24"/>
              </w:rPr>
              <w:t>4)支持未书写疾病诊断，不让开立检验/检查单；</w:t>
            </w:r>
          </w:p>
          <w:p>
            <w:pPr>
              <w:rPr>
                <w:rFonts w:hint="default" w:ascii="宋体" w:hAnsi="宋体" w:cs="宋体"/>
                <w:kern w:val="0"/>
                <w:sz w:val="24"/>
                <w:szCs w:val="24"/>
              </w:rPr>
            </w:pPr>
            <w:r>
              <w:rPr>
                <w:rFonts w:ascii="宋体" w:hAnsi="宋体" w:cs="宋体"/>
                <w:kern w:val="0"/>
                <w:sz w:val="24"/>
                <w:szCs w:val="24"/>
              </w:rPr>
              <w:t>5)支持以往检验/检查单的复制；</w:t>
            </w:r>
          </w:p>
          <w:p>
            <w:pPr>
              <w:rPr>
                <w:rFonts w:hint="default" w:ascii="宋体" w:hAnsi="宋体" w:cs="宋体"/>
                <w:kern w:val="0"/>
                <w:sz w:val="24"/>
                <w:szCs w:val="24"/>
              </w:rPr>
            </w:pPr>
            <w:r>
              <w:rPr>
                <w:rFonts w:ascii="宋体" w:hAnsi="宋体" w:cs="宋体"/>
                <w:kern w:val="0"/>
                <w:sz w:val="24"/>
                <w:szCs w:val="24"/>
              </w:rPr>
              <w:t>6)支持已开立检验/检查单的作废；</w:t>
            </w:r>
          </w:p>
          <w:p>
            <w:pPr>
              <w:rPr>
                <w:rFonts w:hint="default" w:ascii="宋体" w:hAnsi="宋体" w:cs="宋体"/>
                <w:kern w:val="0"/>
                <w:sz w:val="24"/>
                <w:szCs w:val="24"/>
              </w:rPr>
            </w:pPr>
            <w:r>
              <w:rPr>
                <w:rFonts w:ascii="宋体" w:hAnsi="宋体" w:cs="宋体"/>
                <w:kern w:val="0"/>
                <w:sz w:val="24"/>
                <w:szCs w:val="24"/>
              </w:rPr>
              <w:t>7)支持打印检验/检查申请单。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9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869" w:type="pct"/>
            <w:noWrap w:val="0"/>
            <w:vAlign w:val="center"/>
          </w:tcPr>
          <w:p>
            <w:pPr>
              <w:rPr>
                <w:rFonts w:hint="default" w:ascii="宋体" w:hAnsi="宋体" w:cs="宋体"/>
                <w:kern w:val="0"/>
                <w:sz w:val="24"/>
                <w:szCs w:val="24"/>
              </w:rPr>
            </w:pPr>
            <w:r>
              <w:rPr>
                <w:rFonts w:ascii="宋体" w:hAnsi="宋体" w:cs="宋体"/>
                <w:kern w:val="0"/>
                <w:sz w:val="24"/>
                <w:szCs w:val="24"/>
              </w:rPr>
              <w:t>开立处置单</w:t>
            </w:r>
          </w:p>
        </w:tc>
        <w:tc>
          <w:tcPr>
            <w:tcW w:w="3707" w:type="pct"/>
            <w:noWrap w:val="0"/>
            <w:vAlign w:val="center"/>
          </w:tcPr>
          <w:p>
            <w:pPr>
              <w:rPr>
                <w:rFonts w:hint="default" w:ascii="宋体" w:hAnsi="宋体" w:cs="宋体"/>
                <w:kern w:val="0"/>
                <w:sz w:val="24"/>
                <w:szCs w:val="24"/>
              </w:rPr>
            </w:pPr>
            <w:r>
              <w:rPr>
                <w:rFonts w:ascii="宋体" w:hAnsi="宋体" w:cs="宋体"/>
                <w:kern w:val="0"/>
                <w:sz w:val="24"/>
                <w:szCs w:val="24"/>
              </w:rPr>
              <w:t>1)一卡通病人支持开立处置单后自动记账；</w:t>
            </w:r>
          </w:p>
          <w:p>
            <w:pPr>
              <w:rPr>
                <w:rFonts w:hint="default" w:ascii="宋体" w:hAnsi="宋体" w:cs="宋体"/>
                <w:kern w:val="0"/>
                <w:sz w:val="24"/>
                <w:szCs w:val="24"/>
              </w:rPr>
            </w:pPr>
            <w:r>
              <w:rPr>
                <w:rFonts w:ascii="宋体" w:hAnsi="宋体" w:cs="宋体"/>
                <w:kern w:val="0"/>
                <w:sz w:val="24"/>
                <w:szCs w:val="24"/>
              </w:rPr>
              <w:t>2)支持未书写疾病诊断，不让开立检验单；</w:t>
            </w:r>
          </w:p>
          <w:p>
            <w:pPr>
              <w:rPr>
                <w:rFonts w:hint="default" w:ascii="宋体" w:hAnsi="宋体" w:cs="宋体"/>
                <w:kern w:val="0"/>
                <w:sz w:val="24"/>
                <w:szCs w:val="24"/>
              </w:rPr>
            </w:pPr>
            <w:r>
              <w:rPr>
                <w:rFonts w:ascii="宋体" w:hAnsi="宋体" w:cs="宋体"/>
                <w:kern w:val="0"/>
                <w:sz w:val="24"/>
                <w:szCs w:val="24"/>
              </w:rPr>
              <w:t>3)支持以往处置单的复制；</w:t>
            </w:r>
          </w:p>
          <w:p>
            <w:pPr>
              <w:rPr>
                <w:rFonts w:hint="default" w:ascii="宋体" w:hAnsi="宋体" w:cs="宋体"/>
                <w:kern w:val="0"/>
                <w:sz w:val="24"/>
                <w:szCs w:val="24"/>
              </w:rPr>
            </w:pPr>
            <w:r>
              <w:rPr>
                <w:rFonts w:ascii="宋体" w:hAnsi="宋体" w:cs="宋体"/>
                <w:kern w:val="0"/>
                <w:sz w:val="24"/>
                <w:szCs w:val="24"/>
              </w:rPr>
              <w:t>4)支持已开立处置单的作废；</w:t>
            </w:r>
          </w:p>
          <w:p>
            <w:pPr>
              <w:rPr>
                <w:rFonts w:hint="default" w:ascii="宋体" w:hAnsi="宋体" w:cs="宋体"/>
                <w:kern w:val="0"/>
                <w:sz w:val="24"/>
                <w:szCs w:val="24"/>
              </w:rPr>
            </w:pPr>
            <w:r>
              <w:rPr>
                <w:rFonts w:ascii="宋体" w:hAnsi="宋体" w:cs="宋体"/>
                <w:kern w:val="0"/>
                <w:sz w:val="24"/>
                <w:szCs w:val="24"/>
              </w:rPr>
              <w:t>5)支持打印处置单。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929"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869" w:type="pct"/>
            <w:noWrap w:val="0"/>
            <w:vAlign w:val="center"/>
          </w:tcPr>
          <w:p>
            <w:pPr>
              <w:rPr>
                <w:rFonts w:hint="default" w:ascii="宋体" w:hAnsi="宋体" w:cs="宋体"/>
                <w:kern w:val="0"/>
                <w:sz w:val="24"/>
                <w:szCs w:val="24"/>
              </w:rPr>
            </w:pPr>
            <w:r>
              <w:rPr>
                <w:rFonts w:ascii="宋体" w:hAnsi="宋体" w:cs="宋体"/>
                <w:kern w:val="0"/>
                <w:sz w:val="24"/>
                <w:szCs w:val="24"/>
              </w:rPr>
              <w:t>开立处方</w:t>
            </w:r>
          </w:p>
        </w:tc>
        <w:tc>
          <w:tcPr>
            <w:tcW w:w="3707" w:type="pct"/>
            <w:noWrap w:val="0"/>
            <w:vAlign w:val="center"/>
          </w:tcPr>
          <w:p>
            <w:pPr>
              <w:rPr>
                <w:rFonts w:hint="default" w:ascii="宋体" w:hAnsi="宋体" w:cs="宋体"/>
                <w:kern w:val="0"/>
                <w:sz w:val="24"/>
                <w:szCs w:val="24"/>
              </w:rPr>
            </w:pPr>
            <w:r>
              <w:rPr>
                <w:rFonts w:ascii="宋体" w:hAnsi="宋体" w:cs="宋体"/>
                <w:kern w:val="0"/>
                <w:sz w:val="24"/>
                <w:szCs w:val="24"/>
              </w:rPr>
              <w:t>1)一卡通病人支持开立处方后不扣除药费或扣除药费；</w:t>
            </w:r>
          </w:p>
          <w:p>
            <w:pPr>
              <w:rPr>
                <w:rFonts w:hint="default" w:ascii="宋体" w:hAnsi="宋体" w:cs="宋体"/>
                <w:kern w:val="0"/>
                <w:sz w:val="24"/>
                <w:szCs w:val="24"/>
              </w:rPr>
            </w:pPr>
            <w:r>
              <w:rPr>
                <w:rFonts w:ascii="宋体" w:hAnsi="宋体" w:cs="宋体"/>
                <w:kern w:val="0"/>
                <w:sz w:val="24"/>
                <w:szCs w:val="24"/>
              </w:rPr>
              <w:t>2)支持未书写疾病诊断的病人，不让开立处方单；</w:t>
            </w:r>
          </w:p>
          <w:p>
            <w:pPr>
              <w:rPr>
                <w:rFonts w:hint="default" w:ascii="宋体" w:hAnsi="宋体" w:cs="宋体"/>
                <w:kern w:val="0"/>
                <w:sz w:val="24"/>
                <w:szCs w:val="24"/>
              </w:rPr>
            </w:pPr>
            <w:r>
              <w:rPr>
                <w:rFonts w:ascii="宋体" w:hAnsi="宋体" w:cs="宋体"/>
                <w:kern w:val="0"/>
                <w:sz w:val="24"/>
                <w:szCs w:val="24"/>
              </w:rPr>
              <w:t>3)支持自备药药品的开立；</w:t>
            </w:r>
          </w:p>
          <w:p>
            <w:pPr>
              <w:rPr>
                <w:rFonts w:hint="default" w:ascii="宋体" w:hAnsi="宋体" w:cs="宋体"/>
                <w:kern w:val="0"/>
                <w:sz w:val="24"/>
                <w:szCs w:val="24"/>
              </w:rPr>
            </w:pPr>
            <w:r>
              <w:rPr>
                <w:rFonts w:ascii="宋体" w:hAnsi="宋体" w:cs="宋体"/>
                <w:kern w:val="0"/>
                <w:sz w:val="24"/>
                <w:szCs w:val="24"/>
              </w:rPr>
              <w:t>4)毒麻药品、贵重药品提示、药房药品库存限制或有库存数量提示；</w:t>
            </w:r>
          </w:p>
          <w:p>
            <w:pPr>
              <w:rPr>
                <w:rFonts w:hint="default" w:ascii="宋体" w:hAnsi="宋体" w:cs="宋体"/>
                <w:kern w:val="0"/>
                <w:sz w:val="24"/>
                <w:szCs w:val="24"/>
              </w:rPr>
            </w:pPr>
            <w:r>
              <w:rPr>
                <w:rFonts w:ascii="宋体" w:hAnsi="宋体" w:cs="宋体"/>
                <w:kern w:val="0"/>
                <w:sz w:val="24"/>
                <w:szCs w:val="24"/>
              </w:rPr>
              <w:t>5)药品合理用药监测软件进行配伍禁忌提示；</w:t>
            </w:r>
          </w:p>
          <w:p>
            <w:pPr>
              <w:rPr>
                <w:rFonts w:hint="default" w:ascii="宋体" w:hAnsi="宋体" w:cs="宋体"/>
                <w:kern w:val="0"/>
                <w:sz w:val="24"/>
                <w:szCs w:val="24"/>
              </w:rPr>
            </w:pPr>
            <w:r>
              <w:rPr>
                <w:rFonts w:ascii="宋体" w:hAnsi="宋体" w:cs="宋体"/>
                <w:kern w:val="0"/>
                <w:sz w:val="24"/>
                <w:szCs w:val="24"/>
              </w:rPr>
              <w:t>6)权限管理，不同级别的医生拥有不同的开方权限。有开“红处方”权限的医生才可以开出像杜冷丁之类的毒麻限制药。在抗生素药物方面，不同级别的医生开出不同级别的抗生素药；</w:t>
            </w:r>
          </w:p>
          <w:p>
            <w:pPr>
              <w:rPr>
                <w:rFonts w:hint="default" w:ascii="宋体" w:hAnsi="宋体" w:cs="宋体"/>
                <w:kern w:val="0"/>
                <w:sz w:val="24"/>
                <w:szCs w:val="24"/>
              </w:rPr>
            </w:pPr>
            <w:r>
              <w:rPr>
                <w:rFonts w:ascii="宋体" w:hAnsi="宋体" w:cs="宋体"/>
                <w:kern w:val="0"/>
                <w:sz w:val="24"/>
                <w:szCs w:val="24"/>
              </w:rPr>
              <w:t>7)医生输入处方信息，字典方式或模板方式。处方模板可以基于医生个人、医疗组、科室及全院分级建立。处方模板可根据医生自己的习惯建立，可以按照一种疾病，也可以按照身体部位进行维护各类电子处方模板；</w:t>
            </w:r>
          </w:p>
          <w:p>
            <w:pPr>
              <w:rPr>
                <w:rFonts w:hint="default" w:ascii="宋体" w:hAnsi="宋体" w:cs="宋体"/>
                <w:kern w:val="0"/>
                <w:sz w:val="24"/>
                <w:szCs w:val="24"/>
              </w:rPr>
            </w:pPr>
            <w:r>
              <w:rPr>
                <w:rFonts w:ascii="宋体" w:hAnsi="宋体" w:cs="宋体"/>
                <w:kern w:val="0"/>
                <w:sz w:val="24"/>
                <w:szCs w:val="24"/>
              </w:rPr>
              <w:t>8)在药品处方录入时既支持商品名、通用名也支持化学名，之间应能提供互相转换。在打印电子处方上统一用一种药品名称；</w:t>
            </w:r>
          </w:p>
          <w:p>
            <w:pPr>
              <w:rPr>
                <w:rFonts w:hint="default" w:ascii="宋体" w:hAnsi="宋体" w:cs="宋体"/>
                <w:kern w:val="0"/>
                <w:sz w:val="24"/>
                <w:szCs w:val="24"/>
              </w:rPr>
            </w:pPr>
            <w:r>
              <w:rPr>
                <w:rFonts w:ascii="宋体" w:hAnsi="宋体" w:cs="宋体"/>
                <w:kern w:val="0"/>
                <w:sz w:val="24"/>
                <w:szCs w:val="24"/>
              </w:rPr>
              <w:t>9)打印出的电子处方除正确反映医生处方外，还应能反应出病人的医保身份，诊断。能反应出毒麻处方、精神类药等不同药品属性的不同处方；</w:t>
            </w:r>
          </w:p>
          <w:p>
            <w:pPr>
              <w:rPr>
                <w:rFonts w:hint="default" w:ascii="宋体" w:hAnsi="宋体" w:cs="宋体"/>
                <w:kern w:val="0"/>
                <w:sz w:val="24"/>
                <w:szCs w:val="24"/>
              </w:rPr>
            </w:pPr>
            <w:r>
              <w:rPr>
                <w:rFonts w:ascii="宋体" w:hAnsi="宋体" w:cs="宋体"/>
                <w:kern w:val="0"/>
                <w:sz w:val="24"/>
                <w:szCs w:val="24"/>
              </w:rPr>
              <w:t>10)处方上的药品价格可以在医生站反映；</w:t>
            </w:r>
          </w:p>
          <w:p>
            <w:pPr>
              <w:rPr>
                <w:rFonts w:hint="default" w:ascii="宋体" w:hAnsi="宋体" w:cs="宋体"/>
                <w:kern w:val="0"/>
                <w:sz w:val="24"/>
                <w:szCs w:val="24"/>
              </w:rPr>
            </w:pPr>
            <w:r>
              <w:rPr>
                <w:rFonts w:ascii="宋体" w:hAnsi="宋体" w:cs="宋体"/>
                <w:kern w:val="0"/>
                <w:sz w:val="24"/>
                <w:szCs w:val="24"/>
              </w:rPr>
              <w:t>11)药品包装自动计算功能；</w:t>
            </w:r>
          </w:p>
          <w:p>
            <w:pPr>
              <w:rPr>
                <w:rFonts w:hint="default" w:ascii="宋体" w:hAnsi="宋体" w:cs="宋体"/>
                <w:kern w:val="0"/>
                <w:sz w:val="24"/>
                <w:szCs w:val="24"/>
              </w:rPr>
            </w:pPr>
            <w:r>
              <w:rPr>
                <w:rFonts w:ascii="宋体" w:hAnsi="宋体" w:cs="宋体"/>
                <w:kern w:val="0"/>
                <w:sz w:val="24"/>
                <w:szCs w:val="24"/>
              </w:rPr>
              <w:t>12)支持病人处方的复制功能；</w:t>
            </w:r>
          </w:p>
          <w:p>
            <w:pPr>
              <w:rPr>
                <w:rFonts w:hint="default" w:ascii="宋体" w:hAnsi="宋体" w:cs="宋体"/>
                <w:kern w:val="0"/>
                <w:sz w:val="24"/>
                <w:szCs w:val="24"/>
              </w:rPr>
            </w:pPr>
            <w:r>
              <w:rPr>
                <w:rFonts w:ascii="宋体" w:hAnsi="宋体" w:cs="宋体"/>
                <w:kern w:val="0"/>
                <w:sz w:val="24"/>
                <w:szCs w:val="24"/>
              </w:rPr>
              <w:t>13)支持已开立处方的作废。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35"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869" w:type="pct"/>
            <w:noWrap w:val="0"/>
            <w:vAlign w:val="center"/>
          </w:tcPr>
          <w:p>
            <w:pPr>
              <w:rPr>
                <w:rFonts w:hint="default" w:ascii="宋体" w:hAnsi="宋体" w:cs="宋体"/>
                <w:kern w:val="0"/>
                <w:sz w:val="24"/>
                <w:szCs w:val="24"/>
              </w:rPr>
            </w:pPr>
            <w:r>
              <w:rPr>
                <w:rFonts w:ascii="宋体" w:hAnsi="宋体" w:cs="宋体"/>
                <w:kern w:val="0"/>
                <w:sz w:val="24"/>
                <w:szCs w:val="24"/>
              </w:rPr>
              <w:t>开立住院证</w:t>
            </w:r>
          </w:p>
        </w:tc>
        <w:tc>
          <w:tcPr>
            <w:tcW w:w="3707" w:type="pct"/>
            <w:noWrap w:val="0"/>
            <w:vAlign w:val="center"/>
          </w:tcPr>
          <w:p>
            <w:pPr>
              <w:rPr>
                <w:rFonts w:hint="default" w:ascii="宋体" w:hAnsi="宋体" w:cs="宋体"/>
                <w:kern w:val="0"/>
                <w:sz w:val="24"/>
                <w:szCs w:val="24"/>
              </w:rPr>
            </w:pPr>
            <w:r>
              <w:rPr>
                <w:rFonts w:ascii="宋体" w:hAnsi="宋体" w:cs="宋体"/>
                <w:kern w:val="0"/>
                <w:sz w:val="24"/>
                <w:szCs w:val="24"/>
              </w:rPr>
              <w:t>1)能够开立住院证，传递到住院处，进行调取电子入院证办理入院手续；</w:t>
            </w:r>
          </w:p>
          <w:p>
            <w:pPr>
              <w:rPr>
                <w:rFonts w:hint="default" w:ascii="宋体" w:hAnsi="宋体" w:cs="宋体"/>
                <w:kern w:val="0"/>
                <w:sz w:val="24"/>
                <w:szCs w:val="24"/>
              </w:rPr>
            </w:pPr>
            <w:r>
              <w:rPr>
                <w:rFonts w:ascii="宋体" w:hAnsi="宋体" w:cs="宋体"/>
                <w:kern w:val="0"/>
                <w:sz w:val="24"/>
                <w:szCs w:val="24"/>
              </w:rPr>
              <w:t>2)可以查看各个病区的床位信息；</w:t>
            </w:r>
          </w:p>
          <w:p>
            <w:pPr>
              <w:rPr>
                <w:rFonts w:hint="default" w:ascii="宋体" w:hAnsi="宋体" w:cs="宋体"/>
                <w:kern w:val="0"/>
                <w:sz w:val="24"/>
                <w:szCs w:val="24"/>
              </w:rPr>
            </w:pPr>
            <w:r>
              <w:rPr>
                <w:rFonts w:ascii="宋体" w:hAnsi="宋体" w:cs="宋体"/>
                <w:kern w:val="0"/>
                <w:sz w:val="24"/>
                <w:szCs w:val="24"/>
              </w:rPr>
              <w:t>3)支持打印入院证。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869" w:type="pct"/>
            <w:noWrap w:val="0"/>
            <w:vAlign w:val="center"/>
          </w:tcPr>
          <w:p>
            <w:pPr>
              <w:rPr>
                <w:rFonts w:hint="default" w:ascii="宋体" w:hAnsi="宋体" w:cs="宋体"/>
                <w:kern w:val="0"/>
                <w:sz w:val="24"/>
                <w:szCs w:val="24"/>
              </w:rPr>
            </w:pPr>
            <w:r>
              <w:rPr>
                <w:rFonts w:ascii="宋体" w:hAnsi="宋体" w:cs="宋体"/>
                <w:kern w:val="0"/>
                <w:sz w:val="24"/>
                <w:szCs w:val="24"/>
              </w:rPr>
              <w:t>开立诊断证明</w:t>
            </w:r>
          </w:p>
        </w:tc>
        <w:tc>
          <w:tcPr>
            <w:tcW w:w="3707" w:type="pct"/>
            <w:noWrap w:val="0"/>
            <w:vAlign w:val="center"/>
          </w:tcPr>
          <w:p>
            <w:pPr>
              <w:rPr>
                <w:rFonts w:hint="default" w:ascii="宋体" w:hAnsi="宋体" w:cs="宋体"/>
                <w:kern w:val="0"/>
                <w:sz w:val="24"/>
                <w:szCs w:val="24"/>
              </w:rPr>
            </w:pPr>
            <w:r>
              <w:rPr>
                <w:rFonts w:ascii="宋体" w:hAnsi="宋体" w:cs="宋体"/>
                <w:kern w:val="0"/>
                <w:sz w:val="24"/>
                <w:szCs w:val="24"/>
              </w:rPr>
              <w:t>1)支持开立电子的诊断证明并打印。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869" w:type="pct"/>
            <w:noWrap w:val="0"/>
            <w:vAlign w:val="center"/>
          </w:tcPr>
          <w:p>
            <w:pPr>
              <w:rPr>
                <w:rFonts w:hint="default" w:ascii="宋体" w:hAnsi="宋体" w:cs="宋体"/>
                <w:kern w:val="0"/>
                <w:sz w:val="24"/>
                <w:szCs w:val="24"/>
              </w:rPr>
            </w:pPr>
            <w:r>
              <w:rPr>
                <w:rFonts w:ascii="宋体" w:hAnsi="宋体" w:cs="宋体"/>
                <w:kern w:val="0"/>
                <w:sz w:val="24"/>
                <w:szCs w:val="24"/>
              </w:rPr>
              <w:t>组套项目的开立</w:t>
            </w:r>
          </w:p>
        </w:tc>
        <w:tc>
          <w:tcPr>
            <w:tcW w:w="3707" w:type="pct"/>
            <w:noWrap w:val="0"/>
            <w:vAlign w:val="center"/>
          </w:tcPr>
          <w:p>
            <w:pPr>
              <w:rPr>
                <w:rFonts w:hint="default" w:ascii="宋体" w:hAnsi="宋体" w:cs="宋体"/>
                <w:kern w:val="0"/>
                <w:sz w:val="24"/>
                <w:szCs w:val="24"/>
              </w:rPr>
            </w:pPr>
            <w:r>
              <w:rPr>
                <w:rFonts w:ascii="宋体" w:hAnsi="宋体" w:cs="宋体"/>
                <w:kern w:val="0"/>
                <w:sz w:val="24"/>
                <w:szCs w:val="24"/>
              </w:rPr>
              <w:t>1)根据病种组合处置、检查、检验项目，可以一次性开立组套信息。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869" w:type="pct"/>
            <w:noWrap w:val="0"/>
            <w:vAlign w:val="center"/>
          </w:tcPr>
          <w:p>
            <w:pPr>
              <w:rPr>
                <w:rFonts w:hint="default" w:ascii="宋体" w:hAnsi="宋体" w:cs="宋体"/>
                <w:kern w:val="0"/>
                <w:sz w:val="24"/>
                <w:szCs w:val="24"/>
              </w:rPr>
            </w:pPr>
            <w:r>
              <w:rPr>
                <w:rFonts w:ascii="宋体" w:hAnsi="宋体" w:cs="宋体"/>
                <w:kern w:val="0"/>
                <w:sz w:val="24"/>
                <w:szCs w:val="24"/>
              </w:rPr>
              <w:t>门诊预约</w:t>
            </w:r>
          </w:p>
        </w:tc>
        <w:tc>
          <w:tcPr>
            <w:tcW w:w="3707" w:type="pct"/>
            <w:noWrap w:val="0"/>
            <w:vAlign w:val="center"/>
          </w:tcPr>
          <w:p>
            <w:pPr>
              <w:rPr>
                <w:rFonts w:hint="default" w:ascii="宋体" w:hAnsi="宋体" w:cs="宋体"/>
                <w:kern w:val="0"/>
                <w:sz w:val="24"/>
                <w:szCs w:val="24"/>
              </w:rPr>
            </w:pPr>
            <w:r>
              <w:rPr>
                <w:rFonts w:ascii="宋体" w:hAnsi="宋体" w:cs="宋体"/>
                <w:kern w:val="0"/>
                <w:sz w:val="24"/>
                <w:szCs w:val="24"/>
              </w:rPr>
              <w:t>1)支持医生对病人进行预约挂号，预约病人享受提前就诊的权利。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869" w:type="pct"/>
            <w:noWrap w:val="0"/>
            <w:vAlign w:val="center"/>
          </w:tcPr>
          <w:p>
            <w:pPr>
              <w:rPr>
                <w:rFonts w:hint="default" w:ascii="宋体" w:hAnsi="宋体" w:cs="宋体"/>
                <w:kern w:val="0"/>
                <w:sz w:val="24"/>
                <w:szCs w:val="24"/>
              </w:rPr>
            </w:pPr>
            <w:r>
              <w:rPr>
                <w:rFonts w:ascii="宋体" w:hAnsi="宋体" w:cs="宋体"/>
                <w:kern w:val="0"/>
                <w:sz w:val="24"/>
                <w:szCs w:val="24"/>
              </w:rPr>
              <w:t>手术申请单的开立</w:t>
            </w:r>
          </w:p>
        </w:tc>
        <w:tc>
          <w:tcPr>
            <w:tcW w:w="3707" w:type="pct"/>
            <w:noWrap w:val="0"/>
            <w:vAlign w:val="center"/>
          </w:tcPr>
          <w:p>
            <w:pPr>
              <w:rPr>
                <w:rFonts w:hint="default" w:ascii="宋体" w:hAnsi="宋体" w:cs="宋体"/>
                <w:kern w:val="0"/>
                <w:sz w:val="24"/>
                <w:szCs w:val="24"/>
              </w:rPr>
            </w:pPr>
            <w:r>
              <w:rPr>
                <w:rFonts w:ascii="宋体" w:hAnsi="宋体" w:cs="宋体"/>
                <w:kern w:val="0"/>
                <w:sz w:val="24"/>
                <w:szCs w:val="24"/>
              </w:rPr>
              <w:t>1)对需要在门诊做手术的病人，医生可开立手术申请单，并传到门诊手术室，由手术室对需要做手术的信息进行统一安排。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869" w:type="pct"/>
            <w:noWrap w:val="0"/>
            <w:vAlign w:val="center"/>
          </w:tcPr>
          <w:p>
            <w:pPr>
              <w:rPr>
                <w:rFonts w:hint="default" w:ascii="宋体" w:hAnsi="宋体" w:cs="宋体"/>
                <w:kern w:val="0"/>
                <w:sz w:val="24"/>
                <w:szCs w:val="24"/>
              </w:rPr>
            </w:pPr>
            <w:r>
              <w:rPr>
                <w:rFonts w:ascii="宋体" w:hAnsi="宋体" w:cs="宋体"/>
                <w:kern w:val="0"/>
                <w:sz w:val="24"/>
                <w:szCs w:val="24"/>
              </w:rPr>
              <w:t>发送退费申请</w:t>
            </w:r>
          </w:p>
        </w:tc>
        <w:tc>
          <w:tcPr>
            <w:tcW w:w="3707" w:type="pct"/>
            <w:noWrap w:val="0"/>
            <w:vAlign w:val="center"/>
          </w:tcPr>
          <w:p>
            <w:pPr>
              <w:rPr>
                <w:rFonts w:hint="default" w:ascii="宋体" w:hAnsi="宋体" w:cs="宋体"/>
                <w:kern w:val="0"/>
                <w:sz w:val="24"/>
                <w:szCs w:val="24"/>
              </w:rPr>
            </w:pPr>
            <w:r>
              <w:rPr>
                <w:rFonts w:ascii="宋体" w:hAnsi="宋体" w:cs="宋体"/>
                <w:kern w:val="0"/>
                <w:sz w:val="24"/>
                <w:szCs w:val="24"/>
              </w:rPr>
              <w:t>1)有医生开立的电子单据信息可有医生发送退费申请并有相关处理科室接收申请进行退费处理。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58"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869" w:type="pct"/>
            <w:noWrap w:val="0"/>
            <w:vAlign w:val="center"/>
          </w:tcPr>
          <w:p>
            <w:pPr>
              <w:rPr>
                <w:rFonts w:hint="default" w:ascii="宋体" w:hAnsi="宋体" w:cs="宋体"/>
                <w:kern w:val="0"/>
                <w:sz w:val="24"/>
                <w:szCs w:val="24"/>
              </w:rPr>
            </w:pPr>
            <w:r>
              <w:rPr>
                <w:rFonts w:ascii="宋体" w:hAnsi="宋体" w:cs="宋体"/>
                <w:kern w:val="0"/>
                <w:sz w:val="24"/>
                <w:szCs w:val="24"/>
              </w:rPr>
              <w:t>查询统计</w:t>
            </w:r>
          </w:p>
        </w:tc>
        <w:tc>
          <w:tcPr>
            <w:tcW w:w="3707" w:type="pct"/>
            <w:noWrap w:val="0"/>
            <w:vAlign w:val="center"/>
          </w:tcPr>
          <w:p>
            <w:pPr>
              <w:rPr>
                <w:rFonts w:hint="default" w:ascii="宋体" w:hAnsi="宋体" w:cs="宋体"/>
                <w:kern w:val="0"/>
                <w:sz w:val="24"/>
                <w:szCs w:val="24"/>
              </w:rPr>
            </w:pPr>
            <w:r>
              <w:rPr>
                <w:rFonts w:ascii="宋体" w:hAnsi="宋体" w:cs="宋体"/>
                <w:kern w:val="0"/>
                <w:sz w:val="24"/>
                <w:szCs w:val="24"/>
              </w:rPr>
              <w:t>1)病人综合信息查询：根据日期、科室、医生、卡号，姓名、门诊号等信息查询；</w:t>
            </w:r>
          </w:p>
          <w:p>
            <w:pPr>
              <w:rPr>
                <w:rFonts w:hint="default" w:ascii="宋体" w:hAnsi="宋体" w:cs="宋体"/>
                <w:kern w:val="0"/>
                <w:sz w:val="24"/>
                <w:szCs w:val="24"/>
              </w:rPr>
            </w:pPr>
            <w:r>
              <w:rPr>
                <w:rFonts w:ascii="宋体" w:hAnsi="宋体" w:cs="宋体"/>
                <w:kern w:val="0"/>
                <w:sz w:val="24"/>
                <w:szCs w:val="24"/>
              </w:rPr>
              <w:t>2)病人就诊日志信息：根据日期、科室、医生、卡号，姓名、门诊号等信息查询；</w:t>
            </w:r>
          </w:p>
          <w:p>
            <w:pPr>
              <w:rPr>
                <w:rFonts w:hint="default" w:ascii="宋体" w:hAnsi="宋体" w:cs="宋体"/>
                <w:kern w:val="0"/>
                <w:sz w:val="24"/>
                <w:szCs w:val="24"/>
              </w:rPr>
            </w:pPr>
            <w:r>
              <w:rPr>
                <w:rFonts w:ascii="宋体" w:hAnsi="宋体" w:cs="宋体"/>
                <w:kern w:val="0"/>
                <w:sz w:val="24"/>
                <w:szCs w:val="24"/>
              </w:rPr>
              <w:t>3)申请单信息和报告信息：根据日期、科室、医生、卡号，姓名、门诊号等信息查询；</w:t>
            </w:r>
          </w:p>
          <w:p>
            <w:pPr>
              <w:rPr>
                <w:rFonts w:hint="default" w:ascii="宋体" w:hAnsi="宋体" w:cs="宋体"/>
                <w:kern w:val="0"/>
                <w:sz w:val="24"/>
                <w:szCs w:val="24"/>
              </w:rPr>
            </w:pPr>
            <w:r>
              <w:rPr>
                <w:rFonts w:ascii="宋体" w:hAnsi="宋体" w:cs="宋体"/>
                <w:kern w:val="0"/>
                <w:sz w:val="24"/>
                <w:szCs w:val="24"/>
              </w:rPr>
              <w:t>4)入院证信息查询：统计医生开立的入院证信息；</w:t>
            </w:r>
          </w:p>
          <w:p>
            <w:pPr>
              <w:rPr>
                <w:rFonts w:hint="default" w:ascii="宋体" w:hAnsi="宋体" w:cs="宋体"/>
                <w:kern w:val="0"/>
                <w:sz w:val="24"/>
                <w:szCs w:val="24"/>
              </w:rPr>
            </w:pPr>
            <w:r>
              <w:rPr>
                <w:rFonts w:ascii="宋体" w:hAnsi="宋体" w:cs="宋体"/>
                <w:kern w:val="0"/>
                <w:sz w:val="24"/>
                <w:szCs w:val="24"/>
              </w:rPr>
              <w:t>5)挂号明细查询：用查询挂号明细信息；</w:t>
            </w:r>
          </w:p>
          <w:p>
            <w:pPr>
              <w:rPr>
                <w:rFonts w:hint="default" w:ascii="宋体" w:hAnsi="宋体" w:cs="宋体"/>
                <w:kern w:val="0"/>
                <w:sz w:val="24"/>
                <w:szCs w:val="24"/>
              </w:rPr>
            </w:pPr>
            <w:r>
              <w:rPr>
                <w:rFonts w:ascii="宋体" w:hAnsi="宋体" w:cs="宋体"/>
                <w:kern w:val="0"/>
                <w:sz w:val="24"/>
                <w:szCs w:val="24"/>
              </w:rPr>
              <w:t>6)检查检验查询：用于查询检查检验申请单信息；</w:t>
            </w:r>
          </w:p>
          <w:p>
            <w:pPr>
              <w:rPr>
                <w:rFonts w:hint="default" w:ascii="宋体" w:hAnsi="宋体" w:cs="宋体"/>
                <w:kern w:val="0"/>
                <w:sz w:val="24"/>
                <w:szCs w:val="24"/>
              </w:rPr>
            </w:pPr>
            <w:r>
              <w:rPr>
                <w:rFonts w:ascii="宋体" w:hAnsi="宋体" w:cs="宋体"/>
                <w:kern w:val="0"/>
                <w:sz w:val="24"/>
                <w:szCs w:val="24"/>
              </w:rPr>
              <w:t>7)处方信息查询：用于查询门诊处方信息；</w:t>
            </w:r>
          </w:p>
          <w:p>
            <w:pPr>
              <w:rPr>
                <w:rFonts w:hint="default" w:ascii="宋体" w:hAnsi="宋体" w:cs="宋体"/>
                <w:kern w:val="0"/>
                <w:sz w:val="24"/>
                <w:szCs w:val="24"/>
              </w:rPr>
            </w:pPr>
            <w:r>
              <w:rPr>
                <w:rFonts w:ascii="宋体" w:hAnsi="宋体" w:cs="宋体"/>
                <w:kern w:val="0"/>
                <w:sz w:val="24"/>
                <w:szCs w:val="24"/>
              </w:rPr>
              <w:t>8)处方打印记录：用于查询处方打印记录；</w:t>
            </w:r>
          </w:p>
          <w:p>
            <w:pPr>
              <w:rPr>
                <w:rFonts w:hint="default" w:ascii="宋体" w:hAnsi="宋体" w:cs="宋体"/>
                <w:kern w:val="0"/>
                <w:sz w:val="24"/>
                <w:szCs w:val="24"/>
              </w:rPr>
            </w:pPr>
            <w:r>
              <w:rPr>
                <w:rFonts w:ascii="宋体" w:hAnsi="宋体" w:cs="宋体"/>
                <w:kern w:val="0"/>
                <w:sz w:val="24"/>
                <w:szCs w:val="24"/>
              </w:rPr>
              <w:t>9)诊疗信息查询：用于查询处置申请单；</w:t>
            </w:r>
          </w:p>
          <w:p>
            <w:pPr>
              <w:rPr>
                <w:rFonts w:hint="default" w:ascii="宋体" w:hAnsi="宋体" w:cs="宋体"/>
                <w:kern w:val="0"/>
                <w:sz w:val="24"/>
                <w:szCs w:val="24"/>
              </w:rPr>
            </w:pPr>
            <w:r>
              <w:rPr>
                <w:rFonts w:ascii="宋体" w:hAnsi="宋体" w:cs="宋体"/>
                <w:kern w:val="0"/>
                <w:sz w:val="24"/>
                <w:szCs w:val="24"/>
              </w:rPr>
              <w:t>10)诊疗明细查询：用于查询收费项目金额；</w:t>
            </w:r>
          </w:p>
          <w:p>
            <w:pPr>
              <w:rPr>
                <w:rFonts w:hint="default" w:ascii="宋体" w:hAnsi="宋体" w:cs="宋体"/>
                <w:kern w:val="0"/>
                <w:sz w:val="24"/>
                <w:szCs w:val="24"/>
              </w:rPr>
            </w:pPr>
            <w:r>
              <w:rPr>
                <w:rFonts w:ascii="宋体" w:hAnsi="宋体" w:cs="宋体"/>
                <w:kern w:val="0"/>
                <w:sz w:val="24"/>
                <w:szCs w:val="24"/>
              </w:rPr>
              <w:t>11)药品库存查看：支持查看药房、药库药品库存；</w:t>
            </w:r>
          </w:p>
          <w:p>
            <w:pPr>
              <w:rPr>
                <w:rFonts w:hint="default" w:ascii="宋体" w:hAnsi="宋体" w:cs="宋体"/>
                <w:kern w:val="0"/>
                <w:sz w:val="24"/>
                <w:szCs w:val="24"/>
              </w:rPr>
            </w:pPr>
            <w:r>
              <w:rPr>
                <w:rFonts w:ascii="宋体" w:hAnsi="宋体" w:cs="宋体"/>
                <w:kern w:val="0"/>
                <w:sz w:val="24"/>
                <w:szCs w:val="24"/>
              </w:rPr>
              <w:t>12)抗菌药物申请查询：支持越级开立抗菌药物申请功能；</w:t>
            </w:r>
          </w:p>
          <w:p>
            <w:pPr>
              <w:rPr>
                <w:rFonts w:hint="default" w:ascii="宋体" w:hAnsi="宋体" w:cs="宋体"/>
                <w:kern w:val="0"/>
                <w:sz w:val="24"/>
                <w:szCs w:val="24"/>
              </w:rPr>
            </w:pPr>
            <w:r>
              <w:rPr>
                <w:rFonts w:ascii="宋体" w:hAnsi="宋体" w:cs="宋体"/>
                <w:kern w:val="0"/>
                <w:sz w:val="24"/>
                <w:szCs w:val="24"/>
              </w:rPr>
              <w:t>13)预约挂号信息查询：用于查询预约挂号信息；</w:t>
            </w:r>
          </w:p>
          <w:p>
            <w:pPr>
              <w:rPr>
                <w:rFonts w:hint="default" w:ascii="宋体" w:hAnsi="宋体" w:cs="宋体"/>
                <w:kern w:val="0"/>
                <w:sz w:val="24"/>
                <w:szCs w:val="24"/>
              </w:rPr>
            </w:pPr>
            <w:r>
              <w:rPr>
                <w:rFonts w:ascii="宋体" w:hAnsi="宋体" w:cs="宋体"/>
                <w:kern w:val="0"/>
                <w:sz w:val="24"/>
                <w:szCs w:val="24"/>
              </w:rPr>
              <w:t>14)医生工作量：支持按时间段查询医师工作量；</w:t>
            </w:r>
          </w:p>
          <w:p>
            <w:pPr>
              <w:rPr>
                <w:rFonts w:hint="default" w:ascii="宋体" w:hAnsi="宋体" w:cs="宋体"/>
                <w:kern w:val="0"/>
                <w:sz w:val="24"/>
                <w:szCs w:val="24"/>
              </w:rPr>
            </w:pPr>
            <w:r>
              <w:rPr>
                <w:rFonts w:ascii="宋体" w:hAnsi="宋体" w:cs="宋体"/>
                <w:kern w:val="0"/>
                <w:sz w:val="24"/>
                <w:szCs w:val="24"/>
              </w:rPr>
              <w:t>15)就诊方式统计：按就诊方式统计患者就诊数据。</w:t>
            </w:r>
          </w:p>
        </w:tc>
      </w:tr>
    </w:tbl>
    <w:p>
      <w:pPr>
        <w:pStyle w:val="5"/>
        <w:numPr>
          <w:ilvl w:val="2"/>
          <w:numId w:val="5"/>
        </w:numPr>
        <w:spacing w:before="0" w:after="0" w:line="360" w:lineRule="auto"/>
        <w:rPr>
          <w:rFonts w:ascii="宋体" w:hAnsi="宋体"/>
        </w:rPr>
      </w:pPr>
      <w:bookmarkStart w:id="585" w:name="_Toc13821"/>
      <w:r>
        <w:rPr>
          <w:rFonts w:hint="eastAsia" w:ascii="宋体" w:hAnsi="宋体"/>
        </w:rPr>
        <w:t>门急诊护士站系统</w:t>
      </w:r>
      <w:bookmarkEnd w:id="585"/>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1785"/>
        <w:gridCol w:w="6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blHeader/>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1047"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52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诊疗记账</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1)支持对门诊患者收费输液等诊疗费。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申请单记账</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1)支持对医生站开立的申请单进行执行、记账。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打印</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1)支持打印输液卡、瓶签、观察卡等表单。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急诊评估</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1)对于急诊患者，可以书写急诊评估单。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1047"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查询统计</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1)根据日期、申请单号、医生号等统计开立的处置单；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1047" w:type="pct"/>
            <w:vMerge w:val="continue"/>
            <w:noWrap w:val="0"/>
            <w:vAlign w:val="center"/>
          </w:tcPr>
          <w:p>
            <w:pPr>
              <w:rPr>
                <w:rFonts w:hint="default" w:ascii="宋体" w:hAnsi="宋体" w:cs="宋体"/>
                <w:kern w:val="0"/>
                <w:sz w:val="24"/>
                <w:szCs w:val="24"/>
              </w:rPr>
            </w:pP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2)根据日期等统计处方审核的信息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1047"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其他</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1)自带药品管理；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1047" w:type="pct"/>
            <w:vMerge w:val="continue"/>
            <w:noWrap w:val="0"/>
            <w:vAlign w:val="center"/>
          </w:tcPr>
          <w:p>
            <w:pPr>
              <w:rPr>
                <w:rFonts w:hint="default" w:ascii="宋体" w:hAnsi="宋体" w:cs="宋体"/>
                <w:kern w:val="0"/>
                <w:sz w:val="24"/>
                <w:szCs w:val="24"/>
              </w:rPr>
            </w:pP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2)处方审核；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1047" w:type="pct"/>
            <w:vMerge w:val="continue"/>
            <w:noWrap w:val="0"/>
            <w:vAlign w:val="center"/>
          </w:tcPr>
          <w:p>
            <w:pPr>
              <w:rPr>
                <w:rFonts w:hint="default" w:ascii="宋体" w:hAnsi="宋体" w:cs="宋体"/>
                <w:kern w:val="0"/>
                <w:sz w:val="24"/>
                <w:szCs w:val="24"/>
              </w:rPr>
            </w:pP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3)支持退费申请模式。</w:t>
            </w:r>
          </w:p>
        </w:tc>
      </w:tr>
    </w:tbl>
    <w:p>
      <w:pPr>
        <w:pStyle w:val="5"/>
        <w:numPr>
          <w:ilvl w:val="2"/>
          <w:numId w:val="5"/>
        </w:numPr>
        <w:spacing w:before="0" w:after="0" w:line="360" w:lineRule="auto"/>
        <w:rPr>
          <w:rFonts w:ascii="宋体" w:hAnsi="宋体"/>
        </w:rPr>
      </w:pPr>
      <w:bookmarkStart w:id="586" w:name="_Toc15592"/>
      <w:r>
        <w:rPr>
          <w:rFonts w:hint="eastAsia" w:ascii="宋体" w:hAnsi="宋体"/>
        </w:rPr>
        <w:t>就诊卡管理系统</w:t>
      </w:r>
      <w:bookmarkEnd w:id="586"/>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1785"/>
        <w:gridCol w:w="6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blHeader/>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1047"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52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24"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卡信息注册</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1)支持二代身份证、医保卡、居民健康卡等介质作为就诊卡使用功能，</w:t>
            </w:r>
          </w:p>
          <w:p>
            <w:pPr>
              <w:rPr>
                <w:rFonts w:hint="default" w:ascii="宋体" w:hAnsi="宋体" w:cs="宋体"/>
                <w:kern w:val="0"/>
                <w:sz w:val="24"/>
                <w:szCs w:val="24"/>
              </w:rPr>
            </w:pPr>
            <w:r>
              <w:rPr>
                <w:rFonts w:ascii="宋体" w:hAnsi="宋体" w:cs="宋体"/>
                <w:kern w:val="0"/>
                <w:sz w:val="24"/>
                <w:szCs w:val="24"/>
              </w:rPr>
              <w:t>2)支持医院自行发放就诊卡功能；</w:t>
            </w:r>
          </w:p>
          <w:p>
            <w:pPr>
              <w:rPr>
                <w:rFonts w:hint="default" w:ascii="宋体" w:hAnsi="宋体" w:cs="宋体"/>
                <w:kern w:val="0"/>
                <w:sz w:val="24"/>
                <w:szCs w:val="24"/>
              </w:rPr>
            </w:pPr>
            <w:r>
              <w:rPr>
                <w:rFonts w:ascii="宋体" w:hAnsi="宋体" w:cs="宋体"/>
                <w:kern w:val="0"/>
                <w:sz w:val="24"/>
                <w:szCs w:val="24"/>
              </w:rPr>
              <w:t>2)首次办卡时，建立病人统一、标准、可共享的基本信息档案；</w:t>
            </w:r>
          </w:p>
          <w:p>
            <w:pPr>
              <w:rPr>
                <w:rFonts w:hint="default" w:ascii="宋体" w:hAnsi="宋体" w:cs="宋体"/>
                <w:kern w:val="0"/>
                <w:sz w:val="24"/>
                <w:szCs w:val="24"/>
              </w:rPr>
            </w:pPr>
            <w:r>
              <w:rPr>
                <w:rFonts w:ascii="宋体" w:hAnsi="宋体" w:cs="宋体"/>
                <w:kern w:val="0"/>
                <w:sz w:val="24"/>
                <w:szCs w:val="24"/>
              </w:rPr>
              <w:t>3)支持单位和个人账户管理功能。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3"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卡日常管理</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1)医院自行发放的就诊卡支持补卡、卡挂失、卡恢复功能；</w:t>
            </w:r>
          </w:p>
          <w:p>
            <w:pPr>
              <w:rPr>
                <w:rFonts w:hint="default" w:ascii="宋体" w:hAnsi="宋体" w:cs="宋体"/>
                <w:kern w:val="0"/>
                <w:sz w:val="24"/>
                <w:szCs w:val="24"/>
              </w:rPr>
            </w:pPr>
            <w:r>
              <w:rPr>
                <w:rFonts w:ascii="宋体" w:hAnsi="宋体" w:cs="宋体"/>
                <w:kern w:val="0"/>
                <w:sz w:val="24"/>
                <w:szCs w:val="24"/>
              </w:rPr>
              <w:t>2)支持就诊卡密码管理功能；</w:t>
            </w:r>
          </w:p>
          <w:p>
            <w:pPr>
              <w:rPr>
                <w:rFonts w:hint="default" w:ascii="宋体" w:hAnsi="宋体" w:cs="宋体"/>
                <w:kern w:val="0"/>
                <w:sz w:val="24"/>
                <w:szCs w:val="24"/>
              </w:rPr>
            </w:pPr>
            <w:r>
              <w:rPr>
                <w:rFonts w:ascii="宋体" w:hAnsi="宋体" w:cs="宋体"/>
                <w:kern w:val="0"/>
                <w:sz w:val="24"/>
                <w:szCs w:val="24"/>
              </w:rPr>
              <w:t>3)支持多卡合并功能；</w:t>
            </w:r>
          </w:p>
          <w:p>
            <w:pPr>
              <w:rPr>
                <w:rFonts w:hint="default" w:ascii="宋体" w:hAnsi="宋体" w:cs="宋体"/>
                <w:kern w:val="0"/>
                <w:sz w:val="24"/>
                <w:szCs w:val="24"/>
              </w:rPr>
            </w:pPr>
            <w:r>
              <w:rPr>
                <w:rFonts w:ascii="宋体" w:hAnsi="宋体" w:cs="宋体"/>
                <w:kern w:val="0"/>
                <w:sz w:val="24"/>
                <w:szCs w:val="24"/>
              </w:rPr>
              <w:t>4)支持卡充值、冲销功能，支持现金、银联卡、线下扫码（微信和支付宝）等多种充值模式；</w:t>
            </w:r>
          </w:p>
          <w:p>
            <w:pPr>
              <w:rPr>
                <w:rFonts w:hint="default" w:ascii="宋体" w:hAnsi="宋体" w:cs="宋体"/>
                <w:kern w:val="0"/>
                <w:sz w:val="24"/>
                <w:szCs w:val="24"/>
              </w:rPr>
            </w:pPr>
            <w:r>
              <w:rPr>
                <w:rFonts w:ascii="宋体" w:hAnsi="宋体" w:cs="宋体"/>
                <w:kern w:val="0"/>
                <w:sz w:val="24"/>
                <w:szCs w:val="24"/>
              </w:rPr>
              <w:t>5)支持移动支付原路退回功能。</w:t>
            </w:r>
          </w:p>
          <w:p>
            <w:pPr>
              <w:rPr>
                <w:rFonts w:hint="default" w:ascii="宋体" w:hAnsi="宋体" w:cs="宋体"/>
                <w:kern w:val="0"/>
                <w:sz w:val="24"/>
                <w:szCs w:val="24"/>
              </w:rPr>
            </w:pPr>
            <w:r>
              <w:rPr>
                <w:rFonts w:ascii="宋体" w:hAnsi="宋体" w:cs="宋体"/>
                <w:kern w:val="0"/>
                <w:sz w:val="24"/>
                <w:szCs w:val="24"/>
              </w:rPr>
              <w:t>6)支持操作员日结算功能。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28"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单位管理</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1)支持单位信息维护功能；</w:t>
            </w:r>
          </w:p>
          <w:p>
            <w:pPr>
              <w:rPr>
                <w:rFonts w:hint="default" w:ascii="宋体" w:hAnsi="宋体" w:cs="宋体"/>
                <w:kern w:val="0"/>
                <w:sz w:val="24"/>
                <w:szCs w:val="24"/>
              </w:rPr>
            </w:pPr>
            <w:r>
              <w:rPr>
                <w:rFonts w:ascii="宋体" w:hAnsi="宋体" w:cs="宋体"/>
                <w:kern w:val="0"/>
                <w:sz w:val="24"/>
                <w:szCs w:val="24"/>
              </w:rPr>
              <w:t>2)支持单位账户入账、资金分配管理。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9"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查询统计</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1)根据日期、操作类型等信息查询单位账户流水账；</w:t>
            </w:r>
          </w:p>
          <w:p>
            <w:pPr>
              <w:rPr>
                <w:rFonts w:hint="default" w:ascii="宋体" w:hAnsi="宋体" w:cs="宋体"/>
                <w:kern w:val="0"/>
                <w:sz w:val="24"/>
                <w:szCs w:val="24"/>
              </w:rPr>
            </w:pPr>
            <w:r>
              <w:rPr>
                <w:rFonts w:ascii="宋体" w:hAnsi="宋体" w:cs="宋体"/>
                <w:kern w:val="0"/>
                <w:sz w:val="24"/>
                <w:szCs w:val="24"/>
              </w:rPr>
              <w:t>2)根据日期、卡号、操作类型等信息查询个人账户流水账；</w:t>
            </w:r>
          </w:p>
          <w:p>
            <w:pPr>
              <w:rPr>
                <w:rFonts w:hint="default" w:ascii="宋体" w:hAnsi="宋体" w:cs="宋体"/>
                <w:kern w:val="0"/>
                <w:sz w:val="24"/>
                <w:szCs w:val="24"/>
              </w:rPr>
            </w:pPr>
            <w:r>
              <w:rPr>
                <w:rFonts w:ascii="宋体" w:hAnsi="宋体" w:cs="宋体"/>
                <w:kern w:val="0"/>
                <w:sz w:val="24"/>
                <w:szCs w:val="24"/>
              </w:rPr>
              <w:t>3)根据日期、操作员、操作类型等信息查询操作流水账；</w:t>
            </w:r>
          </w:p>
          <w:p>
            <w:pPr>
              <w:rPr>
                <w:rFonts w:hint="default" w:ascii="宋体" w:hAnsi="宋体" w:cs="宋体"/>
                <w:kern w:val="0"/>
                <w:sz w:val="24"/>
                <w:szCs w:val="24"/>
              </w:rPr>
            </w:pPr>
            <w:r>
              <w:rPr>
                <w:rFonts w:ascii="宋体" w:hAnsi="宋体" w:cs="宋体"/>
                <w:kern w:val="0"/>
                <w:sz w:val="24"/>
                <w:szCs w:val="24"/>
              </w:rPr>
              <w:t>4)根据日期、操作员等信息查询冲销明细；</w:t>
            </w:r>
          </w:p>
          <w:p>
            <w:pPr>
              <w:rPr>
                <w:rFonts w:hint="default" w:ascii="宋体" w:hAnsi="宋体" w:cs="宋体"/>
                <w:kern w:val="0"/>
                <w:sz w:val="24"/>
                <w:szCs w:val="24"/>
              </w:rPr>
            </w:pPr>
            <w:r>
              <w:rPr>
                <w:rFonts w:ascii="宋体" w:hAnsi="宋体" w:cs="宋体"/>
                <w:kern w:val="0"/>
                <w:sz w:val="24"/>
                <w:szCs w:val="24"/>
              </w:rPr>
              <w:t>5)统计操作员工作量；</w:t>
            </w:r>
          </w:p>
          <w:p>
            <w:pPr>
              <w:rPr>
                <w:rFonts w:hint="default" w:ascii="宋体" w:hAnsi="宋体" w:cs="宋体"/>
                <w:kern w:val="0"/>
                <w:sz w:val="24"/>
                <w:szCs w:val="24"/>
              </w:rPr>
            </w:pPr>
            <w:r>
              <w:rPr>
                <w:rFonts w:ascii="宋体" w:hAnsi="宋体" w:cs="宋体"/>
                <w:kern w:val="0"/>
                <w:sz w:val="24"/>
                <w:szCs w:val="24"/>
              </w:rPr>
              <w:t>6)单位账户结余查询；</w:t>
            </w:r>
          </w:p>
          <w:p>
            <w:pPr>
              <w:rPr>
                <w:rFonts w:hint="default" w:ascii="宋体" w:hAnsi="宋体" w:cs="宋体"/>
                <w:kern w:val="0"/>
                <w:sz w:val="24"/>
                <w:szCs w:val="24"/>
              </w:rPr>
            </w:pPr>
            <w:r>
              <w:rPr>
                <w:rFonts w:ascii="宋体" w:hAnsi="宋体" w:cs="宋体"/>
                <w:kern w:val="0"/>
                <w:sz w:val="24"/>
                <w:szCs w:val="24"/>
              </w:rPr>
              <w:t>7)个人账户结余查询。</w:t>
            </w:r>
          </w:p>
        </w:tc>
      </w:tr>
    </w:tbl>
    <w:p>
      <w:pPr>
        <w:pStyle w:val="5"/>
        <w:numPr>
          <w:ilvl w:val="2"/>
          <w:numId w:val="5"/>
        </w:numPr>
        <w:spacing w:before="0" w:after="0" w:line="360" w:lineRule="auto"/>
        <w:rPr>
          <w:rFonts w:ascii="宋体" w:hAnsi="宋体"/>
        </w:rPr>
      </w:pPr>
      <w:bookmarkStart w:id="587" w:name="_Toc3849"/>
      <w:r>
        <w:rPr>
          <w:rFonts w:hint="eastAsia" w:ascii="宋体" w:hAnsi="宋体"/>
        </w:rPr>
        <w:t>医技</w:t>
      </w:r>
      <w:bookmarkEnd w:id="587"/>
      <w:r>
        <w:rPr>
          <w:rFonts w:hint="eastAsia" w:ascii="宋体" w:hAnsi="宋体"/>
        </w:rPr>
        <w:t>科室管理系统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1785"/>
        <w:gridCol w:w="6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1047"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52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诊疗记账</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1)支持对门诊患者收费输液等诊疗费。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门诊申请执行</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1)对于一卡通未记账的申请单，可以直接记账、执行；</w:t>
            </w:r>
          </w:p>
          <w:p>
            <w:pPr>
              <w:pStyle w:val="14"/>
            </w:pPr>
            <w:r>
              <w:rPr>
                <w:rFonts w:hint="eastAsia" w:ascii="宋体" w:hAnsi="宋体" w:cs="宋体"/>
                <w:kern w:val="0"/>
              </w:rPr>
              <w:t>2)与LIS联网模式下，可以直接打印LIS检验条码。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住院申请执行</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1)支持对住院申请单支持执行操作，并可补录患者费用。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检查报告录入</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1)支持未与PACS等联网时，可以手工录入报告结果。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检验条码打印</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1)支持与LIS联网时，可以在此补打检验条码。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检验报告录入</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1)支持未与LIA联网时，可以手工录入报告结果。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预约检查</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1)支持录入预约检查信息。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住院直接退费</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1)支持医技科室对住院患者进行直接退费。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住院退费申请</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1)支持医技科室对住院患者向住院收费发出退费申请。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门诊退费申请</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1)支持医技科室对门诊患者进行退费申请。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收费流水帐</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1)支持查询本科室或本诊区的记账明细信息。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申请单预约查询</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1)支持查询预约检查申请单信息。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预约信息查询</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1)支持查询既往预约信息。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14</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操作流水账</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1)支持执行操作流水账查询。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15</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申请单查询</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1)支持多条件查询患者申请单信息。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16</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医嘱录入</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1)支持对住院患者录入医嘱。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17</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医嘱处理</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1)支持对本科室下达的住院医嘱进行审核、执行操作。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19</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操作员工作量</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1)统计操作员执行工作量。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20</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科室收入汇总</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1)查询科室收入。</w:t>
            </w:r>
          </w:p>
        </w:tc>
      </w:tr>
    </w:tbl>
    <w:p>
      <w:pPr>
        <w:pStyle w:val="5"/>
        <w:numPr>
          <w:ilvl w:val="2"/>
          <w:numId w:val="5"/>
        </w:numPr>
        <w:spacing w:before="0" w:after="0" w:line="360" w:lineRule="auto"/>
        <w:rPr>
          <w:rFonts w:ascii="宋体" w:hAnsi="宋体"/>
        </w:rPr>
      </w:pPr>
      <w:r>
        <w:rPr>
          <w:rFonts w:hint="eastAsia" w:ascii="宋体" w:hAnsi="宋体"/>
        </w:rPr>
        <w:t>住院入出院管理系统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986"/>
        <w:gridCol w:w="58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blHeader/>
        </w:trPr>
        <w:tc>
          <w:tcPr>
            <w:tcW w:w="41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1165"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416"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入院登记</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1)支持一卡通、电子入院证、身份证等渠道获取患者信息，办理入院；2)支持多次入院；</w:t>
            </w:r>
          </w:p>
          <w:p>
            <w:pPr>
              <w:rPr>
                <w:rFonts w:hint="default" w:ascii="宋体" w:hAnsi="宋体" w:cs="宋体"/>
                <w:kern w:val="0"/>
                <w:sz w:val="24"/>
                <w:szCs w:val="24"/>
              </w:rPr>
            </w:pPr>
            <w:r>
              <w:rPr>
                <w:rFonts w:ascii="宋体" w:hAnsi="宋体" w:cs="宋体"/>
                <w:kern w:val="0"/>
                <w:sz w:val="24"/>
                <w:szCs w:val="24"/>
              </w:rPr>
              <w:t>3)支持现金、银联卡、线下扫码（微信和支付宝）等多种预交金方式。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打印腕带</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1)支持腕带打印功能。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入院修改</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1)已入科病人不允许修改住院科室；</w:t>
            </w:r>
          </w:p>
          <w:p>
            <w:pPr>
              <w:rPr>
                <w:rFonts w:hint="default" w:ascii="宋体" w:hAnsi="宋体" w:cs="宋体"/>
                <w:kern w:val="0"/>
                <w:sz w:val="24"/>
                <w:szCs w:val="24"/>
              </w:rPr>
            </w:pPr>
            <w:r>
              <w:rPr>
                <w:rFonts w:ascii="宋体" w:hAnsi="宋体" w:cs="宋体"/>
                <w:kern w:val="0"/>
                <w:sz w:val="24"/>
                <w:szCs w:val="24"/>
              </w:rPr>
              <w:t>2)修改患者姓名，需要有特殊权限；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入院清除</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1)支持患者入院清除功能。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入院证查询打印</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1)支持入院证查询及打印。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欠费属性修改</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1)支持修改患者欠费属性，支持对患者进行担保欠费（包括：限时、限额、限时+限额、全担保）。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住院记帐</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1)支持对住院患者进行记账操作。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续交押金</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1)支持现金、银联卡、线下扫码（微信和支付宝）等多种支付方式进行预交金续交。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费用流水帐查询</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1)支持按三级项目、四级项目统计某时间内的记账信息。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费用冲销</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1)支持对患者进行退费操作。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退费申请单处理</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1)支持对科室发过来的退费申请进行确认或作废。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退药申请单处理</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1)支持对退药申请单进行最终退费确认操作。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自费病人出院</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1)支持对自费患者办理出院操作。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14</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中途结算处理</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1)支持自费患者中途结算。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15</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补打出院结算票据</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1)支持补打出院结算票据。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16</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补打中途结算票据</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1)支持补打中途结算票据。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17</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在院病人查询</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1)支持多条件查询在院患者信息。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18</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出院病人查询</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1)支持多条件查询出院患者信息。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19</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病人费用明细清单</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1)支持打印患者费用明细总清单。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20</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押金查询</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1)支持按时间段查询患者续交押金记录。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21</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操作员日结帐</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1)用于操作员核对收款信息及确认交账凭证。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22</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操作员反结帐</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1)支持操作员取消本人已结账信息。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23</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收支结帐清单</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1)用于查询操作员日结记录。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24</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操作员结算清单</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1)用于补打操作员日结算清单。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25</w:t>
            </w:r>
          </w:p>
        </w:tc>
        <w:tc>
          <w:tcPr>
            <w:tcW w:w="1165" w:type="pct"/>
            <w:noWrap w:val="0"/>
            <w:vAlign w:val="center"/>
          </w:tcPr>
          <w:p>
            <w:pPr>
              <w:rPr>
                <w:rFonts w:hint="default" w:ascii="宋体" w:hAnsi="宋体" w:cs="宋体"/>
                <w:kern w:val="0"/>
                <w:sz w:val="24"/>
                <w:szCs w:val="24"/>
              </w:rPr>
            </w:pPr>
            <w:r>
              <w:rPr>
                <w:rFonts w:ascii="宋体" w:hAnsi="宋体" w:cs="宋体"/>
                <w:kern w:val="0"/>
                <w:sz w:val="24"/>
                <w:szCs w:val="24"/>
              </w:rPr>
              <w:t>出院病人医药费结算表</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1)主要财务报表，支持财务做帐。</w:t>
            </w:r>
          </w:p>
        </w:tc>
      </w:tr>
    </w:tbl>
    <w:p>
      <w:pPr>
        <w:rPr>
          <w:rFonts w:hint="default"/>
        </w:rPr>
      </w:pPr>
    </w:p>
    <w:p>
      <w:pPr>
        <w:pStyle w:val="5"/>
        <w:numPr>
          <w:ilvl w:val="2"/>
          <w:numId w:val="5"/>
        </w:numPr>
        <w:spacing w:before="0" w:after="0" w:line="360" w:lineRule="auto"/>
        <w:rPr>
          <w:rFonts w:ascii="宋体" w:hAnsi="宋体"/>
        </w:rPr>
      </w:pPr>
      <w:bookmarkStart w:id="588" w:name="_Toc23447"/>
      <w:r>
        <w:rPr>
          <w:rFonts w:hint="eastAsia" w:ascii="宋体" w:hAnsi="宋体"/>
        </w:rPr>
        <w:t>住院医生站系统</w:t>
      </w:r>
      <w:bookmarkEnd w:id="588"/>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1785"/>
        <w:gridCol w:w="6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blHeader/>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1047"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52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自动获取信息</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1)自动获取本人或本科管辖的病人信息，以卡片或列表的形式展现；</w:t>
            </w:r>
          </w:p>
          <w:p>
            <w:pPr>
              <w:rPr>
                <w:rFonts w:hint="default" w:ascii="宋体" w:hAnsi="宋体" w:cs="宋体"/>
                <w:kern w:val="0"/>
                <w:sz w:val="24"/>
                <w:szCs w:val="24"/>
              </w:rPr>
            </w:pPr>
            <w:r>
              <w:rPr>
                <w:rFonts w:ascii="宋体" w:hAnsi="宋体" w:cs="宋体"/>
                <w:kern w:val="0"/>
                <w:sz w:val="24"/>
                <w:szCs w:val="24"/>
              </w:rPr>
              <w:t>2)开立医嘱时自动获取药品及诊疗项目内容，包括名称、规格、价格等；</w:t>
            </w:r>
          </w:p>
          <w:p>
            <w:pPr>
              <w:rPr>
                <w:rFonts w:hint="default" w:ascii="宋体" w:hAnsi="宋体" w:cs="宋体"/>
                <w:kern w:val="0"/>
                <w:sz w:val="24"/>
                <w:szCs w:val="24"/>
              </w:rPr>
            </w:pPr>
            <w:r>
              <w:rPr>
                <w:rFonts w:ascii="宋体" w:hAnsi="宋体" w:cs="宋体"/>
                <w:kern w:val="0"/>
                <w:sz w:val="24"/>
                <w:szCs w:val="24"/>
              </w:rPr>
              <w:t>3)支持与合理用药系统（PASS）对接，自动获取药品常规用法及剂量、功能及适应症、不良反应及禁忌症等，避免用药差错；</w:t>
            </w:r>
          </w:p>
          <w:p>
            <w:pPr>
              <w:rPr>
                <w:rFonts w:hint="default" w:ascii="宋体" w:hAnsi="宋体" w:cs="宋体"/>
                <w:kern w:val="0"/>
                <w:sz w:val="24"/>
                <w:szCs w:val="24"/>
              </w:rPr>
            </w:pPr>
            <w:r>
              <w:rPr>
                <w:rFonts w:ascii="宋体" w:hAnsi="宋体" w:cs="宋体"/>
                <w:kern w:val="0"/>
                <w:sz w:val="24"/>
                <w:szCs w:val="24"/>
              </w:rPr>
              <w:t>4)根据患者身份证号或就诊卡ID自动调取历次门诊、住院信息，检验检查结果，影像结果等病人的药物过敏信息等；</w:t>
            </w:r>
          </w:p>
          <w:p>
            <w:pPr>
              <w:rPr>
                <w:rFonts w:hint="default" w:ascii="宋体" w:hAnsi="宋体" w:cs="宋体"/>
                <w:kern w:val="0"/>
                <w:sz w:val="24"/>
                <w:szCs w:val="24"/>
              </w:rPr>
            </w:pPr>
            <w:r>
              <w:rPr>
                <w:rFonts w:ascii="宋体" w:hAnsi="宋体" w:cs="宋体"/>
                <w:kern w:val="0"/>
                <w:sz w:val="24"/>
                <w:szCs w:val="24"/>
              </w:rPr>
              <w:t>5)自动获取医保相关信息，包括医保对适应症的要求、对药品付费比例及诊疗项目付费比例提示；</w:t>
            </w:r>
          </w:p>
          <w:p>
            <w:pPr>
              <w:rPr>
                <w:rFonts w:hint="default" w:ascii="宋体" w:hAnsi="宋体" w:cs="宋体"/>
                <w:kern w:val="0"/>
                <w:sz w:val="24"/>
                <w:szCs w:val="24"/>
              </w:rPr>
            </w:pPr>
            <w:r>
              <w:rPr>
                <w:rFonts w:ascii="宋体" w:hAnsi="宋体" w:cs="宋体"/>
                <w:kern w:val="0"/>
                <w:sz w:val="24"/>
                <w:szCs w:val="24"/>
              </w:rPr>
              <w:t>6)支持毒麻药品、贵重药品提示功能；</w:t>
            </w:r>
          </w:p>
          <w:p>
            <w:pPr>
              <w:rPr>
                <w:rFonts w:hint="default" w:ascii="宋体" w:hAnsi="宋体" w:cs="宋体"/>
                <w:kern w:val="0"/>
                <w:sz w:val="24"/>
                <w:szCs w:val="24"/>
              </w:rPr>
            </w:pPr>
            <w:r>
              <w:rPr>
                <w:rFonts w:ascii="宋体" w:hAnsi="宋体" w:cs="宋体"/>
                <w:kern w:val="0"/>
                <w:sz w:val="24"/>
                <w:szCs w:val="24"/>
              </w:rPr>
              <w:t xml:space="preserve">7)自动获取药房药品库存数量。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医嘱管理</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1)录入医嘱时对于收费与不收费项目明确显示，支持西药医嘱和草药医嘱开立，提供配方、方剂等功能；</w:t>
            </w:r>
          </w:p>
          <w:p>
            <w:pPr>
              <w:rPr>
                <w:rFonts w:hint="default" w:ascii="宋体" w:hAnsi="宋体" w:cs="宋体"/>
                <w:kern w:val="0"/>
                <w:sz w:val="24"/>
                <w:szCs w:val="24"/>
              </w:rPr>
            </w:pPr>
            <w:r>
              <w:rPr>
                <w:rFonts w:ascii="宋体" w:hAnsi="宋体" w:cs="宋体"/>
                <w:kern w:val="0"/>
                <w:sz w:val="24"/>
                <w:szCs w:val="24"/>
              </w:rPr>
              <w:t>2)提供长期和临时医嘱处理功能，包括医嘱的开立、停止和作废；</w:t>
            </w:r>
          </w:p>
          <w:p>
            <w:pPr>
              <w:rPr>
                <w:rFonts w:hint="default" w:ascii="宋体" w:hAnsi="宋体" w:cs="宋体"/>
                <w:kern w:val="0"/>
                <w:sz w:val="24"/>
                <w:szCs w:val="24"/>
              </w:rPr>
            </w:pPr>
            <w:r>
              <w:rPr>
                <w:rFonts w:ascii="宋体" w:hAnsi="宋体" w:cs="宋体"/>
                <w:kern w:val="0"/>
                <w:sz w:val="24"/>
                <w:szCs w:val="24"/>
              </w:rPr>
              <w:t>3)按医生习惯录入药品剂量、频率，系统自动转换包装量；</w:t>
            </w:r>
          </w:p>
          <w:p>
            <w:pPr>
              <w:rPr>
                <w:rFonts w:hint="default" w:ascii="宋体" w:hAnsi="宋体" w:cs="宋体"/>
                <w:kern w:val="0"/>
                <w:sz w:val="24"/>
                <w:szCs w:val="24"/>
              </w:rPr>
            </w:pPr>
            <w:r>
              <w:rPr>
                <w:rFonts w:ascii="宋体" w:hAnsi="宋体" w:cs="宋体"/>
                <w:kern w:val="0"/>
                <w:sz w:val="24"/>
                <w:szCs w:val="24"/>
              </w:rPr>
              <w:t>4)频率、给药途径，用户可以参数化增加，修改；</w:t>
            </w:r>
          </w:p>
          <w:p>
            <w:pPr>
              <w:rPr>
                <w:rFonts w:hint="default" w:ascii="宋体" w:hAnsi="宋体" w:cs="宋体"/>
                <w:kern w:val="0"/>
                <w:sz w:val="24"/>
                <w:szCs w:val="24"/>
              </w:rPr>
            </w:pPr>
            <w:r>
              <w:rPr>
                <w:rFonts w:ascii="宋体" w:hAnsi="宋体" w:cs="宋体"/>
                <w:kern w:val="0"/>
                <w:sz w:val="24"/>
                <w:szCs w:val="24"/>
              </w:rPr>
              <w:t>5)能够处理间隔时间不固定频率、剂量不是常量的用药医嘱，例如胰岛素；</w:t>
            </w:r>
          </w:p>
          <w:p>
            <w:pPr>
              <w:rPr>
                <w:rFonts w:hint="default" w:ascii="宋体" w:hAnsi="宋体" w:cs="宋体"/>
                <w:kern w:val="0"/>
                <w:sz w:val="24"/>
                <w:szCs w:val="24"/>
              </w:rPr>
            </w:pPr>
            <w:r>
              <w:rPr>
                <w:rFonts w:ascii="宋体" w:hAnsi="宋体" w:cs="宋体"/>
                <w:kern w:val="0"/>
                <w:sz w:val="24"/>
                <w:szCs w:val="24"/>
              </w:rPr>
              <w:t>6)全排斥医嘱（死亡、出院、手术、转科）自动停医嘱；</w:t>
            </w:r>
          </w:p>
          <w:p>
            <w:pPr>
              <w:rPr>
                <w:rFonts w:hint="default" w:ascii="宋体" w:hAnsi="宋体" w:cs="宋体"/>
                <w:kern w:val="0"/>
                <w:sz w:val="24"/>
                <w:szCs w:val="24"/>
              </w:rPr>
            </w:pPr>
            <w:r>
              <w:rPr>
                <w:rFonts w:ascii="宋体" w:hAnsi="宋体" w:cs="宋体"/>
                <w:kern w:val="0"/>
                <w:sz w:val="24"/>
                <w:szCs w:val="24"/>
              </w:rPr>
              <w:t>7)支持单日、多日药品执行；</w:t>
            </w:r>
          </w:p>
          <w:p>
            <w:pPr>
              <w:rPr>
                <w:rFonts w:hint="default" w:ascii="宋体" w:hAnsi="宋体" w:cs="宋体"/>
                <w:kern w:val="0"/>
                <w:sz w:val="24"/>
                <w:szCs w:val="24"/>
              </w:rPr>
            </w:pPr>
            <w:r>
              <w:rPr>
                <w:rFonts w:ascii="宋体" w:hAnsi="宋体" w:cs="宋体"/>
                <w:kern w:val="0"/>
                <w:sz w:val="24"/>
                <w:szCs w:val="24"/>
              </w:rPr>
              <w:t>8)支持材料费用与医嘱绑定功能；</w:t>
            </w:r>
          </w:p>
          <w:p>
            <w:pPr>
              <w:rPr>
                <w:rFonts w:hint="default" w:ascii="宋体" w:hAnsi="宋体" w:cs="宋体"/>
                <w:kern w:val="0"/>
                <w:sz w:val="24"/>
                <w:szCs w:val="24"/>
              </w:rPr>
            </w:pPr>
            <w:r>
              <w:rPr>
                <w:rFonts w:ascii="宋体" w:hAnsi="宋体" w:cs="宋体"/>
                <w:kern w:val="0"/>
                <w:sz w:val="24"/>
                <w:szCs w:val="24"/>
              </w:rPr>
              <w:t xml:space="preserve">9)支持医嘱双签名功能，当由实习医师、试用期医务人员和通过认定的进修医务人员按照上级医师要求下达医嘱时，应当经过本医疗机构注册的医师审阅、修改、确认后生效，并保留书写者与审阅者的双签名； </w:t>
            </w:r>
          </w:p>
          <w:p>
            <w:pPr>
              <w:rPr>
                <w:rFonts w:hint="default" w:ascii="宋体" w:hAnsi="宋体" w:cs="宋体"/>
                <w:kern w:val="0"/>
                <w:sz w:val="24"/>
                <w:szCs w:val="24"/>
              </w:rPr>
            </w:pPr>
            <w:r>
              <w:rPr>
                <w:rFonts w:ascii="宋体" w:hAnsi="宋体" w:cs="宋体"/>
                <w:kern w:val="0"/>
                <w:sz w:val="24"/>
                <w:szCs w:val="24"/>
              </w:rPr>
              <w:t>10)可以直接向PIVA(静脉输液配液中心)传送相关医嘱；</w:t>
            </w:r>
          </w:p>
          <w:p>
            <w:pPr>
              <w:rPr>
                <w:rFonts w:hint="default" w:ascii="宋体" w:hAnsi="宋体" w:cs="宋体"/>
                <w:kern w:val="0"/>
                <w:sz w:val="24"/>
                <w:szCs w:val="24"/>
              </w:rPr>
            </w:pPr>
            <w:r>
              <w:rPr>
                <w:rFonts w:ascii="宋体" w:hAnsi="宋体" w:cs="宋体"/>
                <w:kern w:val="0"/>
                <w:sz w:val="24"/>
                <w:szCs w:val="24"/>
              </w:rPr>
              <w:t>11)按照病历规范,打印长期及临时医嘱单，支持重整长期医嘱，支持打印、选择性打印、重新打印医嘱单的功能；</w:t>
            </w:r>
          </w:p>
          <w:p>
            <w:pPr>
              <w:rPr>
                <w:rFonts w:hint="default" w:ascii="宋体" w:hAnsi="宋体" w:cs="宋体"/>
                <w:kern w:val="0"/>
                <w:sz w:val="24"/>
                <w:szCs w:val="24"/>
              </w:rPr>
            </w:pPr>
            <w:r>
              <w:rPr>
                <w:rFonts w:ascii="宋体" w:hAnsi="宋体" w:cs="宋体"/>
                <w:kern w:val="0"/>
                <w:sz w:val="24"/>
                <w:szCs w:val="24"/>
              </w:rPr>
              <w:t>12)支持毒麻药、贵重药处理；</w:t>
            </w:r>
          </w:p>
          <w:p>
            <w:pPr>
              <w:rPr>
                <w:rFonts w:hint="default" w:ascii="宋体" w:hAnsi="宋体" w:cs="宋体"/>
                <w:kern w:val="0"/>
                <w:sz w:val="24"/>
                <w:szCs w:val="24"/>
              </w:rPr>
            </w:pPr>
            <w:r>
              <w:rPr>
                <w:rFonts w:ascii="宋体" w:hAnsi="宋体" w:cs="宋体"/>
                <w:kern w:val="0"/>
                <w:sz w:val="24"/>
                <w:szCs w:val="24"/>
              </w:rPr>
              <w:t>13)支持化疗用药（提前一天下医嘱、领药）处理；</w:t>
            </w:r>
          </w:p>
          <w:p>
            <w:pPr>
              <w:rPr>
                <w:rFonts w:hint="default" w:ascii="宋体" w:hAnsi="宋体" w:cs="宋体"/>
                <w:kern w:val="0"/>
                <w:sz w:val="24"/>
                <w:szCs w:val="24"/>
              </w:rPr>
            </w:pPr>
            <w:r>
              <w:rPr>
                <w:rFonts w:ascii="宋体" w:hAnsi="宋体" w:cs="宋体"/>
                <w:kern w:val="0"/>
                <w:sz w:val="24"/>
                <w:szCs w:val="24"/>
              </w:rPr>
              <w:t>14)支持单一操作停止当前所有有效医嘱的功能，方便在患者术前或出院前停止所有医嘱；</w:t>
            </w:r>
          </w:p>
          <w:p>
            <w:pPr>
              <w:rPr>
                <w:rFonts w:hint="default" w:ascii="宋体" w:hAnsi="宋体" w:cs="宋体"/>
                <w:kern w:val="0"/>
                <w:sz w:val="24"/>
                <w:szCs w:val="24"/>
              </w:rPr>
            </w:pPr>
            <w:r>
              <w:rPr>
                <w:rFonts w:ascii="宋体" w:hAnsi="宋体" w:cs="宋体"/>
                <w:kern w:val="0"/>
                <w:sz w:val="24"/>
                <w:szCs w:val="24"/>
              </w:rPr>
              <w:t>15)支持显示医嘱对应的收费项目价格，显示患者预交金金额信息的功能；</w:t>
            </w:r>
          </w:p>
          <w:p>
            <w:pPr>
              <w:rPr>
                <w:rFonts w:hint="default" w:ascii="宋体" w:hAnsi="宋体" w:cs="宋体"/>
                <w:kern w:val="0"/>
                <w:sz w:val="24"/>
                <w:szCs w:val="24"/>
              </w:rPr>
            </w:pPr>
            <w:r>
              <w:rPr>
                <w:rFonts w:ascii="宋体" w:hAnsi="宋体" w:cs="宋体"/>
                <w:kern w:val="0"/>
                <w:sz w:val="24"/>
                <w:szCs w:val="24"/>
              </w:rPr>
              <w:t>16)医师下达医嘱时自动依据病人类型调取对应的药物及诊疗目录；</w:t>
            </w:r>
          </w:p>
          <w:p>
            <w:pPr>
              <w:rPr>
                <w:rFonts w:hint="default" w:ascii="宋体" w:hAnsi="宋体" w:cs="宋体"/>
                <w:kern w:val="0"/>
                <w:sz w:val="24"/>
                <w:szCs w:val="24"/>
              </w:rPr>
            </w:pPr>
            <w:r>
              <w:rPr>
                <w:rFonts w:ascii="宋体" w:hAnsi="宋体" w:cs="宋体"/>
                <w:kern w:val="0"/>
                <w:sz w:val="24"/>
                <w:szCs w:val="24"/>
              </w:rPr>
              <w:t>17)支持药品、医用耗材、诊疗项目等字典及分类检索、编码检索、关键字检索等功能，供用户录入医嘱使用；</w:t>
            </w:r>
          </w:p>
          <w:p>
            <w:pPr>
              <w:rPr>
                <w:rFonts w:hint="default" w:ascii="宋体" w:hAnsi="宋体" w:cs="宋体"/>
                <w:kern w:val="0"/>
                <w:sz w:val="24"/>
                <w:szCs w:val="24"/>
              </w:rPr>
            </w:pPr>
            <w:r>
              <w:rPr>
                <w:rFonts w:ascii="宋体" w:hAnsi="宋体" w:cs="宋体"/>
                <w:kern w:val="0"/>
                <w:sz w:val="24"/>
                <w:szCs w:val="24"/>
              </w:rPr>
              <w:t>18)自动记录医嘱录入时间和录入医师信息的功能；</w:t>
            </w:r>
          </w:p>
          <w:p>
            <w:pPr>
              <w:rPr>
                <w:rFonts w:hint="default" w:ascii="宋体" w:hAnsi="宋体" w:cs="宋体"/>
                <w:kern w:val="0"/>
                <w:sz w:val="24"/>
                <w:szCs w:val="24"/>
              </w:rPr>
            </w:pPr>
            <w:r>
              <w:rPr>
                <w:rFonts w:ascii="宋体" w:hAnsi="宋体" w:cs="宋体"/>
                <w:kern w:val="0"/>
                <w:sz w:val="24"/>
                <w:szCs w:val="24"/>
              </w:rPr>
              <w:t>19)支持医嘱补录入功能，因抢救危急患者需要下达口头医嘱，应当在抢救结束后即刻据实补记录入，并给予特殊标识；</w:t>
            </w:r>
          </w:p>
          <w:p>
            <w:pPr>
              <w:rPr>
                <w:rFonts w:hint="default" w:ascii="宋体" w:hAnsi="宋体" w:cs="宋体"/>
                <w:kern w:val="0"/>
                <w:sz w:val="24"/>
                <w:szCs w:val="24"/>
              </w:rPr>
            </w:pPr>
            <w:r>
              <w:rPr>
                <w:rFonts w:ascii="宋体" w:hAnsi="宋体" w:cs="宋体"/>
                <w:kern w:val="0"/>
                <w:sz w:val="24"/>
                <w:szCs w:val="24"/>
              </w:rPr>
              <w:t>20)支持医嘱模板辅助录入功能和成组医嘱录入功能，医师可以根据患者病情选择、修改其中部分或全部医嘱，同时支持使用自由文本录入医嘱的功能；</w:t>
            </w:r>
          </w:p>
          <w:p>
            <w:pPr>
              <w:rPr>
                <w:rFonts w:hint="default" w:ascii="宋体" w:hAnsi="宋体" w:cs="宋体"/>
                <w:kern w:val="0"/>
                <w:sz w:val="24"/>
                <w:szCs w:val="24"/>
              </w:rPr>
            </w:pPr>
            <w:r>
              <w:rPr>
                <w:rFonts w:ascii="宋体" w:hAnsi="宋体" w:cs="宋体"/>
                <w:kern w:val="0"/>
                <w:sz w:val="24"/>
                <w:szCs w:val="24"/>
              </w:rPr>
              <w:t>21)支持医师级别与处方权相匹配的提示功能；</w:t>
            </w:r>
          </w:p>
          <w:p>
            <w:pPr>
              <w:rPr>
                <w:rFonts w:hint="default" w:ascii="宋体" w:hAnsi="宋体" w:cs="宋体"/>
                <w:kern w:val="0"/>
                <w:sz w:val="24"/>
                <w:szCs w:val="24"/>
              </w:rPr>
            </w:pPr>
            <w:r>
              <w:rPr>
                <w:rFonts w:ascii="宋体" w:hAnsi="宋体" w:cs="宋体"/>
                <w:kern w:val="0"/>
                <w:sz w:val="24"/>
                <w:szCs w:val="24"/>
              </w:rPr>
              <w:t>22)支持自备药的标识功能；</w:t>
            </w:r>
          </w:p>
          <w:p>
            <w:pPr>
              <w:rPr>
                <w:rFonts w:hint="default" w:ascii="宋体" w:hAnsi="宋体" w:cs="宋体"/>
                <w:kern w:val="0"/>
                <w:sz w:val="24"/>
                <w:szCs w:val="24"/>
              </w:rPr>
            </w:pPr>
            <w:r>
              <w:rPr>
                <w:rFonts w:ascii="宋体" w:hAnsi="宋体" w:cs="宋体"/>
                <w:kern w:val="0"/>
                <w:sz w:val="24"/>
                <w:szCs w:val="24"/>
              </w:rPr>
              <w:t>23)支持抗菌药物分级使用管理的功能；</w:t>
            </w:r>
          </w:p>
          <w:p>
            <w:pPr>
              <w:rPr>
                <w:rFonts w:hint="default" w:ascii="宋体" w:hAnsi="宋体" w:cs="宋体"/>
                <w:kern w:val="0"/>
                <w:sz w:val="24"/>
                <w:szCs w:val="24"/>
              </w:rPr>
            </w:pPr>
            <w:r>
              <w:rPr>
                <w:rFonts w:ascii="宋体" w:hAnsi="宋体" w:cs="宋体"/>
                <w:kern w:val="0"/>
                <w:sz w:val="24"/>
                <w:szCs w:val="24"/>
              </w:rPr>
              <w:t>24)支持检查检验医嘱录入功能；</w:t>
            </w:r>
          </w:p>
          <w:p>
            <w:pPr>
              <w:rPr>
                <w:rFonts w:hint="default" w:ascii="宋体" w:hAnsi="宋体" w:cs="宋体"/>
                <w:kern w:val="0"/>
                <w:sz w:val="24"/>
                <w:szCs w:val="24"/>
              </w:rPr>
            </w:pPr>
            <w:r>
              <w:rPr>
                <w:rFonts w:ascii="宋体" w:hAnsi="宋体" w:cs="宋体"/>
                <w:kern w:val="0"/>
                <w:sz w:val="24"/>
                <w:szCs w:val="24"/>
              </w:rPr>
              <w:t>25)支持各类检查检验申请单模板、项目字典等功能；</w:t>
            </w:r>
          </w:p>
          <w:p>
            <w:pPr>
              <w:rPr>
                <w:rFonts w:hint="default" w:ascii="宋体" w:hAnsi="宋体" w:cs="宋体"/>
                <w:kern w:val="0"/>
                <w:sz w:val="24"/>
                <w:szCs w:val="24"/>
              </w:rPr>
            </w:pPr>
            <w:r>
              <w:rPr>
                <w:rFonts w:ascii="宋体" w:hAnsi="宋体" w:cs="宋体"/>
                <w:kern w:val="0"/>
                <w:sz w:val="24"/>
                <w:szCs w:val="24"/>
              </w:rPr>
              <w:t>26)支持生成检查检验申请单时自动获取患者基本信息和临床诊疗信息的功能，并对申请单内容完整性、合理性进行审核、提示；</w:t>
            </w:r>
          </w:p>
          <w:p>
            <w:pPr>
              <w:rPr>
                <w:rFonts w:hint="default" w:ascii="宋体" w:hAnsi="宋体" w:cs="宋体"/>
                <w:kern w:val="0"/>
                <w:sz w:val="24"/>
                <w:szCs w:val="24"/>
              </w:rPr>
            </w:pPr>
            <w:r>
              <w:rPr>
                <w:rFonts w:ascii="宋体" w:hAnsi="宋体" w:cs="宋体"/>
                <w:kern w:val="0"/>
                <w:sz w:val="24"/>
                <w:szCs w:val="24"/>
              </w:rPr>
              <w:t>27)支持为指定检查检验医嘱标识紧急程度的功能；</w:t>
            </w:r>
          </w:p>
          <w:p>
            <w:pPr>
              <w:rPr>
                <w:rFonts w:hint="default" w:ascii="宋体" w:hAnsi="宋体" w:cs="宋体"/>
                <w:kern w:val="0"/>
                <w:sz w:val="24"/>
                <w:szCs w:val="24"/>
              </w:rPr>
            </w:pPr>
            <w:r>
              <w:rPr>
                <w:rFonts w:ascii="宋体" w:hAnsi="宋体" w:cs="宋体"/>
                <w:kern w:val="0"/>
                <w:sz w:val="24"/>
                <w:szCs w:val="24"/>
              </w:rPr>
              <w:t>28)支持各类检查检验申请单打印功能；</w:t>
            </w:r>
          </w:p>
          <w:p>
            <w:pPr>
              <w:rPr>
                <w:rFonts w:hint="default" w:ascii="宋体" w:hAnsi="宋体" w:cs="宋体"/>
                <w:kern w:val="0"/>
                <w:sz w:val="24"/>
                <w:szCs w:val="24"/>
              </w:rPr>
            </w:pPr>
            <w:r>
              <w:rPr>
                <w:rFonts w:ascii="宋体" w:hAnsi="宋体" w:cs="宋体"/>
                <w:kern w:val="0"/>
                <w:sz w:val="24"/>
                <w:szCs w:val="24"/>
              </w:rPr>
              <w:t>29)支持检查检验申请执行状态查询功能；</w:t>
            </w:r>
          </w:p>
          <w:p>
            <w:pPr>
              <w:rPr>
                <w:rFonts w:hint="default" w:ascii="宋体" w:hAnsi="宋体" w:cs="宋体"/>
                <w:kern w:val="0"/>
                <w:sz w:val="24"/>
                <w:szCs w:val="24"/>
              </w:rPr>
            </w:pPr>
            <w:r>
              <w:rPr>
                <w:rFonts w:ascii="宋体" w:hAnsi="宋体" w:cs="宋体"/>
                <w:kern w:val="0"/>
                <w:sz w:val="24"/>
                <w:szCs w:val="24"/>
              </w:rPr>
              <w:t>30)同一个病人医嘱复制功能；</w:t>
            </w:r>
          </w:p>
          <w:p>
            <w:pPr>
              <w:rPr>
                <w:rFonts w:hint="default" w:ascii="宋体" w:hAnsi="宋体" w:cs="宋体"/>
                <w:kern w:val="0"/>
                <w:sz w:val="24"/>
                <w:szCs w:val="24"/>
              </w:rPr>
            </w:pPr>
            <w:r>
              <w:rPr>
                <w:rFonts w:ascii="宋体" w:hAnsi="宋体" w:cs="宋体"/>
                <w:kern w:val="0"/>
                <w:sz w:val="24"/>
                <w:szCs w:val="24"/>
              </w:rPr>
              <w:t>31)支持将常用医嘱另存为医嘱套功能；</w:t>
            </w:r>
          </w:p>
          <w:p>
            <w:pPr>
              <w:rPr>
                <w:rFonts w:hint="default" w:ascii="宋体" w:hAnsi="宋体" w:cs="宋体"/>
                <w:kern w:val="0"/>
                <w:sz w:val="24"/>
                <w:szCs w:val="24"/>
              </w:rPr>
            </w:pPr>
            <w:r>
              <w:rPr>
                <w:rFonts w:ascii="宋体" w:hAnsi="宋体" w:cs="宋体"/>
                <w:kern w:val="0"/>
                <w:sz w:val="24"/>
                <w:szCs w:val="24"/>
              </w:rPr>
              <w:t>32)支持产妇和新生儿医嘱分别管理和记账功能。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手术申请管理</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1)住院医生提交手术申请单，填写病人信息、医生科室、手术医生、手术助手、手术名称、术前诊断等信息；</w:t>
            </w:r>
          </w:p>
          <w:p>
            <w:pPr>
              <w:rPr>
                <w:rFonts w:hint="default" w:ascii="宋体" w:hAnsi="宋体" w:cs="宋体"/>
                <w:kern w:val="0"/>
                <w:sz w:val="24"/>
                <w:szCs w:val="24"/>
              </w:rPr>
            </w:pPr>
            <w:r>
              <w:rPr>
                <w:rFonts w:ascii="宋体" w:hAnsi="宋体" w:cs="宋体"/>
                <w:kern w:val="0"/>
                <w:sz w:val="24"/>
                <w:szCs w:val="24"/>
              </w:rPr>
              <w:t>2)允许修改和取消手术申请；</w:t>
            </w:r>
          </w:p>
          <w:p>
            <w:pPr>
              <w:rPr>
                <w:rFonts w:hint="default" w:ascii="宋体" w:hAnsi="宋体" w:cs="宋体"/>
                <w:kern w:val="0"/>
                <w:sz w:val="24"/>
                <w:szCs w:val="24"/>
              </w:rPr>
            </w:pPr>
            <w:r>
              <w:rPr>
                <w:rFonts w:ascii="宋体" w:hAnsi="宋体" w:cs="宋体"/>
                <w:kern w:val="0"/>
                <w:sz w:val="24"/>
                <w:szCs w:val="24"/>
              </w:rPr>
              <w:t>3)手术麻醉排班查询。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与其他系统集成互联</w:t>
            </w:r>
          </w:p>
        </w:tc>
        <w:tc>
          <w:tcPr>
            <w:tcW w:w="3529" w:type="pct"/>
            <w:noWrap w:val="0"/>
            <w:vAlign w:val="center"/>
          </w:tcPr>
          <w:p>
            <w:pPr>
              <w:pStyle w:val="175"/>
              <w:ind w:firstLine="0" w:firstLineChars="0"/>
              <w:rPr>
                <w:rFonts w:hint="default" w:ascii="宋体" w:hAnsi="宋体"/>
                <w:sz w:val="24"/>
                <w:szCs w:val="24"/>
              </w:rPr>
            </w:pPr>
            <w:r>
              <w:rPr>
                <w:rFonts w:ascii="宋体" w:hAnsi="宋体" w:cs="宋体"/>
                <w:kern w:val="0"/>
                <w:sz w:val="24"/>
                <w:szCs w:val="24"/>
              </w:rPr>
              <w:t>1)支持</w:t>
            </w:r>
            <w:r>
              <w:rPr>
                <w:rFonts w:ascii="宋体" w:hAnsi="宋体"/>
                <w:sz w:val="24"/>
                <w:szCs w:val="24"/>
              </w:rPr>
              <w:t>与LIS/PACS系统集成，实现申请单的传递和检验结果、诊断报告、影像图片的回传；</w:t>
            </w:r>
          </w:p>
          <w:p>
            <w:pPr>
              <w:pStyle w:val="175"/>
              <w:ind w:firstLine="0" w:firstLineChars="0"/>
              <w:rPr>
                <w:rFonts w:hint="default" w:ascii="宋体" w:hAnsi="宋体"/>
                <w:sz w:val="24"/>
                <w:szCs w:val="24"/>
              </w:rPr>
            </w:pPr>
            <w:r>
              <w:rPr>
                <w:rFonts w:ascii="宋体" w:hAnsi="宋体" w:cs="宋体"/>
                <w:kern w:val="0"/>
                <w:sz w:val="24"/>
                <w:szCs w:val="24"/>
              </w:rPr>
              <w:t>2)支持</w:t>
            </w:r>
            <w:r>
              <w:rPr>
                <w:rFonts w:ascii="宋体" w:hAnsi="宋体"/>
                <w:sz w:val="24"/>
                <w:szCs w:val="24"/>
              </w:rPr>
              <w:t>与电子签名系统（CA）集成，支持诊疗活动记录的电子签名；</w:t>
            </w:r>
          </w:p>
          <w:p>
            <w:pPr>
              <w:pStyle w:val="175"/>
              <w:ind w:firstLine="0" w:firstLineChars="0"/>
              <w:rPr>
                <w:rFonts w:hint="default" w:ascii="宋体" w:hAnsi="宋体"/>
                <w:sz w:val="24"/>
                <w:szCs w:val="24"/>
              </w:rPr>
            </w:pPr>
            <w:r>
              <w:rPr>
                <w:rFonts w:ascii="宋体" w:hAnsi="宋体" w:cs="宋体"/>
                <w:kern w:val="0"/>
                <w:sz w:val="24"/>
                <w:szCs w:val="24"/>
              </w:rPr>
              <w:t>3)支持</w:t>
            </w:r>
            <w:r>
              <w:rPr>
                <w:rFonts w:ascii="宋体" w:hAnsi="宋体"/>
                <w:sz w:val="24"/>
                <w:szCs w:val="24"/>
              </w:rPr>
              <w:t>与临床路径系统集成；</w:t>
            </w:r>
          </w:p>
          <w:p>
            <w:pPr>
              <w:pStyle w:val="175"/>
              <w:ind w:firstLine="0" w:firstLineChars="0"/>
              <w:rPr>
                <w:rFonts w:hint="default" w:ascii="宋体" w:hAnsi="宋体"/>
                <w:sz w:val="24"/>
                <w:szCs w:val="24"/>
              </w:rPr>
            </w:pPr>
            <w:r>
              <w:rPr>
                <w:rFonts w:ascii="宋体" w:hAnsi="宋体" w:cs="宋体"/>
                <w:kern w:val="0"/>
                <w:sz w:val="24"/>
                <w:szCs w:val="24"/>
              </w:rPr>
              <w:t>4)支持</w:t>
            </w:r>
            <w:r>
              <w:rPr>
                <w:rFonts w:ascii="宋体" w:hAnsi="宋体"/>
                <w:sz w:val="24"/>
                <w:szCs w:val="24"/>
              </w:rPr>
              <w:t>与电子病历（EMR）系统集成；</w:t>
            </w:r>
          </w:p>
          <w:p>
            <w:pPr>
              <w:pStyle w:val="175"/>
              <w:ind w:firstLine="0" w:firstLineChars="0"/>
              <w:rPr>
                <w:rFonts w:hint="default" w:ascii="宋体" w:hAnsi="宋体"/>
                <w:sz w:val="24"/>
                <w:szCs w:val="24"/>
              </w:rPr>
            </w:pPr>
            <w:r>
              <w:rPr>
                <w:rFonts w:ascii="宋体" w:hAnsi="宋体" w:cs="宋体"/>
                <w:kern w:val="0"/>
                <w:sz w:val="24"/>
                <w:szCs w:val="24"/>
              </w:rPr>
              <w:t>5)支持</w:t>
            </w:r>
            <w:r>
              <w:rPr>
                <w:rFonts w:ascii="宋体" w:hAnsi="宋体"/>
                <w:sz w:val="24"/>
                <w:szCs w:val="24"/>
              </w:rPr>
              <w:t>与院感系统集成。</w:t>
            </w:r>
          </w:p>
        </w:tc>
      </w:tr>
    </w:tbl>
    <w:p>
      <w:pPr>
        <w:pStyle w:val="5"/>
        <w:numPr>
          <w:ilvl w:val="2"/>
          <w:numId w:val="5"/>
        </w:numPr>
        <w:spacing w:before="0" w:after="0" w:line="360" w:lineRule="auto"/>
        <w:rPr>
          <w:rFonts w:ascii="宋体" w:hAnsi="宋体"/>
        </w:rPr>
      </w:pPr>
      <w:bookmarkStart w:id="589" w:name="_Toc16134"/>
      <w:r>
        <w:rPr>
          <w:rFonts w:hint="eastAsia" w:ascii="宋体" w:hAnsi="宋体"/>
        </w:rPr>
        <w:t>住院护士站系统</w:t>
      </w:r>
      <w:bookmarkEnd w:id="589"/>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1785"/>
        <w:gridCol w:w="6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tblHeader/>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1047"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52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病人入科</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1)对于待入科患者以列表形式显示；</w:t>
            </w:r>
          </w:p>
          <w:p>
            <w:pPr>
              <w:rPr>
                <w:rFonts w:hint="default" w:ascii="宋体" w:hAnsi="宋体" w:cs="宋体"/>
                <w:kern w:val="0"/>
                <w:sz w:val="24"/>
                <w:szCs w:val="24"/>
              </w:rPr>
            </w:pPr>
            <w:r>
              <w:rPr>
                <w:rFonts w:ascii="宋体" w:hAnsi="宋体" w:cs="宋体"/>
                <w:kern w:val="0"/>
                <w:sz w:val="24"/>
                <w:szCs w:val="24"/>
              </w:rPr>
              <w:t>2)能够查看患者的基本信息（如姓名、性别、年龄、患者类型、诊断等），为患者分配管床医生、责任护士、床位；</w:t>
            </w:r>
          </w:p>
          <w:p>
            <w:pPr>
              <w:rPr>
                <w:rFonts w:hint="default" w:ascii="宋体" w:hAnsi="宋体" w:cs="宋体"/>
                <w:kern w:val="0"/>
                <w:sz w:val="24"/>
                <w:szCs w:val="24"/>
              </w:rPr>
            </w:pPr>
            <w:r>
              <w:rPr>
                <w:rFonts w:ascii="宋体" w:hAnsi="宋体" w:cs="宋体"/>
                <w:kern w:val="0"/>
                <w:sz w:val="24"/>
                <w:szCs w:val="24"/>
              </w:rPr>
              <w:t>3)对于空闲床位以卡片形式显示，并能够查看床位收费标准。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腕带打印</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1)用于科室打印患者腕带。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病人转入</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1)能够查询所有待转入患者、支持输入住院号检索；</w:t>
            </w:r>
          </w:p>
          <w:p>
            <w:pPr>
              <w:rPr>
                <w:rFonts w:hint="default" w:ascii="宋体" w:hAnsi="宋体" w:cs="宋体"/>
                <w:kern w:val="0"/>
                <w:sz w:val="24"/>
                <w:szCs w:val="24"/>
              </w:rPr>
            </w:pPr>
            <w:r>
              <w:rPr>
                <w:rFonts w:ascii="宋体" w:hAnsi="宋体" w:cs="宋体"/>
                <w:kern w:val="0"/>
                <w:sz w:val="24"/>
                <w:szCs w:val="24"/>
              </w:rPr>
              <w:t>2)能够查看患者的基本信息（如姓名、性别、年龄、患者类型、诊断等），为患者分配管床医生、责任护士、床位。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病人转出</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1)为需要转出的患者选择转入的科室，支持撤销转出功能；</w:t>
            </w:r>
          </w:p>
          <w:p>
            <w:pPr>
              <w:rPr>
                <w:rFonts w:hint="default" w:ascii="宋体" w:hAnsi="宋体" w:cs="宋体"/>
                <w:kern w:val="0"/>
                <w:sz w:val="24"/>
                <w:szCs w:val="24"/>
              </w:rPr>
            </w:pPr>
            <w:r>
              <w:rPr>
                <w:rFonts w:ascii="宋体" w:hAnsi="宋体" w:cs="宋体"/>
                <w:kern w:val="0"/>
                <w:sz w:val="24"/>
                <w:szCs w:val="24"/>
              </w:rPr>
              <w:t>2)对需要转科的患者进行数据判断（如是否有多计费、未领药、未记账等），支持未领药退药功能。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病人预出院</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1)对出科（预出院）患者进行出院情况（治愈、好转、死亡等）录入，支持出院证打印功能；</w:t>
            </w:r>
          </w:p>
          <w:p>
            <w:pPr>
              <w:rPr>
                <w:rFonts w:hint="default" w:ascii="宋体" w:hAnsi="宋体" w:cs="宋体"/>
                <w:kern w:val="0"/>
                <w:sz w:val="24"/>
                <w:szCs w:val="24"/>
              </w:rPr>
            </w:pPr>
            <w:r>
              <w:rPr>
                <w:rFonts w:ascii="宋体" w:hAnsi="宋体" w:cs="宋体"/>
                <w:kern w:val="0"/>
                <w:sz w:val="24"/>
                <w:szCs w:val="24"/>
              </w:rPr>
              <w:t>2)对需要出科的患者进行数据判断（如是否有多计费、未领药、未记账等），支持未领药退药功能、药费核对、治疗费核对、检查申请单核对等功能；</w:t>
            </w:r>
          </w:p>
          <w:p>
            <w:pPr>
              <w:rPr>
                <w:rFonts w:hint="default" w:ascii="宋体" w:hAnsi="宋体" w:cs="宋体"/>
                <w:kern w:val="0"/>
                <w:sz w:val="24"/>
                <w:szCs w:val="24"/>
              </w:rPr>
            </w:pPr>
            <w:r>
              <w:rPr>
                <w:rFonts w:ascii="宋体" w:hAnsi="宋体" w:cs="宋体"/>
                <w:kern w:val="0"/>
                <w:sz w:val="24"/>
                <w:szCs w:val="24"/>
              </w:rPr>
              <w:t>3)支持出院召回功能。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更改主治医师</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1)主要完成对患者主治医师的更改业务。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更改护理级别</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1)主要完成对患者护理级别的更改业务。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更改责任护士</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1)主要完成对患者责任护士的更改业务。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病人综合信息查询</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1)能够根据条件查询在院、转科、出院患者；</w:t>
            </w:r>
          </w:p>
          <w:p>
            <w:pPr>
              <w:rPr>
                <w:rFonts w:hint="default" w:ascii="宋体" w:hAnsi="宋体" w:cs="宋体"/>
                <w:kern w:val="0"/>
                <w:sz w:val="24"/>
                <w:szCs w:val="24"/>
              </w:rPr>
            </w:pPr>
            <w:r>
              <w:rPr>
                <w:rFonts w:ascii="宋体" w:hAnsi="宋体" w:cs="宋体"/>
                <w:kern w:val="0"/>
                <w:sz w:val="24"/>
                <w:szCs w:val="24"/>
              </w:rPr>
              <w:t>2)患者基本信息功能：包括入院时间、诊断、押金余额、报销费用等基本信息的显示；</w:t>
            </w:r>
          </w:p>
          <w:p>
            <w:pPr>
              <w:rPr>
                <w:rFonts w:hint="default" w:ascii="宋体" w:hAnsi="宋体" w:cs="宋体"/>
                <w:kern w:val="0"/>
                <w:sz w:val="24"/>
                <w:szCs w:val="24"/>
              </w:rPr>
            </w:pPr>
            <w:r>
              <w:rPr>
                <w:rFonts w:ascii="宋体" w:hAnsi="宋体" w:cs="宋体"/>
                <w:kern w:val="0"/>
                <w:sz w:val="24"/>
                <w:szCs w:val="24"/>
              </w:rPr>
              <w:t>3)医嘱查询功能：能够查询患者所有医嘱执行情况、记账情况；</w:t>
            </w:r>
          </w:p>
          <w:p>
            <w:pPr>
              <w:rPr>
                <w:rFonts w:hint="default" w:ascii="宋体" w:hAnsi="宋体" w:cs="宋体"/>
                <w:kern w:val="0"/>
                <w:sz w:val="24"/>
                <w:szCs w:val="24"/>
              </w:rPr>
            </w:pPr>
            <w:r>
              <w:rPr>
                <w:rFonts w:ascii="宋体" w:hAnsi="宋体" w:cs="宋体"/>
                <w:kern w:val="0"/>
                <w:sz w:val="24"/>
                <w:szCs w:val="24"/>
              </w:rPr>
              <w:t>4)押金查询功能：查询押金记录；</w:t>
            </w:r>
          </w:p>
          <w:p>
            <w:pPr>
              <w:rPr>
                <w:rFonts w:hint="default" w:ascii="宋体" w:hAnsi="宋体" w:cs="宋体"/>
                <w:kern w:val="0"/>
                <w:sz w:val="24"/>
                <w:szCs w:val="24"/>
              </w:rPr>
            </w:pPr>
            <w:r>
              <w:rPr>
                <w:rFonts w:ascii="宋体" w:hAnsi="宋体" w:cs="宋体"/>
                <w:kern w:val="0"/>
                <w:sz w:val="24"/>
                <w:szCs w:val="24"/>
              </w:rPr>
              <w:t>5)明细费用功能：查询所有收费明细记录。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治疗/诊疗项目记账</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1)完成治疗费记账业务，支持组合项目快速录入及记账单打印功能。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治疗/诊疗项目退费申请</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1)完成治疗费退费申请业务，支持退费申请作废功能，最后经过住院收费确认并实际退费。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治疗/诊疗项目退费</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1)在护士站直接退费，不再经过住院收费。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科室记账申请</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1)本科室申请记别的科室患者费用，可向对方科室发出记账申请。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14</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科室记账</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1)将记账科室发过来的记账申请确认，同确认记账扣费。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15</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科室记账退费申请</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1)对本科申请记账的项目进行退费申请，然后病人所在科进行确认。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16</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科室记账退费确认</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1)确认他科申请退费的记账项目进行确认，并发往住院收费处。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17</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新生儿入院登记</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1)产科对新生儿病人进行入院登记操作，对新生儿分配独立的住院号。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18</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婴儿信息维护</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1)产科维护新生儿信息，新生儿不占用住院号。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19</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医嘱审核</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1)可以审核医生新开的医嘱；</w:t>
            </w:r>
          </w:p>
          <w:p>
            <w:pPr>
              <w:rPr>
                <w:rFonts w:hint="default" w:ascii="宋体" w:hAnsi="宋体" w:cs="宋体"/>
                <w:kern w:val="0"/>
                <w:sz w:val="24"/>
                <w:szCs w:val="24"/>
              </w:rPr>
            </w:pPr>
            <w:r>
              <w:rPr>
                <w:rFonts w:ascii="宋体" w:hAnsi="宋体" w:cs="宋体"/>
                <w:kern w:val="0"/>
                <w:sz w:val="24"/>
                <w:szCs w:val="24"/>
              </w:rPr>
              <w:t>2)可以审核确认医师停止或作废的医嘱；</w:t>
            </w:r>
          </w:p>
          <w:p>
            <w:pPr>
              <w:rPr>
                <w:rFonts w:hint="default" w:ascii="宋体" w:hAnsi="宋体" w:cs="宋体"/>
                <w:kern w:val="0"/>
                <w:sz w:val="24"/>
                <w:szCs w:val="24"/>
              </w:rPr>
            </w:pPr>
            <w:r>
              <w:rPr>
                <w:rFonts w:ascii="宋体" w:hAnsi="宋体" w:cs="宋体"/>
                <w:kern w:val="0"/>
                <w:sz w:val="24"/>
                <w:szCs w:val="24"/>
              </w:rPr>
              <w:t>3)可以每天审核在执行的长期医嘱；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20</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医嘱处理</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1)护士处理医嘱用（药疗医嘱发送的药房领药；检查检验发送到相应的医技科室执行等）。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21</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医嘱执行</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1)支持药疗医嘱执行时，根据用法记附属项目费用；</w:t>
            </w:r>
          </w:p>
          <w:p>
            <w:pPr>
              <w:rPr>
                <w:rFonts w:hint="default" w:ascii="宋体" w:hAnsi="宋体" w:cs="宋体"/>
                <w:kern w:val="0"/>
                <w:sz w:val="24"/>
                <w:szCs w:val="24"/>
              </w:rPr>
            </w:pPr>
            <w:r>
              <w:rPr>
                <w:rFonts w:ascii="宋体" w:hAnsi="宋体" w:cs="宋体"/>
                <w:kern w:val="0"/>
                <w:sz w:val="24"/>
                <w:szCs w:val="24"/>
              </w:rPr>
              <w:t>2)自动记账项目，执行时不再记账，而是晚上通过服务自动记账。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22</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医嘱查询</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1)医嘱执行情况查询：可以查询医嘱审核、处理、执行等记录。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23</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医嘱修改</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1)查询患者的所有医嘱信息；</w:t>
            </w:r>
          </w:p>
          <w:p>
            <w:pPr>
              <w:rPr>
                <w:rFonts w:hint="default" w:ascii="宋体" w:hAnsi="宋体" w:cs="宋体"/>
                <w:kern w:val="0"/>
                <w:sz w:val="24"/>
                <w:szCs w:val="24"/>
              </w:rPr>
            </w:pPr>
            <w:r>
              <w:rPr>
                <w:rFonts w:ascii="宋体" w:hAnsi="宋体" w:cs="宋体"/>
                <w:kern w:val="0"/>
                <w:sz w:val="24"/>
                <w:szCs w:val="24"/>
              </w:rPr>
              <w:t>2)可以再次修改皮试医嘱的皮试结果。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24</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领药单</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1)可以查询已领药、未领药信息。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25</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检验条码</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1)与LIS对接后，再次可以调用LIS条码打印程序。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26</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注射单</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1)按时间段统计科室注射单。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27</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输液单</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1)可以打印大输液卡、小输液卡、床头卡片、摆药单、巡视卡等多种单据类型。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28</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汇总执行单</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1)用于打印医嘱汇总执行单。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29</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分类执行单</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1)用于打印医嘱分类执行单。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30</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摆药单</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1)用于打印口服药摆药单。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31</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长期医嘱本</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1)查看长期医嘱本。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32</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临时医嘱本</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1)查看临时医嘱本。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33</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汤剂医嘱本</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1)查看草药汤剂医嘱本。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34</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退药处理</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1)未领药可以在此直接退掉；</w:t>
            </w:r>
          </w:p>
          <w:p>
            <w:pPr>
              <w:rPr>
                <w:rFonts w:hint="default" w:ascii="宋体" w:hAnsi="宋体" w:cs="宋体"/>
                <w:kern w:val="0"/>
                <w:sz w:val="24"/>
                <w:szCs w:val="24"/>
              </w:rPr>
            </w:pPr>
            <w:r>
              <w:rPr>
                <w:rFonts w:ascii="宋体" w:hAnsi="宋体" w:cs="宋体"/>
                <w:kern w:val="0"/>
                <w:sz w:val="24"/>
                <w:szCs w:val="24"/>
              </w:rPr>
              <w:t>2)已领药可以产生退药申请，经药房确认后即可退药成功；</w:t>
            </w:r>
          </w:p>
          <w:p>
            <w:pPr>
              <w:rPr>
                <w:rFonts w:hint="default" w:ascii="宋体" w:hAnsi="宋体" w:cs="宋体"/>
                <w:kern w:val="0"/>
                <w:sz w:val="24"/>
                <w:szCs w:val="24"/>
              </w:rPr>
            </w:pPr>
            <w:r>
              <w:rPr>
                <w:rFonts w:ascii="宋体" w:hAnsi="宋体" w:cs="宋体"/>
                <w:kern w:val="0"/>
                <w:sz w:val="24"/>
                <w:szCs w:val="24"/>
              </w:rPr>
              <w:t>3)支持作废已领药退药申请单。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35</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配送药品审核</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1)支持对配送药品进行审核、作废等功能。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36</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调床</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1)支持对患者进行调床操作。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37</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包床</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1)支持对患者进行包床操作。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38</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床位标准调整</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1)支持对某个床位进行床位标准调整。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39</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床位显示顺序调整</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1)支持床位排序调整。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40</w:t>
            </w:r>
          </w:p>
        </w:tc>
        <w:tc>
          <w:tcPr>
            <w:tcW w:w="1047"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病区工作日报</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1)支持病区日报的自动提取、修改、保存、审核功能。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vMerge w:val="continue"/>
            <w:noWrap w:val="0"/>
            <w:vAlign w:val="center"/>
          </w:tcPr>
          <w:p>
            <w:pPr>
              <w:jc w:val="center"/>
              <w:rPr>
                <w:rFonts w:hint="default" w:ascii="宋体" w:hAnsi="宋体" w:cs="宋体"/>
                <w:kern w:val="0"/>
                <w:sz w:val="24"/>
                <w:szCs w:val="24"/>
              </w:rPr>
            </w:pPr>
          </w:p>
        </w:tc>
        <w:tc>
          <w:tcPr>
            <w:tcW w:w="1047" w:type="pct"/>
            <w:vMerge w:val="continue"/>
            <w:noWrap w:val="0"/>
            <w:vAlign w:val="center"/>
          </w:tcPr>
          <w:p>
            <w:pPr>
              <w:rPr>
                <w:rFonts w:hint="default" w:ascii="宋体" w:hAnsi="宋体" w:cs="宋体"/>
                <w:kern w:val="0"/>
                <w:sz w:val="24"/>
                <w:szCs w:val="24"/>
              </w:rPr>
            </w:pP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1)支持对已审核的病区日报进行撤销、修改等功能。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41</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危重病人登记</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1)支持对并科室危重患者进行登记，录入相应的处理措施。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42</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病人转科交接记录</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1)支持录入患者转科交接记录。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43</w:t>
            </w:r>
          </w:p>
        </w:tc>
        <w:tc>
          <w:tcPr>
            <w:tcW w:w="1047" w:type="pct"/>
            <w:noWrap w:val="0"/>
            <w:vAlign w:val="center"/>
          </w:tcPr>
          <w:p>
            <w:pPr>
              <w:rPr>
                <w:rFonts w:hint="default" w:ascii="宋体" w:hAnsi="宋体" w:cs="宋体"/>
                <w:kern w:val="0"/>
                <w:sz w:val="24"/>
                <w:szCs w:val="24"/>
              </w:rPr>
            </w:pPr>
            <w:r>
              <w:rPr>
                <w:rFonts w:ascii="宋体" w:hAnsi="宋体" w:cs="宋体"/>
                <w:kern w:val="0"/>
                <w:sz w:val="24"/>
                <w:szCs w:val="24"/>
              </w:rPr>
              <w:t>病人日费用清单</w:t>
            </w:r>
          </w:p>
        </w:tc>
        <w:tc>
          <w:tcPr>
            <w:tcW w:w="3529" w:type="pct"/>
            <w:noWrap w:val="0"/>
            <w:vAlign w:val="center"/>
          </w:tcPr>
          <w:p>
            <w:pPr>
              <w:rPr>
                <w:rFonts w:hint="default" w:ascii="宋体" w:hAnsi="宋体" w:cs="宋体"/>
                <w:kern w:val="0"/>
                <w:sz w:val="24"/>
                <w:szCs w:val="24"/>
              </w:rPr>
            </w:pPr>
            <w:r>
              <w:rPr>
                <w:rFonts w:ascii="宋体" w:hAnsi="宋体" w:cs="宋体"/>
                <w:kern w:val="0"/>
                <w:sz w:val="24"/>
                <w:szCs w:val="24"/>
              </w:rPr>
              <w:t>1)支持打印在科或出院患者费用日清单。</w:t>
            </w:r>
          </w:p>
          <w:p>
            <w:pPr>
              <w:rPr>
                <w:rFonts w:hint="default" w:ascii="宋体" w:hAnsi="宋体" w:cs="宋体"/>
                <w:kern w:val="0"/>
                <w:sz w:val="24"/>
                <w:szCs w:val="24"/>
              </w:rPr>
            </w:pPr>
            <w:r>
              <w:rPr>
                <w:rFonts w:ascii="宋体" w:hAnsi="宋体" w:cs="宋体"/>
                <w:kern w:val="0"/>
                <w:sz w:val="24"/>
                <w:szCs w:val="24"/>
              </w:rPr>
              <w:t>1)支持打印预出院患者费用日清单。</w:t>
            </w:r>
          </w:p>
          <w:p>
            <w:pPr>
              <w:rPr>
                <w:rFonts w:hint="default" w:ascii="宋体" w:hAnsi="宋体" w:cs="宋体"/>
                <w:kern w:val="0"/>
                <w:sz w:val="24"/>
                <w:szCs w:val="24"/>
              </w:rPr>
            </w:pPr>
            <w:r>
              <w:rPr>
                <w:rFonts w:ascii="宋体" w:hAnsi="宋体" w:cs="宋体"/>
                <w:kern w:val="0"/>
                <w:sz w:val="24"/>
                <w:szCs w:val="24"/>
              </w:rPr>
              <w:t>1)用于打印患者费用明细清单。</w:t>
            </w:r>
          </w:p>
        </w:tc>
      </w:tr>
    </w:tbl>
    <w:p>
      <w:pPr>
        <w:pStyle w:val="5"/>
        <w:numPr>
          <w:ilvl w:val="2"/>
          <w:numId w:val="5"/>
        </w:numPr>
        <w:spacing w:before="0" w:after="0" w:line="360" w:lineRule="auto"/>
        <w:rPr>
          <w:rFonts w:ascii="宋体" w:hAnsi="宋体"/>
        </w:rPr>
      </w:pPr>
      <w:bookmarkStart w:id="590" w:name="_Toc27940"/>
      <w:r>
        <w:rPr>
          <w:rFonts w:hint="eastAsia" w:ascii="宋体" w:hAnsi="宋体"/>
        </w:rPr>
        <w:t>病案管理系统</w:t>
      </w:r>
    </w:p>
    <w:tbl>
      <w:tblPr>
        <w:tblStyle w:val="5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9"/>
        <w:gridCol w:w="1481"/>
        <w:gridCol w:w="63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28" w:type="pct"/>
            <w:noWrap w:val="0"/>
            <w:vAlign w:val="top"/>
          </w:tcPr>
          <w:p>
            <w:pPr>
              <w:jc w:val="center"/>
              <w:rPr>
                <w:rFonts w:hint="default" w:ascii="宋体" w:hAnsi="宋体"/>
                <w:b/>
                <w:bCs/>
                <w:sz w:val="24"/>
                <w:szCs w:val="24"/>
              </w:rPr>
            </w:pPr>
            <w:r>
              <w:rPr>
                <w:rFonts w:ascii="宋体" w:hAnsi="宋体"/>
                <w:b/>
                <w:bCs/>
                <w:sz w:val="24"/>
                <w:szCs w:val="24"/>
              </w:rPr>
              <w:t>序号</w:t>
            </w:r>
          </w:p>
        </w:tc>
        <w:tc>
          <w:tcPr>
            <w:tcW w:w="869" w:type="pct"/>
            <w:noWrap w:val="0"/>
            <w:vAlign w:val="top"/>
          </w:tcPr>
          <w:p>
            <w:pPr>
              <w:jc w:val="center"/>
              <w:rPr>
                <w:rFonts w:hint="default" w:ascii="宋体" w:hAnsi="宋体"/>
                <w:b/>
                <w:bCs/>
                <w:sz w:val="24"/>
                <w:szCs w:val="24"/>
              </w:rPr>
            </w:pPr>
            <w:r>
              <w:rPr>
                <w:rFonts w:ascii="宋体" w:hAnsi="宋体"/>
                <w:b/>
                <w:bCs/>
                <w:sz w:val="24"/>
                <w:szCs w:val="24"/>
              </w:rPr>
              <w:t>功能模块</w:t>
            </w:r>
          </w:p>
        </w:tc>
        <w:tc>
          <w:tcPr>
            <w:tcW w:w="3703" w:type="pct"/>
            <w:noWrap w:val="0"/>
            <w:vAlign w:val="top"/>
          </w:tcPr>
          <w:p>
            <w:pPr>
              <w:jc w:val="center"/>
              <w:rPr>
                <w:rFonts w:hint="default" w:ascii="宋体" w:hAnsi="宋体"/>
                <w:b/>
                <w:bCs/>
                <w:sz w:val="24"/>
                <w:szCs w:val="24"/>
              </w:rPr>
            </w:pPr>
            <w:r>
              <w:rPr>
                <w:rFonts w:ascii="宋体" w:hAnsi="宋体"/>
                <w:b/>
                <w:bCs/>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8" w:type="pct"/>
            <w:noWrap w:val="0"/>
            <w:vAlign w:val="center"/>
          </w:tcPr>
          <w:p>
            <w:pPr>
              <w:jc w:val="center"/>
              <w:rPr>
                <w:rFonts w:hint="default" w:ascii="宋体" w:hAnsi="宋体"/>
                <w:sz w:val="24"/>
                <w:szCs w:val="24"/>
              </w:rPr>
            </w:pPr>
            <w:r>
              <w:rPr>
                <w:rFonts w:ascii="宋体" w:hAnsi="宋体"/>
                <w:sz w:val="24"/>
                <w:szCs w:val="24"/>
              </w:rPr>
              <w:t>1</w:t>
            </w:r>
          </w:p>
        </w:tc>
        <w:tc>
          <w:tcPr>
            <w:tcW w:w="869" w:type="pct"/>
            <w:noWrap w:val="0"/>
            <w:vAlign w:val="center"/>
          </w:tcPr>
          <w:p>
            <w:pPr>
              <w:jc w:val="left"/>
              <w:rPr>
                <w:rFonts w:hint="default" w:ascii="宋体" w:hAnsi="宋体"/>
                <w:sz w:val="24"/>
                <w:szCs w:val="24"/>
              </w:rPr>
            </w:pPr>
            <w:r>
              <w:rPr>
                <w:rFonts w:ascii="宋体" w:hAnsi="宋体"/>
                <w:sz w:val="24"/>
                <w:szCs w:val="24"/>
              </w:rPr>
              <w:t>病案首页录入</w:t>
            </w:r>
          </w:p>
        </w:tc>
        <w:tc>
          <w:tcPr>
            <w:tcW w:w="3703" w:type="pct"/>
            <w:noWrap w:val="0"/>
            <w:vAlign w:val="center"/>
          </w:tcPr>
          <w:p>
            <w:pPr>
              <w:pStyle w:val="175"/>
              <w:numPr>
                <w:ilvl w:val="0"/>
                <w:numId w:val="6"/>
              </w:numPr>
              <w:ind w:firstLineChars="0"/>
              <w:jc w:val="left"/>
              <w:rPr>
                <w:rFonts w:hint="default" w:ascii="宋体" w:hAnsi="宋体" w:eastAsia="Arial Unicode MS" w:cs="Arial Unicode MS"/>
                <w:color w:val="000000"/>
                <w:kern w:val="2"/>
                <w:sz w:val="24"/>
                <w:szCs w:val="24"/>
                <w:lang w:val="zh-TW" w:eastAsia="zh-TW" w:bidi="ar-SA"/>
              </w:rPr>
            </w:pPr>
            <w:r>
              <w:rPr>
                <w:rFonts w:hint="eastAsia" w:ascii="宋体" w:hAnsi="宋体" w:eastAsia="Arial Unicode MS" w:cs="Arial Unicode MS"/>
                <w:color w:val="000000"/>
                <w:kern w:val="2"/>
                <w:sz w:val="24"/>
                <w:szCs w:val="24"/>
                <w:lang w:val="zh-TW" w:eastAsia="zh-TW" w:bidi="ar-SA"/>
              </w:rPr>
              <w:t>提取医生提交的病案首页，进行重新编码、校验和归档。</w:t>
            </w:r>
          </w:p>
          <w:p>
            <w:pPr>
              <w:pStyle w:val="175"/>
              <w:numPr>
                <w:ilvl w:val="0"/>
                <w:numId w:val="6"/>
              </w:numPr>
              <w:ind w:firstLineChars="0"/>
              <w:jc w:val="left"/>
              <w:rPr>
                <w:rFonts w:hint="default" w:ascii="宋体" w:hAnsi="宋体" w:eastAsia="Arial Unicode MS" w:cs="Arial Unicode MS"/>
                <w:color w:val="000000"/>
                <w:kern w:val="2"/>
                <w:sz w:val="24"/>
                <w:szCs w:val="24"/>
                <w:lang w:val="zh-TW" w:eastAsia="zh-TW" w:bidi="ar-SA"/>
              </w:rPr>
            </w:pPr>
            <w:r>
              <w:rPr>
                <w:rFonts w:hint="eastAsia" w:ascii="宋体" w:hAnsi="宋体" w:eastAsia="Arial Unicode MS" w:cs="Arial Unicode MS"/>
                <w:color w:val="000000"/>
                <w:kern w:val="2"/>
                <w:sz w:val="24"/>
                <w:szCs w:val="24"/>
                <w:lang w:val="zh-TW" w:eastAsia="zh-TW" w:bidi="ar-SA"/>
              </w:rPr>
              <w:t>系统内置国家公立医院绩效考核、病案首页2016版质控标准等质控规则</w:t>
            </w:r>
          </w:p>
          <w:p>
            <w:pPr>
              <w:pStyle w:val="175"/>
              <w:numPr>
                <w:ilvl w:val="0"/>
                <w:numId w:val="6"/>
              </w:numPr>
              <w:ind w:firstLineChars="0"/>
              <w:jc w:val="left"/>
              <w:rPr>
                <w:rFonts w:hint="default" w:ascii="宋体" w:hAnsi="宋体" w:eastAsia="宋体"/>
                <w:sz w:val="24"/>
                <w:szCs w:val="24"/>
              </w:rPr>
            </w:pPr>
            <w:r>
              <w:rPr>
                <w:rFonts w:hint="eastAsia" w:ascii="宋体" w:hAnsi="宋体" w:eastAsia="Arial Unicode MS" w:cs="Arial Unicode MS"/>
                <w:color w:val="000000"/>
                <w:kern w:val="2"/>
                <w:sz w:val="24"/>
                <w:szCs w:val="24"/>
                <w:lang w:val="zh-TW" w:eastAsia="zh-TW" w:bidi="ar-SA"/>
              </w:rPr>
              <w:t>系统提供费用校验功能，将患者住院期间的费用，归类为病案费用类别。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8" w:type="pct"/>
            <w:noWrap w:val="0"/>
            <w:vAlign w:val="center"/>
          </w:tcPr>
          <w:p>
            <w:pPr>
              <w:jc w:val="center"/>
              <w:rPr>
                <w:rFonts w:hint="default" w:ascii="宋体" w:hAnsi="宋体"/>
                <w:sz w:val="24"/>
                <w:szCs w:val="24"/>
              </w:rPr>
            </w:pPr>
            <w:r>
              <w:rPr>
                <w:rFonts w:ascii="宋体" w:hAnsi="宋体"/>
                <w:sz w:val="24"/>
                <w:szCs w:val="24"/>
              </w:rPr>
              <w:t>2</w:t>
            </w:r>
          </w:p>
        </w:tc>
        <w:tc>
          <w:tcPr>
            <w:tcW w:w="869" w:type="pct"/>
            <w:noWrap w:val="0"/>
            <w:vAlign w:val="center"/>
          </w:tcPr>
          <w:p>
            <w:pPr>
              <w:jc w:val="left"/>
              <w:rPr>
                <w:rFonts w:hint="default" w:ascii="宋体" w:hAnsi="宋体"/>
                <w:sz w:val="24"/>
                <w:szCs w:val="24"/>
              </w:rPr>
            </w:pPr>
            <w:r>
              <w:rPr>
                <w:rFonts w:ascii="宋体" w:hAnsi="宋体"/>
                <w:sz w:val="24"/>
                <w:szCs w:val="24"/>
              </w:rPr>
              <w:t>病案借阅</w:t>
            </w:r>
          </w:p>
        </w:tc>
        <w:tc>
          <w:tcPr>
            <w:tcW w:w="3703" w:type="pct"/>
            <w:noWrap w:val="0"/>
            <w:vAlign w:val="center"/>
          </w:tcPr>
          <w:p>
            <w:pPr>
              <w:jc w:val="left"/>
              <w:rPr>
                <w:rFonts w:hint="default" w:ascii="宋体" w:hAnsi="宋体"/>
                <w:sz w:val="24"/>
                <w:szCs w:val="24"/>
              </w:rPr>
            </w:pPr>
            <w:r>
              <w:rPr>
                <w:rFonts w:ascii="宋体" w:hAnsi="宋体"/>
                <w:sz w:val="24"/>
                <w:szCs w:val="24"/>
              </w:rPr>
              <w:t>1)管理病案的借出与归还。包含：病案借出、病案归还、借阅查询、逾期未还病案查询等。（相关值域信息需要在借阅人员维护、借阅部门维护、借阅事由维护、归还状态维护中进行维护）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8" w:type="pct"/>
            <w:noWrap w:val="0"/>
            <w:vAlign w:val="center"/>
          </w:tcPr>
          <w:p>
            <w:pPr>
              <w:jc w:val="center"/>
              <w:rPr>
                <w:rFonts w:hint="default" w:ascii="宋体" w:hAnsi="宋体"/>
                <w:sz w:val="24"/>
                <w:szCs w:val="24"/>
              </w:rPr>
            </w:pPr>
            <w:r>
              <w:rPr>
                <w:rFonts w:ascii="宋体" w:hAnsi="宋体"/>
                <w:sz w:val="24"/>
                <w:szCs w:val="24"/>
              </w:rPr>
              <w:t>3</w:t>
            </w:r>
          </w:p>
        </w:tc>
        <w:tc>
          <w:tcPr>
            <w:tcW w:w="869" w:type="pct"/>
            <w:noWrap w:val="0"/>
            <w:vAlign w:val="center"/>
          </w:tcPr>
          <w:p>
            <w:pPr>
              <w:jc w:val="left"/>
              <w:rPr>
                <w:rFonts w:hint="default" w:ascii="宋体" w:hAnsi="宋体"/>
                <w:sz w:val="24"/>
                <w:szCs w:val="24"/>
              </w:rPr>
            </w:pPr>
            <w:r>
              <w:rPr>
                <w:rFonts w:ascii="宋体" w:hAnsi="宋体"/>
                <w:sz w:val="24"/>
                <w:szCs w:val="24"/>
              </w:rPr>
              <w:t>病案首页查询修改</w:t>
            </w:r>
          </w:p>
        </w:tc>
        <w:tc>
          <w:tcPr>
            <w:tcW w:w="3703" w:type="pct"/>
            <w:noWrap w:val="0"/>
            <w:vAlign w:val="center"/>
          </w:tcPr>
          <w:p>
            <w:pPr>
              <w:jc w:val="left"/>
              <w:rPr>
                <w:rFonts w:hint="default" w:ascii="宋体" w:hAnsi="宋体"/>
                <w:sz w:val="24"/>
                <w:szCs w:val="24"/>
              </w:rPr>
            </w:pPr>
            <w:r>
              <w:rPr>
                <w:rFonts w:ascii="宋体" w:hAnsi="宋体"/>
                <w:sz w:val="24"/>
                <w:szCs w:val="24"/>
              </w:rPr>
              <w:t>1)多条件组合查询已归档患者信息,双击可进行修改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8" w:type="pct"/>
            <w:noWrap w:val="0"/>
            <w:vAlign w:val="center"/>
          </w:tcPr>
          <w:p>
            <w:pPr>
              <w:jc w:val="center"/>
              <w:rPr>
                <w:rFonts w:hint="default" w:ascii="宋体" w:hAnsi="宋体"/>
                <w:sz w:val="24"/>
                <w:szCs w:val="24"/>
              </w:rPr>
            </w:pPr>
            <w:r>
              <w:rPr>
                <w:rFonts w:ascii="宋体" w:hAnsi="宋体"/>
                <w:sz w:val="24"/>
                <w:szCs w:val="24"/>
              </w:rPr>
              <w:t>4</w:t>
            </w:r>
          </w:p>
        </w:tc>
        <w:tc>
          <w:tcPr>
            <w:tcW w:w="869" w:type="pct"/>
            <w:noWrap w:val="0"/>
            <w:vAlign w:val="center"/>
          </w:tcPr>
          <w:p>
            <w:pPr>
              <w:jc w:val="left"/>
              <w:rPr>
                <w:rFonts w:hint="default" w:ascii="宋体" w:hAnsi="宋体"/>
                <w:sz w:val="24"/>
                <w:szCs w:val="24"/>
              </w:rPr>
            </w:pPr>
            <w:r>
              <w:rPr>
                <w:rFonts w:ascii="宋体" w:hAnsi="宋体"/>
                <w:sz w:val="24"/>
                <w:szCs w:val="24"/>
              </w:rPr>
              <w:t>扫码收回</w:t>
            </w:r>
          </w:p>
        </w:tc>
        <w:tc>
          <w:tcPr>
            <w:tcW w:w="3703" w:type="pct"/>
            <w:noWrap w:val="0"/>
            <w:vAlign w:val="center"/>
          </w:tcPr>
          <w:p>
            <w:pPr>
              <w:jc w:val="left"/>
              <w:rPr>
                <w:rFonts w:hint="default" w:ascii="宋体" w:hAnsi="宋体"/>
                <w:sz w:val="24"/>
                <w:szCs w:val="24"/>
              </w:rPr>
            </w:pPr>
            <w:r>
              <w:rPr>
                <w:rFonts w:ascii="宋体" w:hAnsi="宋体"/>
                <w:sz w:val="24"/>
                <w:szCs w:val="24"/>
              </w:rPr>
              <w:t>1)持条码枪进行病历收回操作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8" w:type="pct"/>
            <w:noWrap w:val="0"/>
            <w:vAlign w:val="center"/>
          </w:tcPr>
          <w:p>
            <w:pPr>
              <w:jc w:val="center"/>
              <w:rPr>
                <w:rFonts w:hint="default" w:ascii="宋体" w:hAnsi="宋体"/>
                <w:sz w:val="24"/>
                <w:szCs w:val="24"/>
              </w:rPr>
            </w:pPr>
            <w:r>
              <w:rPr>
                <w:rFonts w:ascii="宋体" w:hAnsi="宋体"/>
                <w:sz w:val="24"/>
                <w:szCs w:val="24"/>
              </w:rPr>
              <w:t>5</w:t>
            </w:r>
          </w:p>
        </w:tc>
        <w:tc>
          <w:tcPr>
            <w:tcW w:w="869" w:type="pct"/>
            <w:noWrap w:val="0"/>
            <w:vAlign w:val="center"/>
          </w:tcPr>
          <w:p>
            <w:pPr>
              <w:jc w:val="left"/>
              <w:rPr>
                <w:rFonts w:hint="default" w:ascii="宋体" w:hAnsi="宋体"/>
                <w:sz w:val="24"/>
                <w:szCs w:val="24"/>
              </w:rPr>
            </w:pPr>
            <w:r>
              <w:rPr>
                <w:rFonts w:ascii="宋体" w:hAnsi="宋体"/>
                <w:sz w:val="24"/>
                <w:szCs w:val="24"/>
              </w:rPr>
              <w:t>病案复合查询</w:t>
            </w:r>
          </w:p>
        </w:tc>
        <w:tc>
          <w:tcPr>
            <w:tcW w:w="3703" w:type="pct"/>
            <w:noWrap w:val="0"/>
            <w:vAlign w:val="center"/>
          </w:tcPr>
          <w:p>
            <w:pPr>
              <w:jc w:val="left"/>
              <w:rPr>
                <w:rFonts w:hint="default" w:ascii="宋体" w:hAnsi="宋体"/>
                <w:sz w:val="24"/>
                <w:szCs w:val="24"/>
              </w:rPr>
            </w:pPr>
            <w:r>
              <w:rPr>
                <w:rFonts w:ascii="宋体" w:hAnsi="宋体"/>
                <w:sz w:val="24"/>
                <w:szCs w:val="24"/>
              </w:rPr>
              <w:t>1)</w:t>
            </w:r>
            <w:r>
              <w:rPr>
                <w:rFonts w:ascii="宋体" w:hAnsi="宋体"/>
              </w:rPr>
              <w:t>自定义条件进行查询，查询结果可导出电子表格。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8" w:type="pct"/>
            <w:noWrap w:val="0"/>
            <w:vAlign w:val="center"/>
          </w:tcPr>
          <w:p>
            <w:pPr>
              <w:jc w:val="center"/>
              <w:rPr>
                <w:rFonts w:hint="default" w:ascii="宋体" w:hAnsi="宋体"/>
                <w:sz w:val="24"/>
                <w:szCs w:val="24"/>
              </w:rPr>
            </w:pPr>
            <w:r>
              <w:rPr>
                <w:rFonts w:ascii="宋体" w:hAnsi="宋体"/>
                <w:sz w:val="24"/>
                <w:szCs w:val="24"/>
              </w:rPr>
              <w:t>6</w:t>
            </w:r>
          </w:p>
        </w:tc>
        <w:tc>
          <w:tcPr>
            <w:tcW w:w="869" w:type="pct"/>
            <w:noWrap w:val="0"/>
            <w:vAlign w:val="center"/>
          </w:tcPr>
          <w:p>
            <w:pPr>
              <w:jc w:val="left"/>
              <w:rPr>
                <w:rFonts w:hint="default" w:ascii="宋体" w:hAnsi="宋体"/>
                <w:sz w:val="24"/>
                <w:szCs w:val="24"/>
              </w:rPr>
            </w:pPr>
            <w:r>
              <w:rPr>
                <w:rFonts w:ascii="宋体" w:hAnsi="宋体"/>
                <w:sz w:val="24"/>
                <w:szCs w:val="24"/>
              </w:rPr>
              <w:t>统计管理</w:t>
            </w:r>
          </w:p>
        </w:tc>
        <w:tc>
          <w:tcPr>
            <w:tcW w:w="3703" w:type="pct"/>
            <w:noWrap w:val="0"/>
            <w:vAlign w:val="center"/>
          </w:tcPr>
          <w:p>
            <w:pPr>
              <w:jc w:val="left"/>
              <w:rPr>
                <w:rFonts w:hint="default" w:ascii="宋体" w:hAnsi="宋体"/>
                <w:sz w:val="24"/>
                <w:szCs w:val="24"/>
              </w:rPr>
            </w:pPr>
            <w:r>
              <w:rPr>
                <w:rFonts w:ascii="宋体" w:hAnsi="宋体"/>
                <w:sz w:val="24"/>
                <w:szCs w:val="24"/>
              </w:rPr>
              <w:t>1)主要包括门诊工作量、医技工作量、住院工作量、急诊工作的录入和查询.通常情况下系统可以自动从院内HIS系统中获取数据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8" w:type="pct"/>
            <w:noWrap w:val="0"/>
            <w:vAlign w:val="center"/>
          </w:tcPr>
          <w:p>
            <w:pPr>
              <w:jc w:val="center"/>
              <w:rPr>
                <w:rFonts w:hint="default" w:ascii="宋体" w:hAnsi="宋体"/>
                <w:sz w:val="24"/>
                <w:szCs w:val="24"/>
              </w:rPr>
            </w:pPr>
            <w:r>
              <w:rPr>
                <w:rFonts w:ascii="宋体" w:hAnsi="宋体"/>
                <w:sz w:val="24"/>
                <w:szCs w:val="24"/>
              </w:rPr>
              <w:t>7</w:t>
            </w:r>
          </w:p>
        </w:tc>
        <w:tc>
          <w:tcPr>
            <w:tcW w:w="869" w:type="pct"/>
            <w:noWrap w:val="0"/>
            <w:vAlign w:val="center"/>
          </w:tcPr>
          <w:p>
            <w:pPr>
              <w:jc w:val="left"/>
              <w:rPr>
                <w:rFonts w:hint="default" w:ascii="宋体" w:hAnsi="宋体"/>
                <w:sz w:val="24"/>
                <w:szCs w:val="24"/>
              </w:rPr>
            </w:pPr>
            <w:r>
              <w:rPr>
                <w:rFonts w:ascii="宋体" w:hAnsi="宋体"/>
                <w:sz w:val="24"/>
                <w:szCs w:val="24"/>
              </w:rPr>
              <w:t>病人出院、转核信息核对表</w:t>
            </w:r>
          </w:p>
        </w:tc>
        <w:tc>
          <w:tcPr>
            <w:tcW w:w="3703" w:type="pct"/>
            <w:noWrap w:val="0"/>
            <w:vAlign w:val="center"/>
          </w:tcPr>
          <w:p>
            <w:pPr>
              <w:jc w:val="left"/>
              <w:rPr>
                <w:rFonts w:hint="default" w:ascii="宋体" w:hAnsi="宋体"/>
                <w:sz w:val="24"/>
                <w:szCs w:val="24"/>
              </w:rPr>
            </w:pPr>
            <w:r>
              <w:rPr>
                <w:rFonts w:ascii="宋体" w:hAnsi="宋体"/>
                <w:sz w:val="24"/>
                <w:szCs w:val="24"/>
              </w:rPr>
              <w:t>1) 能够实时查看所有出院患者的病历提交情况、收回情况、归档情况、借阅情况、示踪信息等，方便病案室催交病历。 选中患者右键可以查看归档患者首页信息以及示踪信息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8" w:type="pct"/>
            <w:noWrap w:val="0"/>
            <w:vAlign w:val="center"/>
          </w:tcPr>
          <w:p>
            <w:pPr>
              <w:jc w:val="center"/>
              <w:rPr>
                <w:rFonts w:hint="default" w:ascii="宋体" w:hAnsi="宋体"/>
                <w:sz w:val="24"/>
                <w:szCs w:val="24"/>
              </w:rPr>
            </w:pPr>
            <w:r>
              <w:rPr>
                <w:rFonts w:ascii="宋体" w:hAnsi="宋体"/>
                <w:sz w:val="24"/>
                <w:szCs w:val="24"/>
              </w:rPr>
              <w:t>8</w:t>
            </w:r>
          </w:p>
        </w:tc>
        <w:tc>
          <w:tcPr>
            <w:tcW w:w="869" w:type="pct"/>
            <w:noWrap w:val="0"/>
            <w:vAlign w:val="center"/>
          </w:tcPr>
          <w:p>
            <w:pPr>
              <w:jc w:val="left"/>
              <w:rPr>
                <w:rFonts w:hint="default" w:ascii="宋体" w:hAnsi="宋体"/>
                <w:sz w:val="24"/>
                <w:szCs w:val="24"/>
              </w:rPr>
            </w:pPr>
            <w:r>
              <w:rPr>
                <w:rFonts w:ascii="宋体" w:hAnsi="宋体"/>
                <w:sz w:val="24"/>
                <w:szCs w:val="24"/>
              </w:rPr>
              <w:t>收回日志</w:t>
            </w:r>
          </w:p>
        </w:tc>
        <w:tc>
          <w:tcPr>
            <w:tcW w:w="3703" w:type="pct"/>
            <w:noWrap w:val="0"/>
            <w:vAlign w:val="center"/>
          </w:tcPr>
          <w:p>
            <w:pPr>
              <w:jc w:val="left"/>
              <w:rPr>
                <w:rFonts w:hint="default" w:ascii="宋体" w:hAnsi="宋体"/>
                <w:sz w:val="24"/>
                <w:szCs w:val="24"/>
              </w:rPr>
            </w:pPr>
            <w:r>
              <w:rPr>
                <w:rFonts w:ascii="宋体" w:hAnsi="宋体"/>
                <w:sz w:val="24"/>
                <w:szCs w:val="24"/>
              </w:rPr>
              <w:t>1)查询病案收回信息，包括患者出院信息、收回日期、科室提交病历人员、病案室负责收回人员信息等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428" w:type="pct"/>
            <w:noWrap w:val="0"/>
            <w:vAlign w:val="center"/>
          </w:tcPr>
          <w:p>
            <w:pPr>
              <w:jc w:val="center"/>
              <w:rPr>
                <w:rFonts w:hint="default" w:ascii="宋体" w:hAnsi="宋体"/>
                <w:sz w:val="24"/>
                <w:szCs w:val="24"/>
              </w:rPr>
            </w:pPr>
            <w:r>
              <w:rPr>
                <w:rFonts w:ascii="宋体" w:hAnsi="宋体"/>
                <w:sz w:val="24"/>
                <w:szCs w:val="24"/>
              </w:rPr>
              <w:t>9</w:t>
            </w:r>
          </w:p>
        </w:tc>
        <w:tc>
          <w:tcPr>
            <w:tcW w:w="869" w:type="pct"/>
            <w:noWrap w:val="0"/>
            <w:vAlign w:val="center"/>
          </w:tcPr>
          <w:p>
            <w:pPr>
              <w:jc w:val="left"/>
              <w:rPr>
                <w:rFonts w:hint="default" w:ascii="宋体" w:hAnsi="宋体"/>
                <w:sz w:val="24"/>
                <w:szCs w:val="24"/>
              </w:rPr>
            </w:pPr>
            <w:r>
              <w:rPr>
                <w:rFonts w:ascii="宋体" w:hAnsi="宋体"/>
                <w:sz w:val="24"/>
                <w:szCs w:val="24"/>
              </w:rPr>
              <w:t>病案室常用报表</w:t>
            </w:r>
          </w:p>
        </w:tc>
        <w:tc>
          <w:tcPr>
            <w:tcW w:w="3703" w:type="pct"/>
            <w:noWrap w:val="0"/>
            <w:vAlign w:val="center"/>
          </w:tcPr>
          <w:p>
            <w:pPr>
              <w:jc w:val="left"/>
              <w:rPr>
                <w:rFonts w:hint="default" w:ascii="宋体" w:hAnsi="宋体"/>
                <w:sz w:val="24"/>
                <w:szCs w:val="24"/>
              </w:rPr>
            </w:pPr>
            <w:r>
              <w:rPr>
                <w:rFonts w:ascii="宋体" w:hAnsi="宋体"/>
                <w:sz w:val="24"/>
                <w:szCs w:val="24"/>
              </w:rPr>
              <w:t>1)</w:t>
            </w:r>
            <w:r>
              <w:t xml:space="preserve"> </w:t>
            </w:r>
            <w:r>
              <w:rPr>
                <w:rFonts w:ascii="宋体" w:hAnsi="宋体"/>
                <w:sz w:val="24"/>
                <w:szCs w:val="24"/>
              </w:rPr>
              <w:t>包括：出院患者费用分析、患者治疗效果分析、手术工作量统计、归档率统计等一些病案室常用的报表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8" w:type="pct"/>
            <w:noWrap w:val="0"/>
            <w:vAlign w:val="center"/>
          </w:tcPr>
          <w:p>
            <w:pPr>
              <w:jc w:val="center"/>
              <w:rPr>
                <w:rFonts w:hint="default" w:ascii="宋体" w:hAnsi="宋体"/>
                <w:sz w:val="24"/>
                <w:szCs w:val="24"/>
              </w:rPr>
            </w:pPr>
            <w:r>
              <w:rPr>
                <w:rFonts w:ascii="宋体" w:hAnsi="宋体"/>
                <w:sz w:val="24"/>
                <w:szCs w:val="24"/>
              </w:rPr>
              <w:t>10</w:t>
            </w:r>
          </w:p>
        </w:tc>
        <w:tc>
          <w:tcPr>
            <w:tcW w:w="869" w:type="pct"/>
            <w:noWrap w:val="0"/>
            <w:vAlign w:val="center"/>
          </w:tcPr>
          <w:p>
            <w:pPr>
              <w:jc w:val="left"/>
              <w:rPr>
                <w:rFonts w:hint="default" w:ascii="宋体" w:hAnsi="宋体"/>
                <w:sz w:val="24"/>
                <w:szCs w:val="24"/>
              </w:rPr>
            </w:pPr>
            <w:r>
              <w:rPr>
                <w:rFonts w:ascii="宋体" w:hAnsi="宋体"/>
                <w:sz w:val="24"/>
                <w:szCs w:val="24"/>
              </w:rPr>
              <w:t>其他功能</w:t>
            </w:r>
          </w:p>
        </w:tc>
        <w:tc>
          <w:tcPr>
            <w:tcW w:w="3703" w:type="pct"/>
            <w:noWrap w:val="0"/>
            <w:vAlign w:val="center"/>
          </w:tcPr>
          <w:p>
            <w:pPr>
              <w:pStyle w:val="175"/>
              <w:numPr>
                <w:ilvl w:val="0"/>
                <w:numId w:val="7"/>
              </w:numPr>
              <w:ind w:firstLineChars="0"/>
              <w:jc w:val="left"/>
              <w:rPr>
                <w:rFonts w:hint="default" w:ascii="宋体" w:hAnsi="宋体" w:eastAsia="宋体"/>
                <w:sz w:val="24"/>
                <w:szCs w:val="24"/>
              </w:rPr>
            </w:pPr>
            <w:r>
              <w:rPr>
                <w:rFonts w:ascii="宋体" w:hAnsi="宋体" w:eastAsia="宋体"/>
                <w:sz w:val="24"/>
                <w:szCs w:val="24"/>
              </w:rPr>
              <w:t>可对接电子病历，查看医生端病案、病历信息；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8" w:type="pct"/>
            <w:noWrap w:val="0"/>
            <w:vAlign w:val="center"/>
          </w:tcPr>
          <w:p>
            <w:pPr>
              <w:jc w:val="center"/>
              <w:rPr>
                <w:rFonts w:hint="default" w:ascii="宋体" w:hAnsi="宋体"/>
                <w:sz w:val="24"/>
                <w:szCs w:val="24"/>
              </w:rPr>
            </w:pPr>
            <w:r>
              <w:rPr>
                <w:rFonts w:ascii="宋体" w:hAnsi="宋体"/>
                <w:sz w:val="24"/>
                <w:szCs w:val="24"/>
              </w:rPr>
              <w:t>11</w:t>
            </w:r>
          </w:p>
        </w:tc>
        <w:tc>
          <w:tcPr>
            <w:tcW w:w="869" w:type="pct"/>
            <w:noWrap w:val="0"/>
            <w:vAlign w:val="center"/>
          </w:tcPr>
          <w:p>
            <w:pPr>
              <w:jc w:val="left"/>
              <w:rPr>
                <w:rFonts w:hint="default" w:ascii="宋体" w:hAnsi="宋体"/>
                <w:sz w:val="24"/>
                <w:szCs w:val="24"/>
              </w:rPr>
            </w:pPr>
            <w:r>
              <w:rPr>
                <w:rFonts w:ascii="宋体" w:hAnsi="宋体"/>
                <w:sz w:val="24"/>
                <w:szCs w:val="24"/>
              </w:rPr>
              <w:t>字典维护</w:t>
            </w:r>
          </w:p>
        </w:tc>
        <w:tc>
          <w:tcPr>
            <w:tcW w:w="3703" w:type="pct"/>
            <w:noWrap w:val="0"/>
            <w:vAlign w:val="center"/>
          </w:tcPr>
          <w:p>
            <w:pPr>
              <w:pStyle w:val="175"/>
              <w:numPr>
                <w:ilvl w:val="0"/>
                <w:numId w:val="8"/>
              </w:numPr>
              <w:ind w:firstLineChars="0"/>
              <w:jc w:val="left"/>
              <w:rPr>
                <w:rFonts w:hint="default" w:ascii="宋体" w:hAnsi="宋体" w:eastAsia="宋体"/>
                <w:sz w:val="24"/>
                <w:szCs w:val="24"/>
              </w:rPr>
            </w:pPr>
            <w:r>
              <w:rPr>
                <w:rFonts w:ascii="宋体" w:hAnsi="宋体" w:eastAsia="宋体"/>
                <w:sz w:val="24"/>
                <w:szCs w:val="24"/>
              </w:rPr>
              <w:t>医院信息、科室信息、人员信息维护；</w:t>
            </w:r>
          </w:p>
          <w:p>
            <w:pPr>
              <w:pStyle w:val="175"/>
              <w:numPr>
                <w:ilvl w:val="0"/>
                <w:numId w:val="8"/>
              </w:numPr>
              <w:ind w:firstLineChars="0"/>
              <w:jc w:val="left"/>
              <w:rPr>
                <w:rFonts w:hint="default" w:ascii="宋体" w:hAnsi="宋体" w:eastAsia="宋体"/>
                <w:sz w:val="24"/>
                <w:szCs w:val="24"/>
              </w:rPr>
            </w:pPr>
            <w:r>
              <w:rPr>
                <w:rFonts w:ascii="宋体" w:hAnsi="宋体" w:eastAsia="宋体"/>
                <w:sz w:val="24"/>
                <w:szCs w:val="24"/>
              </w:rPr>
              <w:t>疾病诊断ICD、手术ICD维护；</w:t>
            </w:r>
          </w:p>
          <w:p>
            <w:pPr>
              <w:pStyle w:val="175"/>
              <w:numPr>
                <w:ilvl w:val="0"/>
                <w:numId w:val="8"/>
              </w:numPr>
              <w:ind w:firstLineChars="0"/>
              <w:jc w:val="left"/>
              <w:rPr>
                <w:rFonts w:hint="default" w:ascii="宋体" w:hAnsi="宋体" w:eastAsia="宋体"/>
                <w:sz w:val="24"/>
                <w:szCs w:val="24"/>
              </w:rPr>
            </w:pPr>
            <w:r>
              <w:rPr>
                <w:rFonts w:ascii="宋体" w:hAnsi="宋体" w:eastAsia="宋体"/>
                <w:sz w:val="24"/>
                <w:szCs w:val="24"/>
              </w:rPr>
              <w:t>自定义校验规则维护（病案首页录入保存校验用）</w:t>
            </w:r>
          </w:p>
        </w:tc>
      </w:tr>
    </w:tbl>
    <w:p>
      <w:pPr>
        <w:pStyle w:val="5"/>
        <w:numPr>
          <w:ilvl w:val="2"/>
          <w:numId w:val="5"/>
        </w:numPr>
        <w:spacing w:before="0" w:after="0" w:line="360" w:lineRule="auto"/>
        <w:rPr>
          <w:rFonts w:ascii="宋体" w:hAnsi="宋体"/>
        </w:rPr>
      </w:pPr>
      <w:bookmarkStart w:id="591" w:name="_Toc381"/>
      <w:r>
        <w:rPr>
          <w:rFonts w:hint="eastAsia" w:ascii="宋体" w:hAnsi="宋体"/>
        </w:rPr>
        <w:t>药房管理系统</w:t>
      </w:r>
      <w:bookmarkEnd w:id="591"/>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1357"/>
        <w:gridCol w:w="6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blHeader/>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796"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780"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796" w:type="pct"/>
            <w:noWrap w:val="0"/>
            <w:vAlign w:val="center"/>
          </w:tcPr>
          <w:p>
            <w:pPr>
              <w:rPr>
                <w:rFonts w:hint="default" w:ascii="宋体" w:hAnsi="宋体"/>
                <w:sz w:val="24"/>
                <w:szCs w:val="24"/>
              </w:rPr>
            </w:pPr>
            <w:r>
              <w:rPr>
                <w:rFonts w:ascii="宋体" w:hAnsi="宋体"/>
                <w:sz w:val="24"/>
                <w:szCs w:val="24"/>
              </w:rPr>
              <w:t>处方划价</w:t>
            </w:r>
          </w:p>
        </w:tc>
        <w:tc>
          <w:tcPr>
            <w:tcW w:w="3780" w:type="pct"/>
            <w:noWrap w:val="0"/>
            <w:vAlign w:val="center"/>
          </w:tcPr>
          <w:p>
            <w:pPr>
              <w:rPr>
                <w:rFonts w:hint="default" w:ascii="宋体" w:hAnsi="宋体"/>
                <w:sz w:val="24"/>
                <w:szCs w:val="24"/>
              </w:rPr>
            </w:pPr>
            <w:r>
              <w:rPr>
                <w:rFonts w:ascii="宋体" w:hAnsi="宋体"/>
                <w:sz w:val="24"/>
                <w:szCs w:val="24"/>
              </w:rPr>
              <w:t>1)支持西药处方划价，对医生开立的手工西药处方划价，供收费使用；</w:t>
            </w:r>
          </w:p>
          <w:p>
            <w:pPr>
              <w:rPr>
                <w:rFonts w:hint="default" w:ascii="宋体" w:hAnsi="宋体"/>
                <w:sz w:val="24"/>
                <w:szCs w:val="24"/>
              </w:rPr>
            </w:pPr>
            <w:r>
              <w:rPr>
                <w:rFonts w:ascii="宋体" w:hAnsi="宋体"/>
                <w:sz w:val="24"/>
                <w:szCs w:val="24"/>
              </w:rPr>
              <w:t>2)支持草药处方划价，对医生开立的手工草药处方划价，供收费使用。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796" w:type="pct"/>
            <w:noWrap w:val="0"/>
            <w:vAlign w:val="center"/>
          </w:tcPr>
          <w:p>
            <w:pPr>
              <w:rPr>
                <w:rFonts w:hint="default" w:ascii="宋体" w:hAnsi="宋体"/>
                <w:sz w:val="24"/>
                <w:szCs w:val="24"/>
              </w:rPr>
            </w:pPr>
            <w:r>
              <w:rPr>
                <w:rFonts w:ascii="宋体" w:hAnsi="宋体"/>
                <w:sz w:val="24"/>
                <w:szCs w:val="24"/>
              </w:rPr>
              <w:t>处方发药</w:t>
            </w:r>
          </w:p>
        </w:tc>
        <w:tc>
          <w:tcPr>
            <w:tcW w:w="3780" w:type="pct"/>
            <w:noWrap w:val="0"/>
            <w:vAlign w:val="center"/>
          </w:tcPr>
          <w:p>
            <w:pPr>
              <w:rPr>
                <w:rFonts w:hint="default" w:ascii="宋体" w:hAnsi="宋体"/>
                <w:sz w:val="24"/>
                <w:szCs w:val="24"/>
              </w:rPr>
            </w:pPr>
            <w:r>
              <w:rPr>
                <w:rFonts w:ascii="宋体" w:hAnsi="宋体"/>
                <w:sz w:val="24"/>
                <w:szCs w:val="24"/>
              </w:rPr>
              <w:t>1)对门诊患者已收费处方进行发药；</w:t>
            </w:r>
          </w:p>
          <w:p>
            <w:pPr>
              <w:rPr>
                <w:rFonts w:hint="default" w:ascii="宋体" w:hAnsi="宋体"/>
                <w:sz w:val="24"/>
                <w:szCs w:val="24"/>
              </w:rPr>
            </w:pPr>
            <w:r>
              <w:rPr>
                <w:rFonts w:ascii="宋体" w:hAnsi="宋体"/>
                <w:sz w:val="24"/>
                <w:szCs w:val="24"/>
              </w:rPr>
              <w:t>2)对一卡通患者未交费处方进行记账、发药。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796" w:type="pct"/>
            <w:noWrap w:val="0"/>
            <w:vAlign w:val="center"/>
          </w:tcPr>
          <w:p>
            <w:pPr>
              <w:rPr>
                <w:rFonts w:hint="default" w:ascii="宋体" w:hAnsi="宋体"/>
                <w:sz w:val="24"/>
                <w:szCs w:val="24"/>
              </w:rPr>
            </w:pPr>
            <w:r>
              <w:rPr>
                <w:rFonts w:ascii="宋体" w:hAnsi="宋体"/>
                <w:sz w:val="24"/>
                <w:szCs w:val="24"/>
              </w:rPr>
              <w:t>医嘱发药</w:t>
            </w:r>
          </w:p>
        </w:tc>
        <w:tc>
          <w:tcPr>
            <w:tcW w:w="3780" w:type="pct"/>
            <w:noWrap w:val="0"/>
            <w:vAlign w:val="center"/>
          </w:tcPr>
          <w:p>
            <w:pPr>
              <w:rPr>
                <w:rFonts w:hint="default" w:ascii="宋体" w:hAnsi="宋体"/>
                <w:sz w:val="24"/>
                <w:szCs w:val="24"/>
              </w:rPr>
            </w:pPr>
            <w:r>
              <w:rPr>
                <w:rFonts w:ascii="宋体" w:hAnsi="宋体"/>
                <w:sz w:val="24"/>
                <w:szCs w:val="24"/>
              </w:rPr>
              <w:t>1)支持对住院患者非草药类长期医嘱、临时医嘱进行记账、发药。</w:t>
            </w:r>
          </w:p>
          <w:p>
            <w:pPr>
              <w:rPr>
                <w:rFonts w:hint="default" w:ascii="宋体" w:hAnsi="宋体"/>
                <w:sz w:val="24"/>
                <w:szCs w:val="24"/>
              </w:rPr>
            </w:pPr>
            <w:r>
              <w:rPr>
                <w:rFonts w:ascii="宋体" w:hAnsi="宋体"/>
                <w:sz w:val="24"/>
                <w:szCs w:val="24"/>
              </w:rPr>
              <w:t>2)支持对住院患者草药类医嘱进行记账、发药。</w:t>
            </w:r>
          </w:p>
          <w:p>
            <w:pPr>
              <w:rPr>
                <w:rFonts w:hint="default" w:ascii="宋体" w:hAnsi="宋体"/>
                <w:sz w:val="24"/>
                <w:szCs w:val="24"/>
              </w:rPr>
            </w:pPr>
            <w:r>
              <w:rPr>
                <w:rFonts w:ascii="宋体" w:hAnsi="宋体"/>
                <w:sz w:val="24"/>
                <w:szCs w:val="24"/>
              </w:rPr>
              <w:t>3)支持对住院患者特殊类（精麻毒药品）医嘱进行记账、发药。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796" w:type="pct"/>
            <w:noWrap w:val="0"/>
            <w:vAlign w:val="center"/>
          </w:tcPr>
          <w:p>
            <w:pPr>
              <w:rPr>
                <w:rFonts w:hint="default" w:ascii="宋体" w:hAnsi="宋体"/>
                <w:sz w:val="24"/>
                <w:szCs w:val="24"/>
              </w:rPr>
            </w:pPr>
            <w:r>
              <w:rPr>
                <w:rFonts w:ascii="宋体" w:hAnsi="宋体"/>
                <w:sz w:val="24"/>
                <w:szCs w:val="24"/>
              </w:rPr>
              <w:t>处方退药</w:t>
            </w:r>
          </w:p>
        </w:tc>
        <w:tc>
          <w:tcPr>
            <w:tcW w:w="3780" w:type="pct"/>
            <w:noWrap w:val="0"/>
            <w:vAlign w:val="center"/>
          </w:tcPr>
          <w:p>
            <w:pPr>
              <w:rPr>
                <w:rFonts w:hint="default" w:ascii="宋体" w:hAnsi="宋体"/>
                <w:sz w:val="24"/>
                <w:szCs w:val="24"/>
              </w:rPr>
            </w:pPr>
            <w:r>
              <w:rPr>
                <w:rFonts w:ascii="宋体" w:hAnsi="宋体"/>
                <w:sz w:val="24"/>
                <w:szCs w:val="24"/>
              </w:rPr>
              <w:t>1)可通过医生站申请，药房确认；</w:t>
            </w:r>
          </w:p>
          <w:p>
            <w:pPr>
              <w:rPr>
                <w:rFonts w:hint="default" w:ascii="宋体" w:hAnsi="宋体"/>
                <w:sz w:val="24"/>
                <w:szCs w:val="24"/>
              </w:rPr>
            </w:pPr>
            <w:r>
              <w:rPr>
                <w:rFonts w:ascii="宋体" w:hAnsi="宋体"/>
                <w:sz w:val="24"/>
                <w:szCs w:val="24"/>
              </w:rPr>
              <w:t>2)药房根据处方信息直接进行退药。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796" w:type="pct"/>
            <w:noWrap w:val="0"/>
            <w:vAlign w:val="center"/>
          </w:tcPr>
          <w:p>
            <w:pPr>
              <w:rPr>
                <w:rFonts w:hint="default" w:ascii="宋体" w:hAnsi="宋体"/>
                <w:sz w:val="24"/>
                <w:szCs w:val="24"/>
              </w:rPr>
            </w:pPr>
            <w:r>
              <w:rPr>
                <w:rFonts w:ascii="宋体" w:hAnsi="宋体"/>
                <w:sz w:val="24"/>
                <w:szCs w:val="24"/>
              </w:rPr>
              <w:t>医嘱退药</w:t>
            </w:r>
          </w:p>
        </w:tc>
        <w:tc>
          <w:tcPr>
            <w:tcW w:w="3780" w:type="pct"/>
            <w:noWrap w:val="0"/>
            <w:vAlign w:val="center"/>
          </w:tcPr>
          <w:p>
            <w:pPr>
              <w:rPr>
                <w:rFonts w:hint="default" w:ascii="宋体" w:hAnsi="宋体"/>
                <w:sz w:val="24"/>
                <w:szCs w:val="24"/>
              </w:rPr>
            </w:pPr>
            <w:r>
              <w:rPr>
                <w:rFonts w:ascii="宋体" w:hAnsi="宋体"/>
                <w:sz w:val="24"/>
                <w:szCs w:val="24"/>
              </w:rPr>
              <w:t>1)护士站发送退药申请，药房对申请进行确认；</w:t>
            </w:r>
          </w:p>
          <w:p>
            <w:pPr>
              <w:rPr>
                <w:rFonts w:hint="default" w:ascii="宋体" w:hAnsi="宋体"/>
                <w:sz w:val="24"/>
                <w:szCs w:val="24"/>
              </w:rPr>
            </w:pPr>
            <w:r>
              <w:rPr>
                <w:rFonts w:ascii="宋体" w:hAnsi="宋体"/>
                <w:sz w:val="24"/>
                <w:szCs w:val="24"/>
              </w:rPr>
              <w:t>2)药房直接对住院患者问题药品进行退药处理。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796" w:type="pct"/>
            <w:noWrap w:val="0"/>
            <w:vAlign w:val="center"/>
          </w:tcPr>
          <w:p>
            <w:pPr>
              <w:rPr>
                <w:rFonts w:hint="default" w:ascii="宋体" w:hAnsi="宋体"/>
                <w:sz w:val="24"/>
                <w:szCs w:val="24"/>
              </w:rPr>
            </w:pPr>
            <w:r>
              <w:rPr>
                <w:rFonts w:ascii="宋体" w:hAnsi="宋体"/>
                <w:sz w:val="24"/>
                <w:szCs w:val="24"/>
              </w:rPr>
              <w:t>处方作废处理</w:t>
            </w:r>
          </w:p>
        </w:tc>
        <w:tc>
          <w:tcPr>
            <w:tcW w:w="3780" w:type="pct"/>
            <w:noWrap w:val="0"/>
            <w:vAlign w:val="center"/>
          </w:tcPr>
          <w:p>
            <w:pPr>
              <w:rPr>
                <w:rFonts w:hint="default" w:ascii="宋体" w:hAnsi="宋体"/>
                <w:sz w:val="24"/>
                <w:szCs w:val="24"/>
              </w:rPr>
            </w:pPr>
            <w:r>
              <w:rPr>
                <w:rFonts w:ascii="宋体" w:hAnsi="宋体"/>
                <w:sz w:val="24"/>
                <w:szCs w:val="24"/>
              </w:rPr>
              <w:t>1)针对划价错误或患者不在需要打的处方进行作废处理；</w:t>
            </w:r>
          </w:p>
          <w:p>
            <w:pPr>
              <w:rPr>
                <w:rFonts w:hint="default" w:ascii="宋体" w:hAnsi="宋体"/>
                <w:sz w:val="24"/>
                <w:szCs w:val="24"/>
              </w:rPr>
            </w:pPr>
            <w:r>
              <w:rPr>
                <w:rFonts w:ascii="宋体" w:hAnsi="宋体"/>
                <w:sz w:val="24"/>
                <w:szCs w:val="24"/>
              </w:rPr>
              <w:t>2)支持自动处方作废处理功能。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796" w:type="pct"/>
            <w:noWrap w:val="0"/>
            <w:vAlign w:val="center"/>
          </w:tcPr>
          <w:p>
            <w:pPr>
              <w:rPr>
                <w:rFonts w:hint="default" w:ascii="宋体" w:hAnsi="宋体"/>
                <w:sz w:val="24"/>
                <w:szCs w:val="24"/>
              </w:rPr>
            </w:pPr>
            <w:r>
              <w:rPr>
                <w:rFonts w:ascii="宋体" w:hAnsi="宋体"/>
                <w:sz w:val="24"/>
                <w:szCs w:val="24"/>
              </w:rPr>
              <w:t>处方审查</w:t>
            </w:r>
          </w:p>
        </w:tc>
        <w:tc>
          <w:tcPr>
            <w:tcW w:w="3780" w:type="pct"/>
            <w:noWrap w:val="0"/>
            <w:vAlign w:val="center"/>
          </w:tcPr>
          <w:p>
            <w:pPr>
              <w:rPr>
                <w:rFonts w:hint="default" w:ascii="宋体" w:hAnsi="宋体"/>
                <w:sz w:val="24"/>
                <w:szCs w:val="24"/>
              </w:rPr>
            </w:pPr>
            <w:r>
              <w:rPr>
                <w:rFonts w:ascii="宋体" w:hAnsi="宋体"/>
                <w:sz w:val="24"/>
                <w:szCs w:val="24"/>
              </w:rPr>
              <w:t>1)支持处方审核功能，门诊医生开立处方后，需要经过药师进行处方审查，审查通过才可以发药，不通过不能进行发药。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796" w:type="pct"/>
            <w:noWrap w:val="0"/>
            <w:vAlign w:val="center"/>
          </w:tcPr>
          <w:p>
            <w:pPr>
              <w:rPr>
                <w:rFonts w:hint="default" w:ascii="宋体" w:hAnsi="宋体"/>
                <w:sz w:val="24"/>
                <w:szCs w:val="24"/>
              </w:rPr>
            </w:pPr>
            <w:r>
              <w:rPr>
                <w:rFonts w:ascii="宋体" w:hAnsi="宋体"/>
                <w:sz w:val="24"/>
                <w:szCs w:val="24"/>
              </w:rPr>
              <w:t>请领药品</w:t>
            </w:r>
          </w:p>
        </w:tc>
        <w:tc>
          <w:tcPr>
            <w:tcW w:w="3780" w:type="pct"/>
            <w:noWrap w:val="0"/>
            <w:vAlign w:val="center"/>
          </w:tcPr>
          <w:p>
            <w:pPr>
              <w:rPr>
                <w:rFonts w:hint="default" w:ascii="宋体" w:hAnsi="宋体"/>
                <w:sz w:val="24"/>
                <w:szCs w:val="24"/>
              </w:rPr>
            </w:pPr>
            <w:r>
              <w:rPr>
                <w:rFonts w:ascii="宋体" w:hAnsi="宋体"/>
                <w:sz w:val="24"/>
                <w:szCs w:val="24"/>
              </w:rPr>
              <w:t>1)支持药品请领功能，用于药房管理人员根据库管计划，对需求量大、库存不足药品对药库发起药品请领，药库人员根据药房请领计划，发送相应药品到药房。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796" w:type="pct"/>
            <w:noWrap w:val="0"/>
            <w:vAlign w:val="center"/>
          </w:tcPr>
          <w:p>
            <w:pPr>
              <w:rPr>
                <w:rFonts w:hint="default" w:ascii="宋体" w:hAnsi="宋体"/>
                <w:sz w:val="24"/>
                <w:szCs w:val="24"/>
              </w:rPr>
            </w:pPr>
            <w:r>
              <w:rPr>
                <w:rFonts w:ascii="宋体" w:hAnsi="宋体"/>
                <w:sz w:val="24"/>
                <w:szCs w:val="24"/>
              </w:rPr>
              <w:t>退药申请</w:t>
            </w:r>
          </w:p>
        </w:tc>
        <w:tc>
          <w:tcPr>
            <w:tcW w:w="3780" w:type="pct"/>
            <w:noWrap w:val="0"/>
            <w:vAlign w:val="center"/>
          </w:tcPr>
          <w:p>
            <w:pPr>
              <w:rPr>
                <w:rFonts w:hint="default" w:ascii="宋体" w:hAnsi="宋体"/>
                <w:sz w:val="24"/>
                <w:szCs w:val="24"/>
              </w:rPr>
            </w:pPr>
            <w:r>
              <w:rPr>
                <w:rFonts w:ascii="宋体" w:hAnsi="宋体"/>
                <w:sz w:val="24"/>
                <w:szCs w:val="24"/>
              </w:rPr>
              <w:t>1)对药房库存量过大、或失效等存在问题的药品，药房发起退药申请，药库之后将相应药品退回到药库。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796" w:type="pct"/>
            <w:noWrap w:val="0"/>
            <w:vAlign w:val="center"/>
          </w:tcPr>
          <w:p>
            <w:pPr>
              <w:rPr>
                <w:rFonts w:hint="default" w:ascii="宋体" w:hAnsi="宋体"/>
                <w:sz w:val="24"/>
                <w:szCs w:val="24"/>
              </w:rPr>
            </w:pPr>
            <w:r>
              <w:rPr>
                <w:rFonts w:ascii="宋体" w:hAnsi="宋体"/>
                <w:sz w:val="24"/>
                <w:szCs w:val="24"/>
              </w:rPr>
              <w:t>审核入库</w:t>
            </w:r>
          </w:p>
        </w:tc>
        <w:tc>
          <w:tcPr>
            <w:tcW w:w="3780" w:type="pct"/>
            <w:noWrap w:val="0"/>
            <w:vAlign w:val="center"/>
          </w:tcPr>
          <w:p>
            <w:pPr>
              <w:rPr>
                <w:rFonts w:hint="default" w:ascii="宋体" w:hAnsi="宋体"/>
                <w:sz w:val="24"/>
                <w:szCs w:val="24"/>
              </w:rPr>
            </w:pPr>
            <w:r>
              <w:rPr>
                <w:rFonts w:ascii="宋体" w:hAnsi="宋体"/>
                <w:sz w:val="24"/>
                <w:szCs w:val="24"/>
              </w:rPr>
              <w:t>1)支持药品审核入库功能，药库启用出库需要药房确认模式，药库出库后药房库存不变化，需要药房根据到库药品进行确认入库。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796" w:type="pct"/>
            <w:noWrap w:val="0"/>
            <w:vAlign w:val="center"/>
          </w:tcPr>
          <w:p>
            <w:pPr>
              <w:rPr>
                <w:rFonts w:hint="default" w:ascii="宋体" w:hAnsi="宋体"/>
                <w:sz w:val="24"/>
                <w:szCs w:val="24"/>
              </w:rPr>
            </w:pPr>
            <w:r>
              <w:rPr>
                <w:rFonts w:ascii="宋体" w:hAnsi="宋体"/>
                <w:sz w:val="24"/>
                <w:szCs w:val="24"/>
              </w:rPr>
              <w:t>调剂请领</w:t>
            </w:r>
          </w:p>
        </w:tc>
        <w:tc>
          <w:tcPr>
            <w:tcW w:w="3780" w:type="pct"/>
            <w:noWrap w:val="0"/>
            <w:vAlign w:val="center"/>
          </w:tcPr>
          <w:p>
            <w:pPr>
              <w:rPr>
                <w:rFonts w:hint="default" w:ascii="宋体" w:hAnsi="宋体"/>
                <w:sz w:val="24"/>
                <w:szCs w:val="24"/>
              </w:rPr>
            </w:pPr>
            <w:r>
              <w:rPr>
                <w:rFonts w:ascii="宋体" w:hAnsi="宋体"/>
                <w:sz w:val="24"/>
                <w:szCs w:val="24"/>
              </w:rPr>
              <w:t>1)同级别的药房之间药品的相互调剂，调剂请领不改变库存信息。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796" w:type="pct"/>
            <w:noWrap w:val="0"/>
            <w:vAlign w:val="center"/>
          </w:tcPr>
          <w:p>
            <w:pPr>
              <w:rPr>
                <w:rFonts w:hint="default" w:ascii="宋体" w:hAnsi="宋体"/>
                <w:sz w:val="24"/>
                <w:szCs w:val="24"/>
              </w:rPr>
            </w:pPr>
            <w:r>
              <w:rPr>
                <w:rFonts w:ascii="宋体" w:hAnsi="宋体"/>
                <w:sz w:val="24"/>
                <w:szCs w:val="24"/>
              </w:rPr>
              <w:t>调剂出库</w:t>
            </w:r>
          </w:p>
        </w:tc>
        <w:tc>
          <w:tcPr>
            <w:tcW w:w="3780" w:type="pct"/>
            <w:noWrap w:val="0"/>
            <w:vAlign w:val="center"/>
          </w:tcPr>
          <w:p>
            <w:pPr>
              <w:rPr>
                <w:rFonts w:hint="default" w:ascii="宋体" w:hAnsi="宋体"/>
                <w:sz w:val="24"/>
                <w:szCs w:val="24"/>
              </w:rPr>
            </w:pPr>
            <w:r>
              <w:rPr>
                <w:rFonts w:ascii="宋体" w:hAnsi="宋体"/>
                <w:sz w:val="24"/>
                <w:szCs w:val="24"/>
              </w:rPr>
              <w:t>1)对调剂请领数据进行审核。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796" w:type="pct"/>
            <w:noWrap w:val="0"/>
            <w:vAlign w:val="center"/>
          </w:tcPr>
          <w:p>
            <w:pPr>
              <w:rPr>
                <w:rFonts w:hint="default" w:ascii="宋体" w:hAnsi="宋体"/>
                <w:sz w:val="24"/>
                <w:szCs w:val="24"/>
              </w:rPr>
            </w:pPr>
            <w:r>
              <w:rPr>
                <w:rFonts w:ascii="宋体" w:hAnsi="宋体"/>
                <w:sz w:val="24"/>
                <w:szCs w:val="24"/>
              </w:rPr>
              <w:t>调剂入库</w:t>
            </w:r>
          </w:p>
        </w:tc>
        <w:tc>
          <w:tcPr>
            <w:tcW w:w="3780" w:type="pct"/>
            <w:noWrap w:val="0"/>
            <w:vAlign w:val="center"/>
          </w:tcPr>
          <w:p>
            <w:pPr>
              <w:rPr>
                <w:rFonts w:hint="default" w:ascii="宋体" w:hAnsi="宋体"/>
                <w:sz w:val="24"/>
                <w:szCs w:val="24"/>
              </w:rPr>
            </w:pPr>
            <w:r>
              <w:rPr>
                <w:rFonts w:ascii="宋体" w:hAnsi="宋体"/>
                <w:sz w:val="24"/>
                <w:szCs w:val="24"/>
              </w:rPr>
              <w:t>1)对调剂请领数据进行确认入库，增加调入药房库存，减少调出药房库存。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14</w:t>
            </w:r>
          </w:p>
        </w:tc>
        <w:tc>
          <w:tcPr>
            <w:tcW w:w="796" w:type="pct"/>
            <w:noWrap w:val="0"/>
            <w:vAlign w:val="center"/>
          </w:tcPr>
          <w:p>
            <w:pPr>
              <w:rPr>
                <w:rFonts w:hint="default" w:ascii="宋体" w:hAnsi="宋体"/>
                <w:sz w:val="24"/>
                <w:szCs w:val="24"/>
              </w:rPr>
            </w:pPr>
            <w:r>
              <w:rPr>
                <w:rFonts w:ascii="宋体" w:hAnsi="宋体"/>
                <w:sz w:val="24"/>
                <w:szCs w:val="24"/>
              </w:rPr>
              <w:t>盘点入库</w:t>
            </w:r>
          </w:p>
        </w:tc>
        <w:tc>
          <w:tcPr>
            <w:tcW w:w="3780" w:type="pct"/>
            <w:noWrap w:val="0"/>
            <w:vAlign w:val="center"/>
          </w:tcPr>
          <w:p>
            <w:pPr>
              <w:rPr>
                <w:rFonts w:hint="default" w:ascii="宋体" w:hAnsi="宋体"/>
                <w:sz w:val="24"/>
                <w:szCs w:val="24"/>
              </w:rPr>
            </w:pPr>
            <w:r>
              <w:rPr>
                <w:rFonts w:ascii="宋体" w:hAnsi="宋体"/>
                <w:sz w:val="24"/>
                <w:szCs w:val="24"/>
              </w:rPr>
              <w:t>1)针对药房首次使用时，对药房原有药品库存进行盘点入库操作。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15</w:t>
            </w:r>
          </w:p>
        </w:tc>
        <w:tc>
          <w:tcPr>
            <w:tcW w:w="796" w:type="pct"/>
            <w:noWrap w:val="0"/>
            <w:vAlign w:val="center"/>
          </w:tcPr>
          <w:p>
            <w:pPr>
              <w:rPr>
                <w:rFonts w:hint="default" w:ascii="宋体" w:hAnsi="宋体"/>
                <w:sz w:val="24"/>
                <w:szCs w:val="24"/>
              </w:rPr>
            </w:pPr>
            <w:r>
              <w:rPr>
                <w:rFonts w:ascii="宋体" w:hAnsi="宋体"/>
                <w:sz w:val="24"/>
                <w:szCs w:val="24"/>
              </w:rPr>
              <w:t>科室领药</w:t>
            </w:r>
          </w:p>
        </w:tc>
        <w:tc>
          <w:tcPr>
            <w:tcW w:w="3780" w:type="pct"/>
            <w:noWrap w:val="0"/>
            <w:vAlign w:val="center"/>
          </w:tcPr>
          <w:p>
            <w:pPr>
              <w:rPr>
                <w:rFonts w:hint="default" w:ascii="宋体" w:hAnsi="宋体"/>
                <w:sz w:val="24"/>
                <w:szCs w:val="24"/>
              </w:rPr>
            </w:pPr>
            <w:r>
              <w:rPr>
                <w:rFonts w:ascii="宋体" w:hAnsi="宋体"/>
                <w:sz w:val="24"/>
                <w:szCs w:val="24"/>
              </w:rPr>
              <w:t>1)科室针对大输液药品需要进行科室备药。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16</w:t>
            </w:r>
          </w:p>
        </w:tc>
        <w:tc>
          <w:tcPr>
            <w:tcW w:w="796" w:type="pct"/>
            <w:noWrap w:val="0"/>
            <w:vAlign w:val="center"/>
          </w:tcPr>
          <w:p>
            <w:pPr>
              <w:rPr>
                <w:rFonts w:hint="default" w:ascii="宋体" w:hAnsi="宋体"/>
                <w:sz w:val="24"/>
                <w:szCs w:val="24"/>
              </w:rPr>
            </w:pPr>
            <w:r>
              <w:rPr>
                <w:rFonts w:ascii="宋体" w:hAnsi="宋体"/>
                <w:sz w:val="24"/>
                <w:szCs w:val="24"/>
              </w:rPr>
              <w:t>科室退药</w:t>
            </w:r>
          </w:p>
        </w:tc>
        <w:tc>
          <w:tcPr>
            <w:tcW w:w="3780" w:type="pct"/>
            <w:noWrap w:val="0"/>
            <w:vAlign w:val="center"/>
          </w:tcPr>
          <w:p>
            <w:pPr>
              <w:rPr>
                <w:rFonts w:hint="default" w:ascii="宋体" w:hAnsi="宋体"/>
                <w:sz w:val="24"/>
                <w:szCs w:val="24"/>
              </w:rPr>
            </w:pPr>
            <w:r>
              <w:rPr>
                <w:rFonts w:ascii="宋体" w:hAnsi="宋体"/>
                <w:sz w:val="24"/>
                <w:szCs w:val="24"/>
              </w:rPr>
              <w:t>1)对科室领药信息进行退药操作。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17</w:t>
            </w:r>
          </w:p>
        </w:tc>
        <w:tc>
          <w:tcPr>
            <w:tcW w:w="796" w:type="pct"/>
            <w:noWrap w:val="0"/>
            <w:vAlign w:val="center"/>
          </w:tcPr>
          <w:p>
            <w:pPr>
              <w:rPr>
                <w:rFonts w:hint="default" w:ascii="宋体" w:hAnsi="宋体"/>
                <w:sz w:val="24"/>
                <w:szCs w:val="24"/>
              </w:rPr>
            </w:pPr>
            <w:r>
              <w:rPr>
                <w:rFonts w:ascii="宋体" w:hAnsi="宋体"/>
                <w:sz w:val="24"/>
                <w:szCs w:val="24"/>
              </w:rPr>
              <w:t>盘点库存</w:t>
            </w:r>
          </w:p>
        </w:tc>
        <w:tc>
          <w:tcPr>
            <w:tcW w:w="3780" w:type="pct"/>
            <w:noWrap w:val="0"/>
            <w:vAlign w:val="center"/>
          </w:tcPr>
          <w:p>
            <w:pPr>
              <w:rPr>
                <w:rFonts w:hint="default" w:ascii="宋体" w:hAnsi="宋体"/>
                <w:sz w:val="24"/>
                <w:szCs w:val="24"/>
              </w:rPr>
            </w:pPr>
            <w:r>
              <w:rPr>
                <w:rFonts w:ascii="宋体" w:hAnsi="宋体"/>
                <w:sz w:val="24"/>
                <w:szCs w:val="24"/>
              </w:rPr>
              <w:t>1)药房药品数量和金额管理，药品的盘盈和盘亏，到月底需要保存结余；</w:t>
            </w:r>
          </w:p>
          <w:p>
            <w:pPr>
              <w:rPr>
                <w:rFonts w:hint="default" w:ascii="宋体" w:hAnsi="宋体"/>
                <w:sz w:val="24"/>
                <w:szCs w:val="24"/>
              </w:rPr>
            </w:pPr>
            <w:r>
              <w:rPr>
                <w:rFonts w:ascii="宋体" w:hAnsi="宋体"/>
                <w:sz w:val="24"/>
                <w:szCs w:val="24"/>
              </w:rPr>
              <w:t>2)支持月末自动保存结余。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18</w:t>
            </w:r>
          </w:p>
        </w:tc>
        <w:tc>
          <w:tcPr>
            <w:tcW w:w="796" w:type="pct"/>
            <w:noWrap w:val="0"/>
            <w:vAlign w:val="center"/>
          </w:tcPr>
          <w:p>
            <w:pPr>
              <w:rPr>
                <w:rFonts w:hint="default" w:ascii="宋体" w:hAnsi="宋体"/>
                <w:sz w:val="24"/>
                <w:szCs w:val="24"/>
              </w:rPr>
            </w:pPr>
            <w:r>
              <w:rPr>
                <w:rFonts w:ascii="宋体" w:hAnsi="宋体"/>
                <w:sz w:val="24"/>
                <w:szCs w:val="24"/>
              </w:rPr>
              <w:t>合并库存</w:t>
            </w:r>
          </w:p>
        </w:tc>
        <w:tc>
          <w:tcPr>
            <w:tcW w:w="3780" w:type="pct"/>
            <w:noWrap w:val="0"/>
            <w:vAlign w:val="center"/>
          </w:tcPr>
          <w:p>
            <w:pPr>
              <w:rPr>
                <w:rFonts w:hint="default" w:ascii="宋体" w:hAnsi="宋体"/>
                <w:sz w:val="24"/>
                <w:szCs w:val="24"/>
              </w:rPr>
            </w:pPr>
            <w:r>
              <w:rPr>
                <w:rFonts w:ascii="宋体" w:hAnsi="宋体"/>
                <w:sz w:val="24"/>
                <w:szCs w:val="24"/>
              </w:rPr>
              <w:t>1)对于同药典、同单价有多个库存的药品，合并的一个库存上。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19</w:t>
            </w:r>
          </w:p>
        </w:tc>
        <w:tc>
          <w:tcPr>
            <w:tcW w:w="796" w:type="pct"/>
            <w:noWrap w:val="0"/>
            <w:vAlign w:val="center"/>
          </w:tcPr>
          <w:p>
            <w:pPr>
              <w:rPr>
                <w:rFonts w:hint="default" w:ascii="宋体" w:hAnsi="宋体"/>
                <w:sz w:val="24"/>
                <w:szCs w:val="24"/>
              </w:rPr>
            </w:pPr>
            <w:r>
              <w:rPr>
                <w:rFonts w:ascii="宋体" w:hAnsi="宋体"/>
                <w:sz w:val="24"/>
                <w:szCs w:val="24"/>
              </w:rPr>
              <w:t>药品调价</w:t>
            </w:r>
          </w:p>
        </w:tc>
        <w:tc>
          <w:tcPr>
            <w:tcW w:w="3780" w:type="pct"/>
            <w:noWrap w:val="0"/>
            <w:vAlign w:val="center"/>
          </w:tcPr>
          <w:p>
            <w:pPr>
              <w:rPr>
                <w:rFonts w:hint="default" w:ascii="宋体" w:hAnsi="宋体"/>
                <w:sz w:val="24"/>
                <w:szCs w:val="24"/>
              </w:rPr>
            </w:pPr>
            <w:r>
              <w:rPr>
                <w:rFonts w:ascii="宋体" w:hAnsi="宋体"/>
                <w:sz w:val="24"/>
                <w:szCs w:val="24"/>
              </w:rPr>
              <w:t>1)对于药房价格有变动的药品进行调价操作，调整药品价格为新价格。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20</w:t>
            </w:r>
          </w:p>
        </w:tc>
        <w:tc>
          <w:tcPr>
            <w:tcW w:w="796" w:type="pct"/>
            <w:noWrap w:val="0"/>
            <w:vAlign w:val="center"/>
          </w:tcPr>
          <w:p>
            <w:pPr>
              <w:rPr>
                <w:rFonts w:hint="default" w:ascii="宋体" w:hAnsi="宋体"/>
                <w:sz w:val="24"/>
                <w:szCs w:val="24"/>
              </w:rPr>
            </w:pPr>
            <w:r>
              <w:rPr>
                <w:rFonts w:ascii="宋体" w:hAnsi="宋体"/>
                <w:sz w:val="24"/>
                <w:szCs w:val="24"/>
              </w:rPr>
              <w:t>药品报损</w:t>
            </w:r>
          </w:p>
        </w:tc>
        <w:tc>
          <w:tcPr>
            <w:tcW w:w="3780" w:type="pct"/>
            <w:noWrap w:val="0"/>
            <w:vAlign w:val="center"/>
          </w:tcPr>
          <w:p>
            <w:pPr>
              <w:rPr>
                <w:rFonts w:hint="default" w:ascii="宋体" w:hAnsi="宋体"/>
                <w:sz w:val="24"/>
                <w:szCs w:val="24"/>
              </w:rPr>
            </w:pPr>
            <w:r>
              <w:rPr>
                <w:rFonts w:ascii="宋体" w:hAnsi="宋体"/>
                <w:sz w:val="24"/>
                <w:szCs w:val="24"/>
              </w:rPr>
              <w:t>1)药房对损益的药品发送报损计划，药库管理人员根据计划确认进行报损。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21</w:t>
            </w:r>
          </w:p>
        </w:tc>
        <w:tc>
          <w:tcPr>
            <w:tcW w:w="796" w:type="pct"/>
            <w:noWrap w:val="0"/>
            <w:vAlign w:val="center"/>
          </w:tcPr>
          <w:p>
            <w:pPr>
              <w:rPr>
                <w:rFonts w:hint="default" w:ascii="宋体" w:hAnsi="宋体"/>
                <w:sz w:val="24"/>
                <w:szCs w:val="24"/>
              </w:rPr>
            </w:pPr>
            <w:r>
              <w:rPr>
                <w:rFonts w:ascii="宋体" w:hAnsi="宋体"/>
                <w:sz w:val="24"/>
                <w:szCs w:val="24"/>
              </w:rPr>
              <w:t>查询统计</w:t>
            </w:r>
          </w:p>
        </w:tc>
        <w:tc>
          <w:tcPr>
            <w:tcW w:w="3780" w:type="pct"/>
            <w:noWrap w:val="0"/>
            <w:vAlign w:val="center"/>
          </w:tcPr>
          <w:p>
            <w:pPr>
              <w:rPr>
                <w:rFonts w:hint="default" w:ascii="宋体" w:hAnsi="宋体"/>
                <w:sz w:val="24"/>
                <w:szCs w:val="24"/>
              </w:rPr>
            </w:pPr>
            <w:r>
              <w:rPr>
                <w:rFonts w:ascii="宋体" w:hAnsi="宋体"/>
                <w:sz w:val="24"/>
                <w:szCs w:val="24"/>
              </w:rPr>
              <w:t>1)操作流水帐：查询当前操作人员日常，发药、退药、盘点等日常业务操作明细，可根据操作类型进行过滤。</w:t>
            </w:r>
          </w:p>
          <w:p>
            <w:pPr>
              <w:rPr>
                <w:rFonts w:hint="default" w:ascii="宋体" w:hAnsi="宋体"/>
                <w:sz w:val="24"/>
                <w:szCs w:val="24"/>
              </w:rPr>
            </w:pPr>
            <w:r>
              <w:rPr>
                <w:rFonts w:ascii="宋体" w:hAnsi="宋体"/>
                <w:sz w:val="24"/>
                <w:szCs w:val="24"/>
              </w:rPr>
              <w:t>2)发药明细查询：查询某一时间段，已发药、未发药数据，可以根据不通的条件进行查询。</w:t>
            </w:r>
          </w:p>
          <w:p>
            <w:pPr>
              <w:rPr>
                <w:rFonts w:hint="default" w:ascii="宋体" w:hAnsi="宋体"/>
                <w:sz w:val="24"/>
                <w:szCs w:val="24"/>
              </w:rPr>
            </w:pPr>
            <w:r>
              <w:rPr>
                <w:rFonts w:ascii="宋体" w:hAnsi="宋体"/>
                <w:sz w:val="24"/>
                <w:szCs w:val="24"/>
              </w:rPr>
              <w:t>3)划价未交费查询：对已经划价未交费的处方信息进行查询</w:t>
            </w:r>
          </w:p>
          <w:p>
            <w:pPr>
              <w:rPr>
                <w:rFonts w:hint="default" w:ascii="宋体" w:hAnsi="宋体"/>
                <w:sz w:val="24"/>
                <w:szCs w:val="24"/>
              </w:rPr>
            </w:pPr>
            <w:r>
              <w:rPr>
                <w:rFonts w:ascii="宋体" w:hAnsi="宋体"/>
                <w:sz w:val="24"/>
                <w:szCs w:val="24"/>
              </w:rPr>
              <w:t>4)未交费发药查询：对未进行交费已经进行发药的处方信息进行查询。</w:t>
            </w:r>
          </w:p>
          <w:p>
            <w:pPr>
              <w:rPr>
                <w:rFonts w:hint="default" w:ascii="宋体" w:hAnsi="宋体"/>
                <w:sz w:val="24"/>
                <w:szCs w:val="24"/>
              </w:rPr>
            </w:pPr>
            <w:r>
              <w:rPr>
                <w:rFonts w:ascii="宋体" w:hAnsi="宋体"/>
                <w:sz w:val="24"/>
                <w:szCs w:val="24"/>
              </w:rPr>
              <w:t>5)医嘱作废查询：查询被作废的医嘱信息。</w:t>
            </w:r>
          </w:p>
          <w:p>
            <w:pPr>
              <w:rPr>
                <w:rFonts w:hint="default" w:ascii="宋体" w:hAnsi="宋体"/>
                <w:sz w:val="24"/>
                <w:szCs w:val="24"/>
              </w:rPr>
            </w:pPr>
            <w:r>
              <w:rPr>
                <w:rFonts w:ascii="宋体" w:hAnsi="宋体"/>
                <w:sz w:val="24"/>
                <w:szCs w:val="24"/>
              </w:rPr>
              <w:t>6)处方作废查询：查询被作废的处方信息。</w:t>
            </w:r>
          </w:p>
          <w:p>
            <w:pPr>
              <w:rPr>
                <w:rFonts w:hint="default" w:ascii="宋体" w:hAnsi="宋体"/>
                <w:sz w:val="24"/>
                <w:szCs w:val="24"/>
              </w:rPr>
            </w:pPr>
            <w:r>
              <w:rPr>
                <w:rFonts w:ascii="宋体" w:hAnsi="宋体"/>
                <w:sz w:val="24"/>
                <w:szCs w:val="24"/>
              </w:rPr>
              <w:t>7)单品种操作明细：查询单个药品的出入存信息，可按库存编号或药典编号查询。</w:t>
            </w:r>
          </w:p>
          <w:p>
            <w:pPr>
              <w:rPr>
                <w:rFonts w:hint="default" w:ascii="宋体" w:hAnsi="宋体"/>
                <w:sz w:val="24"/>
                <w:szCs w:val="24"/>
              </w:rPr>
            </w:pPr>
            <w:r>
              <w:rPr>
                <w:rFonts w:ascii="宋体" w:hAnsi="宋体"/>
                <w:sz w:val="24"/>
                <w:szCs w:val="24"/>
              </w:rPr>
              <w:t>8)单品种科室汇总查询：单个药品在科室进销存汇总信息。</w:t>
            </w:r>
          </w:p>
          <w:p>
            <w:pPr>
              <w:rPr>
                <w:rFonts w:hint="default" w:ascii="宋体" w:hAnsi="宋体"/>
                <w:sz w:val="24"/>
                <w:szCs w:val="24"/>
              </w:rPr>
            </w:pPr>
            <w:r>
              <w:rPr>
                <w:rFonts w:ascii="宋体" w:hAnsi="宋体"/>
                <w:sz w:val="24"/>
                <w:szCs w:val="24"/>
              </w:rPr>
              <w:t>9)单品种操作汇总：查询单个药品、不通操作类型的汇总信息。</w:t>
            </w:r>
          </w:p>
          <w:p>
            <w:pPr>
              <w:rPr>
                <w:rFonts w:hint="default" w:ascii="宋体" w:hAnsi="宋体"/>
                <w:sz w:val="24"/>
                <w:szCs w:val="24"/>
              </w:rPr>
            </w:pPr>
            <w:r>
              <w:rPr>
                <w:rFonts w:ascii="宋体" w:hAnsi="宋体"/>
                <w:sz w:val="24"/>
                <w:szCs w:val="24"/>
              </w:rPr>
              <w:t>10)科室请领查询：查询科室药品请领信息。</w:t>
            </w:r>
          </w:p>
          <w:p>
            <w:pPr>
              <w:rPr>
                <w:rFonts w:hint="default" w:ascii="宋体" w:hAnsi="宋体"/>
                <w:sz w:val="24"/>
                <w:szCs w:val="24"/>
              </w:rPr>
            </w:pPr>
            <w:r>
              <w:rPr>
                <w:rFonts w:ascii="宋体" w:hAnsi="宋体"/>
                <w:sz w:val="24"/>
                <w:szCs w:val="24"/>
              </w:rPr>
              <w:t>11)效期药品查询：查询即将过期的药品信息。</w:t>
            </w:r>
          </w:p>
          <w:p>
            <w:pPr>
              <w:rPr>
                <w:rFonts w:hint="default" w:ascii="宋体" w:hAnsi="宋体"/>
                <w:sz w:val="24"/>
                <w:szCs w:val="24"/>
              </w:rPr>
            </w:pPr>
            <w:r>
              <w:rPr>
                <w:rFonts w:ascii="宋体" w:hAnsi="宋体"/>
                <w:sz w:val="24"/>
                <w:szCs w:val="24"/>
              </w:rPr>
              <w:t>12)跨药房发药查询：查询医嘱发药，由于开立医嘱库存不足，跨库存发药的药品信息。</w:t>
            </w:r>
          </w:p>
          <w:p>
            <w:pPr>
              <w:rPr>
                <w:rFonts w:hint="default" w:ascii="宋体" w:hAnsi="宋体"/>
                <w:sz w:val="24"/>
                <w:szCs w:val="24"/>
              </w:rPr>
            </w:pPr>
            <w:r>
              <w:rPr>
                <w:rFonts w:ascii="宋体" w:hAnsi="宋体"/>
                <w:sz w:val="24"/>
                <w:szCs w:val="24"/>
              </w:rPr>
              <w:t>13)住院记账核对：医院没有启用电子医嘱的模式下，药房人员与收费人员对账使用。</w:t>
            </w:r>
          </w:p>
          <w:p>
            <w:pPr>
              <w:rPr>
                <w:rFonts w:hint="default" w:ascii="宋体" w:hAnsi="宋体"/>
                <w:sz w:val="24"/>
                <w:szCs w:val="24"/>
              </w:rPr>
            </w:pPr>
            <w:r>
              <w:rPr>
                <w:rFonts w:ascii="宋体" w:hAnsi="宋体"/>
                <w:sz w:val="24"/>
                <w:szCs w:val="24"/>
              </w:rPr>
              <w:t>14)门诊收费核对：医院没有启用门诊医生站的模式下，药房人员与收费人员对账使用。</w:t>
            </w:r>
          </w:p>
          <w:p>
            <w:pPr>
              <w:rPr>
                <w:rFonts w:hint="default" w:ascii="宋体" w:hAnsi="宋体"/>
                <w:sz w:val="24"/>
                <w:szCs w:val="24"/>
              </w:rPr>
            </w:pPr>
            <w:r>
              <w:rPr>
                <w:rFonts w:ascii="宋体" w:hAnsi="宋体"/>
                <w:sz w:val="24"/>
                <w:szCs w:val="24"/>
              </w:rPr>
              <w:t>15)处方打印记录：查询处方的打印记录。</w:t>
            </w:r>
          </w:p>
          <w:p>
            <w:pPr>
              <w:rPr>
                <w:rFonts w:hint="default" w:ascii="宋体" w:hAnsi="宋体"/>
                <w:sz w:val="24"/>
                <w:szCs w:val="24"/>
              </w:rPr>
            </w:pPr>
            <w:r>
              <w:rPr>
                <w:rFonts w:ascii="宋体" w:hAnsi="宋体"/>
                <w:sz w:val="24"/>
                <w:szCs w:val="24"/>
              </w:rPr>
              <w:t>16)药房进销存：统计药房药品的进销存报表，可按购进价统计，也可按零售价统计。</w:t>
            </w:r>
          </w:p>
          <w:p>
            <w:pPr>
              <w:rPr>
                <w:rFonts w:hint="default" w:ascii="宋体" w:hAnsi="宋体"/>
                <w:sz w:val="24"/>
                <w:szCs w:val="24"/>
              </w:rPr>
            </w:pPr>
            <w:r>
              <w:rPr>
                <w:rFonts w:ascii="宋体" w:hAnsi="宋体"/>
                <w:sz w:val="24"/>
                <w:szCs w:val="24"/>
              </w:rPr>
              <w:t>17)药品进销存明细：查询每个库存的进销存信息，用于核对药品进销存数据是否完整。</w:t>
            </w:r>
          </w:p>
          <w:p>
            <w:pPr>
              <w:rPr>
                <w:rFonts w:hint="default" w:ascii="宋体" w:hAnsi="宋体"/>
                <w:sz w:val="24"/>
                <w:szCs w:val="24"/>
              </w:rPr>
            </w:pPr>
            <w:r>
              <w:rPr>
                <w:rFonts w:ascii="宋体" w:hAnsi="宋体"/>
                <w:sz w:val="24"/>
                <w:szCs w:val="24"/>
              </w:rPr>
              <w:t>18)药品销售收入：统计药房药品的销售收入情况，可根据日结或发药时间进行查询药房收入情况。</w:t>
            </w:r>
          </w:p>
          <w:p>
            <w:pPr>
              <w:rPr>
                <w:rFonts w:hint="default" w:ascii="宋体" w:hAnsi="宋体"/>
                <w:sz w:val="24"/>
                <w:szCs w:val="24"/>
              </w:rPr>
            </w:pPr>
            <w:r>
              <w:rPr>
                <w:rFonts w:ascii="宋体" w:hAnsi="宋体"/>
                <w:sz w:val="24"/>
                <w:szCs w:val="24"/>
              </w:rPr>
              <w:t>19)药品销售明细：查询药品销售明细。</w:t>
            </w:r>
          </w:p>
          <w:p>
            <w:pPr>
              <w:rPr>
                <w:rFonts w:hint="default" w:ascii="宋体" w:hAnsi="宋体"/>
                <w:sz w:val="24"/>
                <w:szCs w:val="24"/>
              </w:rPr>
            </w:pPr>
            <w:r>
              <w:rPr>
                <w:rFonts w:ascii="宋体" w:hAnsi="宋体"/>
                <w:sz w:val="24"/>
                <w:szCs w:val="24"/>
              </w:rPr>
              <w:t>20)药品领取记录：查询药品领取记录。</w:t>
            </w:r>
          </w:p>
          <w:p>
            <w:pPr>
              <w:rPr>
                <w:rFonts w:hint="default" w:ascii="宋体" w:hAnsi="宋体"/>
                <w:sz w:val="24"/>
                <w:szCs w:val="24"/>
              </w:rPr>
            </w:pPr>
            <w:r>
              <w:rPr>
                <w:rFonts w:ascii="宋体" w:hAnsi="宋体"/>
                <w:sz w:val="24"/>
                <w:szCs w:val="24"/>
              </w:rPr>
              <w:t>21)科室领药统计：查询科室领药信息。</w:t>
            </w:r>
          </w:p>
          <w:p>
            <w:pPr>
              <w:rPr>
                <w:rFonts w:hint="default" w:ascii="宋体" w:hAnsi="宋体"/>
                <w:sz w:val="24"/>
                <w:szCs w:val="24"/>
              </w:rPr>
            </w:pPr>
            <w:r>
              <w:rPr>
                <w:rFonts w:ascii="宋体" w:hAnsi="宋体"/>
                <w:sz w:val="24"/>
                <w:szCs w:val="24"/>
              </w:rPr>
              <w:t>22)医师处方量统计：统计医师的处方量。</w:t>
            </w:r>
          </w:p>
          <w:p>
            <w:pPr>
              <w:rPr>
                <w:rFonts w:hint="default" w:ascii="宋体" w:hAnsi="宋体"/>
                <w:sz w:val="24"/>
                <w:szCs w:val="24"/>
              </w:rPr>
            </w:pPr>
            <w:r>
              <w:rPr>
                <w:rFonts w:ascii="宋体" w:hAnsi="宋体"/>
                <w:sz w:val="24"/>
                <w:szCs w:val="24"/>
              </w:rPr>
              <w:t>23)操作员工作量：统计药房操作员的工作量。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22</w:t>
            </w:r>
          </w:p>
        </w:tc>
        <w:tc>
          <w:tcPr>
            <w:tcW w:w="796" w:type="pct"/>
            <w:noWrap w:val="0"/>
            <w:vAlign w:val="center"/>
          </w:tcPr>
          <w:p>
            <w:pPr>
              <w:rPr>
                <w:rFonts w:hint="default" w:ascii="宋体" w:hAnsi="宋体"/>
                <w:sz w:val="24"/>
                <w:szCs w:val="24"/>
              </w:rPr>
            </w:pPr>
            <w:r>
              <w:rPr>
                <w:rFonts w:ascii="宋体" w:hAnsi="宋体"/>
                <w:sz w:val="24"/>
                <w:szCs w:val="24"/>
              </w:rPr>
              <w:t>其他功能</w:t>
            </w:r>
          </w:p>
        </w:tc>
        <w:tc>
          <w:tcPr>
            <w:tcW w:w="3780" w:type="pct"/>
            <w:noWrap w:val="0"/>
            <w:vAlign w:val="center"/>
          </w:tcPr>
          <w:p>
            <w:pPr>
              <w:rPr>
                <w:rFonts w:hint="default" w:ascii="宋体" w:hAnsi="宋体"/>
                <w:sz w:val="24"/>
                <w:szCs w:val="24"/>
              </w:rPr>
            </w:pPr>
            <w:r>
              <w:rPr>
                <w:rFonts w:ascii="宋体" w:hAnsi="宋体"/>
                <w:sz w:val="24"/>
                <w:szCs w:val="24"/>
              </w:rPr>
              <w:t>1)摆药单自动打印：自动打印门诊患者摆药单信息，供药房人员摆药使用。</w:t>
            </w:r>
          </w:p>
          <w:p>
            <w:pPr>
              <w:rPr>
                <w:rFonts w:hint="default" w:ascii="宋体" w:hAnsi="宋体"/>
                <w:sz w:val="24"/>
                <w:szCs w:val="24"/>
              </w:rPr>
            </w:pPr>
            <w:r>
              <w:rPr>
                <w:rFonts w:ascii="宋体" w:hAnsi="宋体"/>
                <w:sz w:val="24"/>
                <w:szCs w:val="24"/>
              </w:rPr>
              <w:t>2)医嘱处方打印：对住院患者开立的住院处方进行打印。</w:t>
            </w:r>
          </w:p>
          <w:p>
            <w:pPr>
              <w:rPr>
                <w:rFonts w:hint="default" w:ascii="宋体" w:hAnsi="宋体"/>
                <w:sz w:val="24"/>
                <w:szCs w:val="24"/>
              </w:rPr>
            </w:pPr>
            <w:r>
              <w:rPr>
                <w:rFonts w:ascii="宋体" w:hAnsi="宋体"/>
                <w:sz w:val="24"/>
                <w:szCs w:val="24"/>
              </w:rPr>
              <w:t>3)配送瓶签打印：当本药房为静配中心药房时，通过此窗口打印配液条码。</w:t>
            </w:r>
          </w:p>
          <w:p>
            <w:pPr>
              <w:rPr>
                <w:rFonts w:hint="default" w:ascii="宋体" w:hAnsi="宋体"/>
                <w:sz w:val="24"/>
                <w:szCs w:val="24"/>
              </w:rPr>
            </w:pPr>
            <w:r>
              <w:rPr>
                <w:rFonts w:ascii="宋体" w:hAnsi="宋体"/>
                <w:sz w:val="24"/>
                <w:szCs w:val="24"/>
              </w:rPr>
              <w:t>4)配送中心打印：用于打印配送药品信息；</w:t>
            </w:r>
          </w:p>
          <w:p>
            <w:pPr>
              <w:rPr>
                <w:rFonts w:hint="default" w:ascii="宋体" w:hAnsi="宋体"/>
                <w:sz w:val="24"/>
                <w:szCs w:val="24"/>
              </w:rPr>
            </w:pPr>
            <w:r>
              <w:rPr>
                <w:rFonts w:ascii="宋体" w:hAnsi="宋体"/>
                <w:sz w:val="24"/>
                <w:szCs w:val="24"/>
              </w:rPr>
              <w:t>5)补打领药单：补打本药房各个病区医嘱发药的领药单信息。</w:t>
            </w:r>
          </w:p>
          <w:p>
            <w:pPr>
              <w:rPr>
                <w:rFonts w:hint="default" w:ascii="宋体" w:hAnsi="宋体"/>
                <w:sz w:val="24"/>
                <w:szCs w:val="24"/>
              </w:rPr>
            </w:pPr>
            <w:r>
              <w:rPr>
                <w:rFonts w:ascii="宋体" w:hAnsi="宋体"/>
                <w:sz w:val="24"/>
                <w:szCs w:val="24"/>
              </w:rPr>
              <w:t>6)煎药瓶签打印：</w:t>
            </w:r>
            <w:r>
              <w:rPr>
                <w:rFonts w:ascii="宋体" w:hAnsi="宋体"/>
                <w:sz w:val="24"/>
                <w:szCs w:val="24"/>
              </w:rPr>
              <w:tab/>
            </w:r>
            <w:r>
              <w:rPr>
                <w:rFonts w:ascii="宋体" w:hAnsi="宋体"/>
                <w:sz w:val="24"/>
                <w:szCs w:val="24"/>
              </w:rPr>
              <w:t>打印煎药瓶签，郑州市中医院使用。</w:t>
            </w:r>
          </w:p>
          <w:p>
            <w:pPr>
              <w:rPr>
                <w:rFonts w:hint="default" w:ascii="宋体" w:hAnsi="宋体"/>
                <w:sz w:val="24"/>
                <w:szCs w:val="24"/>
              </w:rPr>
            </w:pPr>
            <w:r>
              <w:rPr>
                <w:rFonts w:ascii="宋体" w:hAnsi="宋体"/>
                <w:sz w:val="24"/>
                <w:szCs w:val="24"/>
              </w:rPr>
              <w:t>7)操作员结算：对操作员的划价、发药、退药等日常业务进行结算操作。</w:t>
            </w:r>
          </w:p>
          <w:p>
            <w:pPr>
              <w:rPr>
                <w:rFonts w:hint="default" w:ascii="宋体" w:hAnsi="宋体"/>
                <w:sz w:val="24"/>
                <w:szCs w:val="24"/>
              </w:rPr>
            </w:pPr>
            <w:r>
              <w:rPr>
                <w:rFonts w:ascii="宋体" w:hAnsi="宋体"/>
                <w:sz w:val="24"/>
                <w:szCs w:val="24"/>
              </w:rPr>
              <w:t>8)结算流水账：统计和查询已经结算过的操作员的划价和发药数量，退药、作废处方的数量和金额。</w:t>
            </w:r>
          </w:p>
          <w:p>
            <w:pPr>
              <w:rPr>
                <w:rFonts w:hint="default" w:ascii="宋体" w:hAnsi="宋体"/>
                <w:sz w:val="24"/>
                <w:szCs w:val="24"/>
              </w:rPr>
            </w:pPr>
            <w:r>
              <w:rPr>
                <w:rFonts w:ascii="宋体" w:hAnsi="宋体"/>
                <w:sz w:val="24"/>
                <w:szCs w:val="24"/>
              </w:rPr>
              <w:t>9)大输液药品销售统计表：统计大输液药品消耗信息。</w:t>
            </w:r>
          </w:p>
          <w:p>
            <w:pPr>
              <w:rPr>
                <w:rFonts w:hint="default" w:ascii="宋体" w:hAnsi="宋体"/>
                <w:sz w:val="24"/>
                <w:szCs w:val="24"/>
              </w:rPr>
            </w:pPr>
            <w:r>
              <w:rPr>
                <w:rFonts w:ascii="宋体" w:hAnsi="宋体"/>
                <w:sz w:val="24"/>
                <w:szCs w:val="24"/>
              </w:rPr>
              <w:t>10)贵重药品登记：打印实时的贵重药品的库存信息，供操作员交接班使用。</w:t>
            </w:r>
          </w:p>
          <w:p>
            <w:pPr>
              <w:rPr>
                <w:rFonts w:hint="default" w:ascii="宋体" w:hAnsi="宋体"/>
                <w:sz w:val="24"/>
                <w:szCs w:val="24"/>
              </w:rPr>
            </w:pPr>
            <w:r>
              <w:rPr>
                <w:rFonts w:ascii="宋体" w:hAnsi="宋体"/>
                <w:sz w:val="24"/>
                <w:szCs w:val="24"/>
              </w:rPr>
              <w:t>11)贵重药品统计：统计贵重药品的销售信息。</w:t>
            </w:r>
          </w:p>
          <w:p>
            <w:pPr>
              <w:rPr>
                <w:rFonts w:hint="default" w:ascii="宋体" w:hAnsi="宋体"/>
                <w:sz w:val="24"/>
                <w:szCs w:val="24"/>
              </w:rPr>
            </w:pPr>
            <w:r>
              <w:rPr>
                <w:rFonts w:ascii="宋体" w:hAnsi="宋体"/>
                <w:sz w:val="24"/>
                <w:szCs w:val="24"/>
              </w:rPr>
              <w:t>12)麻醉药品登记：打印实时的麻醉药品的库存信息，供操作员交接班使用。</w:t>
            </w:r>
          </w:p>
          <w:p>
            <w:pPr>
              <w:rPr>
                <w:rFonts w:hint="default" w:ascii="宋体" w:hAnsi="宋体"/>
                <w:sz w:val="24"/>
                <w:szCs w:val="24"/>
              </w:rPr>
            </w:pPr>
            <w:r>
              <w:rPr>
                <w:rFonts w:ascii="宋体" w:hAnsi="宋体"/>
                <w:sz w:val="24"/>
                <w:szCs w:val="24"/>
              </w:rPr>
              <w:t>13)精神药品登记：打印实时的精神药品的库存信息，供操作员交接班使用。</w:t>
            </w:r>
          </w:p>
          <w:p>
            <w:pPr>
              <w:rPr>
                <w:rFonts w:hint="default" w:ascii="宋体" w:hAnsi="宋体"/>
                <w:sz w:val="24"/>
                <w:szCs w:val="24"/>
              </w:rPr>
            </w:pPr>
            <w:r>
              <w:rPr>
                <w:rFonts w:ascii="宋体" w:hAnsi="宋体"/>
                <w:sz w:val="24"/>
                <w:szCs w:val="24"/>
              </w:rPr>
              <w:t>14)特殊药品统计：按患者查询特殊药品的使用记录。</w:t>
            </w:r>
          </w:p>
          <w:p>
            <w:pPr>
              <w:rPr>
                <w:rFonts w:hint="default" w:ascii="宋体" w:hAnsi="宋体"/>
                <w:sz w:val="24"/>
                <w:szCs w:val="24"/>
              </w:rPr>
            </w:pPr>
            <w:r>
              <w:rPr>
                <w:rFonts w:ascii="宋体" w:hAnsi="宋体"/>
                <w:sz w:val="24"/>
                <w:szCs w:val="24"/>
              </w:rPr>
              <w:t>15)麻醉药品消耗明细：统计麻醉药品的消耗明细信息。</w:t>
            </w:r>
          </w:p>
          <w:p>
            <w:pPr>
              <w:rPr>
                <w:rFonts w:hint="default" w:ascii="宋体" w:hAnsi="宋体"/>
                <w:sz w:val="24"/>
                <w:szCs w:val="24"/>
              </w:rPr>
            </w:pPr>
            <w:r>
              <w:rPr>
                <w:rFonts w:ascii="宋体" w:hAnsi="宋体"/>
                <w:sz w:val="24"/>
                <w:szCs w:val="24"/>
              </w:rPr>
              <w:t>16)贵重药品消耗统计：统计贵重药品的消耗明细信息。</w:t>
            </w:r>
          </w:p>
        </w:tc>
      </w:tr>
    </w:tbl>
    <w:p>
      <w:pPr>
        <w:pStyle w:val="5"/>
        <w:numPr>
          <w:ilvl w:val="2"/>
          <w:numId w:val="5"/>
        </w:numPr>
        <w:spacing w:before="0" w:after="0" w:line="360" w:lineRule="auto"/>
        <w:rPr>
          <w:rFonts w:ascii="宋体" w:hAnsi="宋体"/>
        </w:rPr>
      </w:pPr>
      <w:bookmarkStart w:id="592" w:name="_Toc12423"/>
      <w:r>
        <w:rPr>
          <w:rFonts w:hint="eastAsia" w:ascii="宋体" w:hAnsi="宋体"/>
        </w:rPr>
        <w:t>药库管理系统</w:t>
      </w:r>
      <w:bookmarkEnd w:id="592"/>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3"/>
        <w:gridCol w:w="1728"/>
        <w:gridCol w:w="60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77" w:hRule="atLeast"/>
          <w:tblHeader/>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101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562"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药品入库</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药品预入库：供货商到货仓库管理人员选择供货商，录入待入库药品信息，供财务人员实际审核入库调取。</w:t>
            </w:r>
          </w:p>
          <w:p>
            <w:pPr>
              <w:rPr>
                <w:rFonts w:hint="default" w:ascii="宋体" w:hAnsi="宋体" w:cs="宋体"/>
                <w:kern w:val="0"/>
                <w:sz w:val="24"/>
                <w:szCs w:val="24"/>
              </w:rPr>
            </w:pPr>
            <w:r>
              <w:rPr>
                <w:rFonts w:ascii="宋体" w:hAnsi="宋体" w:cs="宋体"/>
                <w:kern w:val="0"/>
                <w:sz w:val="24"/>
                <w:szCs w:val="24"/>
              </w:rPr>
              <w:t>2</w:t>
            </w:r>
            <w:r>
              <w:rPr>
                <w:rFonts w:ascii="宋体" w:hAnsi="宋体"/>
                <w:sz w:val="24"/>
                <w:szCs w:val="24"/>
              </w:rPr>
              <w:t>)</w:t>
            </w:r>
            <w:r>
              <w:rPr>
                <w:rFonts w:ascii="宋体" w:hAnsi="宋体" w:cs="宋体"/>
                <w:kern w:val="0"/>
                <w:sz w:val="24"/>
                <w:szCs w:val="24"/>
              </w:rPr>
              <w:t>入库修改：预入库信息录入完成、实际入库前，审核发现录入信息有误，可通过入库修改修改修改预入库单据信息。</w:t>
            </w:r>
          </w:p>
          <w:p>
            <w:pPr>
              <w:rPr>
                <w:rFonts w:hint="default" w:ascii="宋体" w:hAnsi="宋体" w:cs="宋体"/>
                <w:kern w:val="0"/>
                <w:sz w:val="24"/>
                <w:szCs w:val="24"/>
              </w:rPr>
            </w:pPr>
            <w:r>
              <w:rPr>
                <w:rFonts w:ascii="宋体" w:hAnsi="宋体" w:cs="宋体"/>
                <w:kern w:val="0"/>
                <w:sz w:val="24"/>
                <w:szCs w:val="24"/>
              </w:rPr>
              <w:t>3</w:t>
            </w:r>
            <w:r>
              <w:rPr>
                <w:rFonts w:ascii="宋体" w:hAnsi="宋体"/>
                <w:sz w:val="24"/>
                <w:szCs w:val="24"/>
              </w:rPr>
              <w:t>)</w:t>
            </w:r>
            <w:r>
              <w:rPr>
                <w:rFonts w:ascii="宋体" w:hAnsi="宋体" w:cs="宋体"/>
                <w:kern w:val="0"/>
                <w:sz w:val="24"/>
                <w:szCs w:val="24"/>
              </w:rPr>
              <w:t>实际入库：财务人员对本次来院药品信息进行核对，核对无误。进行实际入库操作，增加药库库存。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药品付款</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统计某个时间段入库单信息，手动录入付款金额、发票号等信息。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付款信息统计</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统计已录入付款金额、发票号等信息的入库单信息。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退药申请单处理</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药房人员根据情况，对需要退货到药库的药品，生成退药申请单。药库管理人员提取药房退药申请信息，进行确认退货入库。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入库流水帐</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入库流水帐是反映药库某段时间内的入库操作明细，可根据不通的条件进行筛选。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已入账入库流水账查询</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用于修改批号、有效期、发票号等信息。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药品出库</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药品预出库：仓库管理人员根据药房库存情况，录入预出库药品信息，供财务人员实际审核出库调取。</w:t>
            </w:r>
          </w:p>
          <w:p>
            <w:pPr>
              <w:rPr>
                <w:rFonts w:hint="default" w:ascii="宋体" w:hAnsi="宋体" w:cs="宋体"/>
                <w:kern w:val="0"/>
                <w:sz w:val="24"/>
                <w:szCs w:val="24"/>
              </w:rPr>
            </w:pPr>
            <w:r>
              <w:rPr>
                <w:rFonts w:ascii="宋体" w:hAnsi="宋体" w:cs="宋体"/>
                <w:kern w:val="0"/>
                <w:sz w:val="24"/>
                <w:szCs w:val="24"/>
              </w:rPr>
              <w:t>2</w:t>
            </w:r>
            <w:r>
              <w:rPr>
                <w:rFonts w:ascii="宋体" w:hAnsi="宋体"/>
                <w:sz w:val="24"/>
                <w:szCs w:val="24"/>
              </w:rPr>
              <w:t>)</w:t>
            </w:r>
            <w:r>
              <w:rPr>
                <w:rFonts w:ascii="宋体" w:hAnsi="宋体" w:cs="宋体"/>
                <w:kern w:val="0"/>
                <w:sz w:val="24"/>
                <w:szCs w:val="24"/>
              </w:rPr>
              <w:t>出库修改：预出库信息录入完成、实际出库前，审核发现录入信息有误，可通过出库修改修改修改预出库单据信息。</w:t>
            </w:r>
          </w:p>
          <w:p>
            <w:pPr>
              <w:rPr>
                <w:rFonts w:hint="default" w:ascii="宋体" w:hAnsi="宋体" w:cs="宋体"/>
                <w:kern w:val="0"/>
                <w:sz w:val="24"/>
                <w:szCs w:val="24"/>
              </w:rPr>
            </w:pPr>
            <w:r>
              <w:rPr>
                <w:rFonts w:ascii="宋体" w:hAnsi="宋体" w:cs="宋体"/>
                <w:kern w:val="0"/>
                <w:sz w:val="24"/>
                <w:szCs w:val="24"/>
              </w:rPr>
              <w:t>3</w:t>
            </w:r>
            <w:r>
              <w:rPr>
                <w:rFonts w:ascii="宋体" w:hAnsi="宋体"/>
                <w:sz w:val="24"/>
                <w:szCs w:val="24"/>
              </w:rPr>
              <w:t>)</w:t>
            </w:r>
            <w:r>
              <w:rPr>
                <w:rFonts w:ascii="宋体" w:hAnsi="宋体" w:cs="宋体"/>
                <w:kern w:val="0"/>
                <w:sz w:val="24"/>
                <w:szCs w:val="24"/>
              </w:rPr>
              <w:t>实际出库：财务人员对本次出库到药房的药品信息进行核对，核对无误。进行实际出库操作，药库库存减少，药房库存增加。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请领处理</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药房人员根据库存状况，生成请领计划，药库管理人员根据药房请领计划及药库库存情况，进行请领确认，请领确认后药库库存减少，药房库存增加。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请领药品汇总查询</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用于统计某一时间段内，药房请领汇总信息。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药房未确认出库单查询</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统计药库已经实际出库，药房未进行实际入库操作的药品信息。（药品出库--实际出库特殊模式，实际出库时药库库存减少，药房库存不增加，需要药房人员进行入库确认操作后，药房库存才增加。）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出库流水帐</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出库流水帐是反映药库某段时间内的出库操作明细，可根据不通的条件进行筛选。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盘点库存</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查看药库当前库存信息。</w:t>
            </w:r>
          </w:p>
          <w:p>
            <w:pPr>
              <w:rPr>
                <w:rFonts w:hint="default" w:ascii="宋体" w:hAnsi="宋体" w:cs="宋体"/>
                <w:kern w:val="0"/>
                <w:sz w:val="24"/>
                <w:szCs w:val="24"/>
              </w:rPr>
            </w:pPr>
            <w:r>
              <w:rPr>
                <w:rFonts w:ascii="宋体" w:hAnsi="宋体" w:cs="宋体"/>
                <w:kern w:val="0"/>
                <w:sz w:val="24"/>
                <w:szCs w:val="24"/>
              </w:rPr>
              <w:t>2</w:t>
            </w:r>
            <w:r>
              <w:rPr>
                <w:rFonts w:ascii="宋体" w:hAnsi="宋体"/>
                <w:sz w:val="24"/>
                <w:szCs w:val="24"/>
              </w:rPr>
              <w:t>)</w:t>
            </w:r>
            <w:r>
              <w:rPr>
                <w:rFonts w:ascii="宋体" w:hAnsi="宋体" w:cs="宋体"/>
                <w:kern w:val="0"/>
                <w:sz w:val="24"/>
                <w:szCs w:val="24"/>
              </w:rPr>
              <w:t>对库存异常药品库存进行修正。</w:t>
            </w:r>
          </w:p>
          <w:p>
            <w:pPr>
              <w:rPr>
                <w:rFonts w:hint="default" w:ascii="宋体" w:hAnsi="宋体" w:cs="宋体"/>
                <w:kern w:val="0"/>
                <w:sz w:val="24"/>
                <w:szCs w:val="24"/>
              </w:rPr>
            </w:pPr>
            <w:r>
              <w:rPr>
                <w:rFonts w:ascii="宋体" w:hAnsi="宋体" w:cs="宋体"/>
                <w:kern w:val="0"/>
                <w:sz w:val="24"/>
                <w:szCs w:val="24"/>
              </w:rPr>
              <w:t>3</w:t>
            </w:r>
            <w:r>
              <w:rPr>
                <w:rFonts w:ascii="宋体" w:hAnsi="宋体"/>
                <w:sz w:val="24"/>
                <w:szCs w:val="24"/>
              </w:rPr>
              <w:t>)</w:t>
            </w:r>
            <w:r>
              <w:rPr>
                <w:rFonts w:ascii="宋体" w:hAnsi="宋体" w:cs="宋体"/>
                <w:kern w:val="0"/>
                <w:sz w:val="24"/>
                <w:szCs w:val="24"/>
              </w:rPr>
              <w:t>药库库存保存结余。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药品摆放定义</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药库药品摆放位置维护，方便药品查找药品。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14</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盈亏查询</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用于查询某段时间内由于修正库存所产生的盈亏数据。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15</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滞销药品查询</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滞销药品查询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16</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采购计划</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药库管理人员根据药库库存情况，及医院用药情况，对库存使用量较大或库存量较低的药品罗列采购计划，防止出现缺货问题。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17</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效期处理</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查询药库过期药品信息。</w:t>
            </w:r>
          </w:p>
          <w:p>
            <w:pPr>
              <w:rPr>
                <w:rFonts w:hint="default" w:ascii="宋体" w:hAnsi="宋体" w:cs="宋体"/>
                <w:kern w:val="0"/>
                <w:sz w:val="24"/>
                <w:szCs w:val="24"/>
              </w:rPr>
            </w:pPr>
            <w:r>
              <w:rPr>
                <w:rFonts w:ascii="宋体" w:hAnsi="宋体" w:cs="宋体"/>
                <w:kern w:val="0"/>
                <w:sz w:val="24"/>
                <w:szCs w:val="24"/>
              </w:rPr>
              <w:t>2</w:t>
            </w:r>
            <w:r>
              <w:rPr>
                <w:rFonts w:ascii="宋体" w:hAnsi="宋体"/>
                <w:sz w:val="24"/>
                <w:szCs w:val="24"/>
              </w:rPr>
              <w:t>)</w:t>
            </w:r>
            <w:r>
              <w:rPr>
                <w:rFonts w:ascii="宋体" w:hAnsi="宋体" w:cs="宋体"/>
                <w:kern w:val="0"/>
                <w:sz w:val="24"/>
                <w:szCs w:val="24"/>
              </w:rPr>
              <w:t>查询药库临期药品信息。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18</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药房退药</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药库出库到药房药品，需要退回药库使用此功能。</w:t>
            </w:r>
          </w:p>
          <w:p>
            <w:pPr>
              <w:rPr>
                <w:rFonts w:hint="default" w:ascii="宋体" w:hAnsi="宋体" w:cs="宋体"/>
                <w:kern w:val="0"/>
                <w:sz w:val="24"/>
                <w:szCs w:val="24"/>
              </w:rPr>
            </w:pPr>
            <w:r>
              <w:rPr>
                <w:rFonts w:ascii="宋体" w:hAnsi="宋体" w:cs="宋体"/>
                <w:kern w:val="0"/>
                <w:sz w:val="24"/>
                <w:szCs w:val="24"/>
              </w:rPr>
              <w:t>2</w:t>
            </w:r>
            <w:r>
              <w:rPr>
                <w:rFonts w:ascii="宋体" w:hAnsi="宋体"/>
                <w:sz w:val="24"/>
                <w:szCs w:val="24"/>
              </w:rPr>
              <w:t>)</w:t>
            </w:r>
            <w:r>
              <w:rPr>
                <w:rFonts w:ascii="宋体" w:hAnsi="宋体" w:cs="宋体"/>
                <w:kern w:val="0"/>
                <w:sz w:val="24"/>
                <w:szCs w:val="24"/>
              </w:rPr>
              <w:t>药房盘点入库药品，价格</w:t>
            </w:r>
            <w:r>
              <w:rPr>
                <w:rFonts w:ascii="宋体" w:hAnsi="宋体" w:cs="宋体"/>
                <w:b/>
                <w:bCs/>
                <w:kern w:val="0"/>
                <w:sz w:val="24"/>
                <w:szCs w:val="24"/>
              </w:rPr>
              <w:t>*</w:t>
            </w:r>
            <w:r>
              <w:rPr>
                <w:rFonts w:ascii="宋体" w:hAnsi="宋体" w:cs="宋体"/>
                <w:kern w:val="0"/>
                <w:sz w:val="24"/>
                <w:szCs w:val="24"/>
              </w:rPr>
              <w:t>系数在药库能找到相应的库存记录的药品，退回药库使用此功能；</w:t>
            </w:r>
          </w:p>
          <w:p>
            <w:pPr>
              <w:rPr>
                <w:rFonts w:hint="default" w:ascii="宋体" w:hAnsi="宋体" w:cs="宋体"/>
                <w:kern w:val="0"/>
                <w:sz w:val="24"/>
                <w:szCs w:val="24"/>
              </w:rPr>
            </w:pPr>
            <w:r>
              <w:rPr>
                <w:rFonts w:ascii="宋体" w:hAnsi="宋体" w:cs="宋体"/>
                <w:kern w:val="0"/>
                <w:sz w:val="24"/>
                <w:szCs w:val="24"/>
              </w:rPr>
              <w:t>3</w:t>
            </w:r>
            <w:r>
              <w:rPr>
                <w:rFonts w:ascii="宋体" w:hAnsi="宋体"/>
                <w:sz w:val="24"/>
                <w:szCs w:val="24"/>
              </w:rPr>
              <w:t>)</w:t>
            </w:r>
            <w:r>
              <w:rPr>
                <w:rFonts w:ascii="宋体" w:hAnsi="宋体" w:cs="宋体"/>
                <w:kern w:val="0"/>
                <w:sz w:val="24"/>
                <w:szCs w:val="24"/>
              </w:rPr>
              <w:t>药房盘点入库药品，价格*系数在药库找不到相应的库存记录的药品，退回药库使用此功能。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19</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药房报损</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药房损耗药品，药房录入报损计划，药库根据药房报损计划进行药品报损，扣减药房库存。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20</w:t>
            </w:r>
          </w:p>
        </w:tc>
        <w:tc>
          <w:tcPr>
            <w:tcW w:w="1014" w:type="pct"/>
            <w:noWrap w:val="0"/>
            <w:vAlign w:val="center"/>
          </w:tcPr>
          <w:p>
            <w:pPr>
              <w:rPr>
                <w:rFonts w:hint="default" w:ascii="宋体" w:hAnsi="宋体" w:cs="宋体"/>
                <w:kern w:val="0"/>
                <w:sz w:val="24"/>
                <w:szCs w:val="24"/>
              </w:rPr>
            </w:pPr>
            <w:r>
              <w:rPr>
                <w:rFonts w:ascii="宋体" w:hAnsi="宋体" w:cs="宋体"/>
                <w:kern w:val="0"/>
                <w:sz w:val="24"/>
                <w:szCs w:val="24"/>
              </w:rPr>
              <w:t>查询统计</w:t>
            </w:r>
          </w:p>
        </w:tc>
        <w:tc>
          <w:tcPr>
            <w:tcW w:w="3562"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单品种信息查询：用于查询相同名称、同规格、同价格、同产地的药品出、入库信息、结存等信息。</w:t>
            </w:r>
          </w:p>
          <w:p>
            <w:pPr>
              <w:rPr>
                <w:rFonts w:hint="default" w:ascii="宋体" w:hAnsi="宋体" w:cs="宋体"/>
                <w:kern w:val="0"/>
                <w:sz w:val="24"/>
                <w:szCs w:val="24"/>
              </w:rPr>
            </w:pPr>
            <w:r>
              <w:rPr>
                <w:rFonts w:ascii="宋体" w:hAnsi="宋体" w:cs="宋体"/>
                <w:kern w:val="0"/>
                <w:sz w:val="24"/>
                <w:szCs w:val="24"/>
              </w:rPr>
              <w:t>2</w:t>
            </w:r>
            <w:r>
              <w:rPr>
                <w:rFonts w:ascii="宋体" w:hAnsi="宋体"/>
                <w:sz w:val="24"/>
                <w:szCs w:val="24"/>
              </w:rPr>
              <w:t>)</w:t>
            </w:r>
            <w:r>
              <w:rPr>
                <w:rFonts w:ascii="宋体" w:hAnsi="宋体" w:cs="宋体"/>
                <w:kern w:val="0"/>
                <w:sz w:val="24"/>
                <w:szCs w:val="24"/>
              </w:rPr>
              <w:t>单品种数量查询：用于查询相同名称、同规格的药品出、入库信息、结存等信息。</w:t>
            </w:r>
          </w:p>
          <w:p>
            <w:pPr>
              <w:rPr>
                <w:rFonts w:hint="default" w:ascii="宋体" w:hAnsi="宋体" w:cs="宋体"/>
                <w:kern w:val="0"/>
                <w:sz w:val="24"/>
                <w:szCs w:val="24"/>
              </w:rPr>
            </w:pPr>
            <w:r>
              <w:rPr>
                <w:rFonts w:ascii="宋体" w:hAnsi="宋体" w:cs="宋体"/>
                <w:kern w:val="0"/>
                <w:sz w:val="24"/>
                <w:szCs w:val="24"/>
              </w:rPr>
              <w:t>3</w:t>
            </w:r>
            <w:r>
              <w:rPr>
                <w:rFonts w:ascii="宋体" w:hAnsi="宋体"/>
                <w:sz w:val="24"/>
                <w:szCs w:val="24"/>
              </w:rPr>
              <w:t>)</w:t>
            </w:r>
            <w:r>
              <w:rPr>
                <w:rFonts w:ascii="宋体" w:hAnsi="宋体" w:cs="宋体"/>
                <w:kern w:val="0"/>
                <w:sz w:val="24"/>
                <w:szCs w:val="24"/>
              </w:rPr>
              <w:t>药品库存信息查询：药品库存信息查询</w:t>
            </w:r>
          </w:p>
          <w:p>
            <w:pPr>
              <w:rPr>
                <w:rFonts w:hint="default" w:ascii="宋体" w:hAnsi="宋体" w:cs="宋体"/>
                <w:kern w:val="0"/>
                <w:sz w:val="24"/>
                <w:szCs w:val="24"/>
              </w:rPr>
            </w:pPr>
            <w:r>
              <w:rPr>
                <w:rFonts w:ascii="宋体" w:hAnsi="宋体" w:cs="宋体"/>
                <w:kern w:val="0"/>
                <w:sz w:val="24"/>
                <w:szCs w:val="24"/>
              </w:rPr>
              <w:t>4</w:t>
            </w:r>
            <w:r>
              <w:rPr>
                <w:rFonts w:ascii="宋体" w:hAnsi="宋体"/>
                <w:sz w:val="24"/>
                <w:szCs w:val="24"/>
              </w:rPr>
              <w:t>)</w:t>
            </w:r>
            <w:r>
              <w:rPr>
                <w:rFonts w:ascii="宋体" w:hAnsi="宋体" w:cs="宋体"/>
                <w:kern w:val="0"/>
                <w:sz w:val="24"/>
                <w:szCs w:val="24"/>
              </w:rPr>
              <w:t>药品调价及查询：药品调价是处理在入库过程中发生价格输入错误，或药品使用过程中价格发生变动，需要进行价格调整的情况。</w:t>
            </w:r>
          </w:p>
          <w:p>
            <w:pPr>
              <w:rPr>
                <w:rFonts w:hint="default" w:ascii="宋体" w:hAnsi="宋体" w:cs="宋体"/>
                <w:kern w:val="0"/>
                <w:sz w:val="24"/>
                <w:szCs w:val="24"/>
              </w:rPr>
            </w:pPr>
            <w:r>
              <w:rPr>
                <w:rFonts w:ascii="宋体" w:hAnsi="宋体" w:cs="宋体"/>
                <w:kern w:val="0"/>
                <w:sz w:val="24"/>
                <w:szCs w:val="24"/>
              </w:rPr>
              <w:t>5</w:t>
            </w:r>
            <w:r>
              <w:rPr>
                <w:rFonts w:ascii="宋体" w:hAnsi="宋体"/>
                <w:sz w:val="24"/>
                <w:szCs w:val="24"/>
              </w:rPr>
              <w:t>)</w:t>
            </w:r>
            <w:r>
              <w:rPr>
                <w:rFonts w:ascii="宋体" w:hAnsi="宋体" w:cs="宋体"/>
                <w:kern w:val="0"/>
                <w:sz w:val="24"/>
                <w:szCs w:val="24"/>
              </w:rPr>
              <w:t>药品调价综合查询(药房/药库) ：用于查询药房、药库药品调价记录。</w:t>
            </w:r>
          </w:p>
          <w:p>
            <w:pPr>
              <w:rPr>
                <w:rFonts w:hint="default" w:ascii="宋体" w:hAnsi="宋体" w:cs="宋体"/>
                <w:kern w:val="0"/>
                <w:sz w:val="24"/>
                <w:szCs w:val="24"/>
              </w:rPr>
            </w:pPr>
            <w:r>
              <w:rPr>
                <w:rFonts w:ascii="宋体" w:hAnsi="宋体" w:cs="宋体"/>
                <w:kern w:val="0"/>
                <w:sz w:val="24"/>
                <w:szCs w:val="24"/>
              </w:rPr>
              <w:t>6</w:t>
            </w:r>
            <w:r>
              <w:rPr>
                <w:rFonts w:ascii="宋体" w:hAnsi="宋体"/>
                <w:sz w:val="24"/>
                <w:szCs w:val="24"/>
              </w:rPr>
              <w:t>)</w:t>
            </w:r>
            <w:r>
              <w:rPr>
                <w:rFonts w:ascii="宋体" w:hAnsi="宋体" w:cs="宋体"/>
                <w:kern w:val="0"/>
                <w:sz w:val="24"/>
                <w:szCs w:val="24"/>
              </w:rPr>
              <w:t>盘点库存查询：用于查询药库库存盘点后，保存结存数据信息，方便查看或打印以往盘存记录</w:t>
            </w:r>
          </w:p>
          <w:p>
            <w:pPr>
              <w:rPr>
                <w:rFonts w:hint="default" w:ascii="宋体" w:hAnsi="宋体" w:cs="宋体"/>
                <w:kern w:val="0"/>
                <w:sz w:val="24"/>
                <w:szCs w:val="24"/>
              </w:rPr>
            </w:pPr>
            <w:r>
              <w:rPr>
                <w:rFonts w:ascii="宋体" w:hAnsi="宋体" w:cs="宋体"/>
                <w:kern w:val="0"/>
                <w:sz w:val="24"/>
                <w:szCs w:val="24"/>
              </w:rPr>
              <w:t>7</w:t>
            </w:r>
            <w:r>
              <w:rPr>
                <w:rFonts w:ascii="宋体" w:hAnsi="宋体"/>
                <w:sz w:val="24"/>
                <w:szCs w:val="24"/>
              </w:rPr>
              <w:t>)</w:t>
            </w:r>
            <w:r>
              <w:rPr>
                <w:rFonts w:ascii="宋体" w:hAnsi="宋体" w:cs="宋体"/>
                <w:kern w:val="0"/>
                <w:sz w:val="24"/>
                <w:szCs w:val="24"/>
              </w:rPr>
              <w:t>药品入库明细表：药品入库明细表用于查询某段时间内所有药品入库明细记录</w:t>
            </w:r>
          </w:p>
          <w:p>
            <w:pPr>
              <w:rPr>
                <w:rFonts w:hint="default" w:ascii="宋体" w:hAnsi="宋体" w:cs="宋体"/>
                <w:kern w:val="0"/>
                <w:sz w:val="24"/>
                <w:szCs w:val="24"/>
              </w:rPr>
            </w:pPr>
            <w:r>
              <w:rPr>
                <w:rFonts w:ascii="宋体" w:hAnsi="宋体" w:cs="宋体"/>
                <w:kern w:val="0"/>
                <w:sz w:val="24"/>
                <w:szCs w:val="24"/>
              </w:rPr>
              <w:t>8</w:t>
            </w:r>
            <w:r>
              <w:rPr>
                <w:rFonts w:ascii="宋体" w:hAnsi="宋体"/>
                <w:sz w:val="24"/>
                <w:szCs w:val="24"/>
              </w:rPr>
              <w:t>)</w:t>
            </w:r>
            <w:r>
              <w:rPr>
                <w:rFonts w:ascii="宋体" w:hAnsi="宋体" w:cs="宋体"/>
                <w:kern w:val="0"/>
                <w:sz w:val="24"/>
                <w:szCs w:val="24"/>
              </w:rPr>
              <w:t>药品入库汇总表：用于查询某段时间内所有药品入库汇总记录</w:t>
            </w:r>
          </w:p>
          <w:p>
            <w:pPr>
              <w:rPr>
                <w:rFonts w:hint="default" w:ascii="宋体" w:hAnsi="宋体" w:cs="宋体"/>
                <w:kern w:val="0"/>
                <w:sz w:val="24"/>
                <w:szCs w:val="24"/>
              </w:rPr>
            </w:pPr>
            <w:r>
              <w:rPr>
                <w:rFonts w:ascii="宋体" w:hAnsi="宋体" w:cs="宋体"/>
                <w:kern w:val="0"/>
                <w:sz w:val="24"/>
                <w:szCs w:val="24"/>
              </w:rPr>
              <w:t>9</w:t>
            </w:r>
            <w:r>
              <w:rPr>
                <w:rFonts w:ascii="宋体" w:hAnsi="宋体"/>
                <w:sz w:val="24"/>
                <w:szCs w:val="24"/>
              </w:rPr>
              <w:t>)</w:t>
            </w:r>
            <w:r>
              <w:rPr>
                <w:rFonts w:ascii="宋体" w:hAnsi="宋体" w:cs="宋体"/>
                <w:kern w:val="0"/>
                <w:sz w:val="24"/>
                <w:szCs w:val="24"/>
              </w:rPr>
              <w:t>药品入库统计表：用于查询某段时间内所有药品入库金额、进销差价、加成率、品种数的财物数据报表</w:t>
            </w:r>
          </w:p>
          <w:p>
            <w:pPr>
              <w:rPr>
                <w:rFonts w:hint="default" w:ascii="宋体" w:hAnsi="宋体" w:cs="宋体"/>
                <w:kern w:val="0"/>
                <w:sz w:val="24"/>
                <w:szCs w:val="24"/>
              </w:rPr>
            </w:pPr>
            <w:r>
              <w:rPr>
                <w:rFonts w:ascii="宋体" w:hAnsi="宋体" w:cs="宋体"/>
                <w:kern w:val="0"/>
                <w:sz w:val="24"/>
                <w:szCs w:val="24"/>
              </w:rPr>
              <w:t>10</w:t>
            </w:r>
            <w:r>
              <w:rPr>
                <w:rFonts w:ascii="宋体" w:hAnsi="宋体"/>
                <w:sz w:val="24"/>
                <w:szCs w:val="24"/>
              </w:rPr>
              <w:t>)</w:t>
            </w:r>
            <w:r>
              <w:rPr>
                <w:rFonts w:ascii="宋体" w:hAnsi="宋体" w:cs="宋体"/>
                <w:kern w:val="0"/>
                <w:sz w:val="24"/>
                <w:szCs w:val="24"/>
              </w:rPr>
              <w:t>药品出库明细表：于查询所有的药品出库明细记录</w:t>
            </w:r>
          </w:p>
          <w:p>
            <w:pPr>
              <w:rPr>
                <w:rFonts w:hint="default" w:ascii="宋体" w:hAnsi="宋体" w:cs="宋体"/>
                <w:kern w:val="0"/>
                <w:sz w:val="24"/>
                <w:szCs w:val="24"/>
              </w:rPr>
            </w:pPr>
            <w:r>
              <w:rPr>
                <w:rFonts w:ascii="宋体" w:hAnsi="宋体" w:cs="宋体"/>
                <w:kern w:val="0"/>
                <w:sz w:val="24"/>
                <w:szCs w:val="24"/>
              </w:rPr>
              <w:t>药品出库汇总表：于查询某段时间内所有药品出库汇总记录</w:t>
            </w:r>
          </w:p>
          <w:p>
            <w:pPr>
              <w:rPr>
                <w:rFonts w:hint="default" w:ascii="宋体" w:hAnsi="宋体" w:cs="宋体"/>
                <w:kern w:val="0"/>
                <w:sz w:val="24"/>
                <w:szCs w:val="24"/>
              </w:rPr>
            </w:pPr>
            <w:r>
              <w:rPr>
                <w:rFonts w:ascii="宋体" w:hAnsi="宋体" w:cs="宋体"/>
                <w:kern w:val="0"/>
                <w:sz w:val="24"/>
                <w:szCs w:val="24"/>
              </w:rPr>
              <w:t>11</w:t>
            </w:r>
            <w:r>
              <w:rPr>
                <w:rFonts w:ascii="宋体" w:hAnsi="宋体"/>
                <w:sz w:val="24"/>
                <w:szCs w:val="24"/>
              </w:rPr>
              <w:t>)</w:t>
            </w:r>
            <w:r>
              <w:rPr>
                <w:rFonts w:ascii="宋体" w:hAnsi="宋体" w:cs="宋体"/>
                <w:kern w:val="0"/>
                <w:sz w:val="24"/>
                <w:szCs w:val="24"/>
              </w:rPr>
              <w:t>药品出库统计表：用于统计各个药品领用部门的药品进销差价金额</w:t>
            </w:r>
          </w:p>
          <w:p>
            <w:pPr>
              <w:rPr>
                <w:rFonts w:hint="default" w:ascii="宋体" w:hAnsi="宋体" w:cs="宋体"/>
                <w:kern w:val="0"/>
                <w:sz w:val="24"/>
                <w:szCs w:val="24"/>
              </w:rPr>
            </w:pPr>
            <w:r>
              <w:rPr>
                <w:rFonts w:ascii="宋体" w:hAnsi="宋体" w:cs="宋体"/>
                <w:kern w:val="0"/>
                <w:sz w:val="24"/>
                <w:szCs w:val="24"/>
              </w:rPr>
              <w:t>12</w:t>
            </w:r>
            <w:r>
              <w:rPr>
                <w:rFonts w:ascii="宋体" w:hAnsi="宋体"/>
                <w:sz w:val="24"/>
                <w:szCs w:val="24"/>
              </w:rPr>
              <w:t>)</w:t>
            </w:r>
            <w:r>
              <w:rPr>
                <w:rFonts w:ascii="宋体" w:hAnsi="宋体" w:cs="宋体"/>
                <w:kern w:val="0"/>
                <w:sz w:val="24"/>
                <w:szCs w:val="24"/>
              </w:rPr>
              <w:t>库存盈亏汇总表：用于查询某段时间内由于药库盘存产生的盈亏明细数据信息</w:t>
            </w:r>
          </w:p>
          <w:p>
            <w:pPr>
              <w:rPr>
                <w:rFonts w:hint="default" w:ascii="宋体" w:hAnsi="宋体" w:cs="宋体"/>
                <w:kern w:val="0"/>
                <w:sz w:val="24"/>
                <w:szCs w:val="24"/>
              </w:rPr>
            </w:pPr>
            <w:r>
              <w:rPr>
                <w:rFonts w:ascii="宋体" w:hAnsi="宋体" w:cs="宋体"/>
                <w:kern w:val="0"/>
                <w:sz w:val="24"/>
                <w:szCs w:val="24"/>
              </w:rPr>
              <w:t>13</w:t>
            </w:r>
            <w:r>
              <w:rPr>
                <w:rFonts w:ascii="宋体" w:hAnsi="宋体"/>
                <w:sz w:val="24"/>
                <w:szCs w:val="24"/>
              </w:rPr>
              <w:t>)</w:t>
            </w:r>
            <w:r>
              <w:rPr>
                <w:rFonts w:ascii="宋体" w:hAnsi="宋体" w:cs="宋体"/>
                <w:kern w:val="0"/>
                <w:sz w:val="24"/>
                <w:szCs w:val="24"/>
              </w:rPr>
              <w:t>盘点库存汇总表：用于查询药库保存结存信息。</w:t>
            </w:r>
          </w:p>
          <w:p>
            <w:pPr>
              <w:rPr>
                <w:rFonts w:hint="default" w:ascii="宋体" w:hAnsi="宋体" w:cs="宋体"/>
                <w:kern w:val="0"/>
                <w:sz w:val="24"/>
                <w:szCs w:val="24"/>
              </w:rPr>
            </w:pPr>
            <w:r>
              <w:rPr>
                <w:rFonts w:ascii="宋体" w:hAnsi="宋体" w:cs="宋体"/>
                <w:kern w:val="0"/>
                <w:sz w:val="24"/>
                <w:szCs w:val="24"/>
              </w:rPr>
              <w:t>14</w:t>
            </w:r>
            <w:r>
              <w:rPr>
                <w:rFonts w:ascii="宋体" w:hAnsi="宋体"/>
                <w:sz w:val="24"/>
                <w:szCs w:val="24"/>
              </w:rPr>
              <w:t>)</w:t>
            </w:r>
            <w:r>
              <w:rPr>
                <w:rFonts w:ascii="宋体" w:hAnsi="宋体" w:cs="宋体"/>
                <w:kern w:val="0"/>
                <w:sz w:val="24"/>
                <w:szCs w:val="24"/>
              </w:rPr>
              <w:t>药房报损汇总表：用于查询某段时间内某个药房的报损汇总记录</w:t>
            </w:r>
          </w:p>
          <w:p>
            <w:pPr>
              <w:rPr>
                <w:rFonts w:hint="default" w:ascii="宋体" w:hAnsi="宋体" w:cs="宋体"/>
                <w:kern w:val="0"/>
                <w:sz w:val="24"/>
                <w:szCs w:val="24"/>
              </w:rPr>
            </w:pPr>
            <w:r>
              <w:rPr>
                <w:rFonts w:ascii="宋体" w:hAnsi="宋体" w:cs="宋体"/>
                <w:kern w:val="0"/>
                <w:sz w:val="24"/>
                <w:szCs w:val="24"/>
              </w:rPr>
              <w:t>15</w:t>
            </w:r>
            <w:r>
              <w:rPr>
                <w:rFonts w:ascii="宋体" w:hAnsi="宋体"/>
                <w:sz w:val="24"/>
                <w:szCs w:val="24"/>
              </w:rPr>
              <w:t>)</w:t>
            </w:r>
            <w:r>
              <w:rPr>
                <w:rFonts w:ascii="宋体" w:hAnsi="宋体" w:cs="宋体"/>
                <w:kern w:val="0"/>
                <w:sz w:val="24"/>
                <w:szCs w:val="24"/>
              </w:rPr>
              <w:t>药品入出结存帐表：用于查询任意月份的药库所有药品的进销数据记录</w:t>
            </w:r>
          </w:p>
          <w:p>
            <w:pPr>
              <w:rPr>
                <w:rFonts w:hint="default" w:ascii="宋体" w:hAnsi="宋体" w:cs="宋体"/>
                <w:kern w:val="0"/>
                <w:sz w:val="24"/>
                <w:szCs w:val="24"/>
              </w:rPr>
            </w:pPr>
            <w:r>
              <w:rPr>
                <w:rFonts w:ascii="宋体" w:hAnsi="宋体" w:cs="宋体"/>
                <w:kern w:val="0"/>
                <w:sz w:val="24"/>
                <w:szCs w:val="24"/>
              </w:rPr>
              <w:t>16</w:t>
            </w:r>
            <w:r>
              <w:rPr>
                <w:rFonts w:ascii="宋体" w:hAnsi="宋体"/>
                <w:sz w:val="24"/>
                <w:szCs w:val="24"/>
              </w:rPr>
              <w:t>)</w:t>
            </w:r>
            <w:r>
              <w:rPr>
                <w:rFonts w:ascii="宋体" w:hAnsi="宋体" w:cs="宋体"/>
                <w:kern w:val="0"/>
                <w:sz w:val="24"/>
                <w:szCs w:val="24"/>
              </w:rPr>
              <w:t>药品入出结存帐表(购进价) ：按购进查询任意月份的药库所有药品的进销数据记录</w:t>
            </w:r>
          </w:p>
          <w:p>
            <w:pPr>
              <w:rPr>
                <w:rFonts w:hint="default" w:ascii="宋体" w:hAnsi="宋体" w:cs="宋体"/>
                <w:kern w:val="0"/>
                <w:sz w:val="24"/>
                <w:szCs w:val="24"/>
              </w:rPr>
            </w:pPr>
            <w:r>
              <w:rPr>
                <w:rFonts w:ascii="宋体" w:hAnsi="宋体" w:cs="宋体"/>
                <w:kern w:val="0"/>
                <w:sz w:val="24"/>
                <w:szCs w:val="24"/>
              </w:rPr>
              <w:t>17</w:t>
            </w:r>
            <w:r>
              <w:rPr>
                <w:rFonts w:ascii="宋体" w:hAnsi="宋体"/>
                <w:sz w:val="24"/>
                <w:szCs w:val="24"/>
              </w:rPr>
              <w:t>)</w:t>
            </w:r>
            <w:r>
              <w:rPr>
                <w:rFonts w:ascii="宋体" w:hAnsi="宋体" w:cs="宋体"/>
                <w:kern w:val="0"/>
                <w:sz w:val="24"/>
                <w:szCs w:val="24"/>
              </w:rPr>
              <w:t>单品种药品明细帐表：用于统计某个时间段某个药品的进销存账表。</w:t>
            </w:r>
          </w:p>
          <w:p>
            <w:pPr>
              <w:rPr>
                <w:rFonts w:hint="default" w:ascii="宋体" w:hAnsi="宋体" w:cs="宋体"/>
                <w:kern w:val="0"/>
                <w:sz w:val="24"/>
                <w:szCs w:val="24"/>
              </w:rPr>
            </w:pPr>
            <w:r>
              <w:rPr>
                <w:rFonts w:ascii="宋体" w:hAnsi="宋体" w:cs="宋体"/>
                <w:kern w:val="0"/>
                <w:sz w:val="24"/>
                <w:szCs w:val="24"/>
              </w:rPr>
              <w:t>18</w:t>
            </w:r>
            <w:r>
              <w:rPr>
                <w:rFonts w:ascii="宋体" w:hAnsi="宋体"/>
                <w:sz w:val="24"/>
                <w:szCs w:val="24"/>
              </w:rPr>
              <w:t>)</w:t>
            </w:r>
            <w:r>
              <w:rPr>
                <w:rFonts w:ascii="宋体" w:hAnsi="宋体" w:cs="宋体"/>
                <w:kern w:val="0"/>
                <w:sz w:val="24"/>
                <w:szCs w:val="24"/>
              </w:rPr>
              <w:t>药品金额汇总帐表：查询任意月份的药房所有药品的金额汇总</w:t>
            </w:r>
          </w:p>
          <w:p>
            <w:pPr>
              <w:rPr>
                <w:rFonts w:hint="default" w:ascii="宋体" w:hAnsi="宋体" w:cs="宋体"/>
                <w:kern w:val="0"/>
                <w:sz w:val="24"/>
                <w:szCs w:val="24"/>
              </w:rPr>
            </w:pPr>
            <w:r>
              <w:rPr>
                <w:rFonts w:ascii="宋体" w:hAnsi="宋体" w:cs="宋体"/>
                <w:kern w:val="0"/>
                <w:sz w:val="24"/>
                <w:szCs w:val="24"/>
              </w:rPr>
              <w:t>19</w:t>
            </w:r>
            <w:r>
              <w:rPr>
                <w:rFonts w:ascii="宋体" w:hAnsi="宋体"/>
                <w:sz w:val="24"/>
                <w:szCs w:val="24"/>
              </w:rPr>
              <w:t>)</w:t>
            </w:r>
            <w:r>
              <w:rPr>
                <w:rFonts w:ascii="宋体" w:hAnsi="宋体" w:cs="宋体"/>
                <w:kern w:val="0"/>
                <w:sz w:val="24"/>
                <w:szCs w:val="24"/>
              </w:rPr>
              <w:t>药房药品进销存帐表：用于查询任意月份的药房所有药品的进销数据记录</w:t>
            </w:r>
          </w:p>
          <w:p>
            <w:pPr>
              <w:rPr>
                <w:rFonts w:hint="default" w:ascii="宋体" w:hAnsi="宋体" w:cs="宋体"/>
                <w:kern w:val="0"/>
                <w:sz w:val="24"/>
                <w:szCs w:val="24"/>
              </w:rPr>
            </w:pPr>
            <w:r>
              <w:rPr>
                <w:rFonts w:ascii="宋体" w:hAnsi="宋体" w:cs="宋体"/>
                <w:kern w:val="0"/>
                <w:sz w:val="24"/>
                <w:szCs w:val="24"/>
              </w:rPr>
              <w:t>20</w:t>
            </w:r>
            <w:r>
              <w:rPr>
                <w:rFonts w:ascii="宋体" w:hAnsi="宋体"/>
                <w:sz w:val="24"/>
                <w:szCs w:val="24"/>
              </w:rPr>
              <w:t>)</w:t>
            </w:r>
            <w:r>
              <w:rPr>
                <w:rFonts w:ascii="宋体" w:hAnsi="宋体" w:cs="宋体"/>
                <w:kern w:val="0"/>
                <w:sz w:val="24"/>
                <w:szCs w:val="24"/>
              </w:rPr>
              <w:t>药库总账报表：用于统计药库库存进销存信息。</w:t>
            </w:r>
          </w:p>
        </w:tc>
      </w:tr>
    </w:tbl>
    <w:p>
      <w:pPr>
        <w:pStyle w:val="5"/>
        <w:numPr>
          <w:ilvl w:val="2"/>
          <w:numId w:val="5"/>
        </w:numPr>
        <w:spacing w:before="0" w:after="0" w:line="360" w:lineRule="auto"/>
        <w:rPr>
          <w:rFonts w:ascii="宋体" w:hAnsi="宋体"/>
        </w:rPr>
      </w:pPr>
      <w:bookmarkStart w:id="593" w:name="_Toc24618"/>
      <w:r>
        <w:rPr>
          <w:rFonts w:hint="eastAsia" w:ascii="宋体" w:hAnsi="宋体"/>
        </w:rPr>
        <w:t>基础信息维护系统</w:t>
      </w:r>
      <w:bookmarkEnd w:id="593"/>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1785"/>
        <w:gridCol w:w="6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blHeader/>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1047"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52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424" w:type="pct"/>
            <w:noWrap w:val="0"/>
            <w:vAlign w:val="center"/>
          </w:tcPr>
          <w:p>
            <w:pPr>
              <w:jc w:val="center"/>
              <w:rPr>
                <w:rFonts w:hint="default" w:ascii="宋体" w:hAnsi="宋体" w:cs="宋体"/>
                <w:bCs/>
                <w:kern w:val="0"/>
                <w:sz w:val="24"/>
                <w:szCs w:val="24"/>
              </w:rPr>
            </w:pPr>
            <w:r>
              <w:rPr>
                <w:rFonts w:ascii="宋体" w:hAnsi="宋体" w:cs="宋体"/>
                <w:bCs/>
                <w:kern w:val="0"/>
                <w:sz w:val="24"/>
                <w:szCs w:val="24"/>
              </w:rPr>
              <w:t>1</w:t>
            </w:r>
          </w:p>
        </w:tc>
        <w:tc>
          <w:tcPr>
            <w:tcW w:w="1047" w:type="pct"/>
            <w:noWrap w:val="0"/>
            <w:vAlign w:val="center"/>
          </w:tcPr>
          <w:p>
            <w:pPr>
              <w:jc w:val="left"/>
              <w:rPr>
                <w:rFonts w:hint="default" w:cs="宋体"/>
                <w:kern w:val="0"/>
                <w:sz w:val="24"/>
                <w:szCs w:val="24"/>
              </w:rPr>
            </w:pPr>
            <w:r>
              <w:rPr>
                <w:rFonts w:cs="宋体"/>
                <w:kern w:val="0"/>
                <w:sz w:val="24"/>
                <w:szCs w:val="24"/>
              </w:rPr>
              <w:t>部门科室维护</w:t>
            </w:r>
          </w:p>
        </w:tc>
        <w:tc>
          <w:tcPr>
            <w:tcW w:w="3529" w:type="pct"/>
            <w:noWrap w:val="0"/>
            <w:vAlign w:val="center"/>
          </w:tcPr>
          <w:p>
            <w:pPr>
              <w:rPr>
                <w:rFonts w:hint="default" w:cs="宋体"/>
                <w:kern w:val="0"/>
                <w:sz w:val="24"/>
                <w:szCs w:val="24"/>
              </w:rPr>
            </w:pPr>
            <w:r>
              <w:rPr>
                <w:rFonts w:cs="宋体"/>
                <w:kern w:val="0"/>
                <w:sz w:val="24"/>
                <w:szCs w:val="24"/>
              </w:rPr>
              <w:t>1</w:t>
            </w:r>
            <w:r>
              <w:rPr>
                <w:rFonts w:ascii="宋体" w:hAnsi="宋体"/>
                <w:sz w:val="24"/>
                <w:szCs w:val="24"/>
              </w:rPr>
              <w:t>)</w:t>
            </w:r>
            <w:r>
              <w:rPr>
                <w:rFonts w:cs="宋体"/>
                <w:kern w:val="0"/>
                <w:sz w:val="24"/>
                <w:szCs w:val="24"/>
              </w:rPr>
              <w:t>提供部门信息维护，科室信息维护，以及部门与科室关系维护</w:t>
            </w:r>
          </w:p>
          <w:p>
            <w:pPr>
              <w:rPr>
                <w:rFonts w:hint="default" w:cs="宋体"/>
                <w:kern w:val="0"/>
                <w:sz w:val="24"/>
                <w:szCs w:val="24"/>
              </w:rPr>
            </w:pPr>
            <w:r>
              <w:rPr>
                <w:rFonts w:cs="宋体"/>
                <w:kern w:val="0"/>
                <w:sz w:val="24"/>
                <w:szCs w:val="24"/>
              </w:rPr>
              <w:t>2</w:t>
            </w:r>
            <w:r>
              <w:rPr>
                <w:rFonts w:ascii="宋体" w:hAnsi="宋体"/>
                <w:sz w:val="24"/>
                <w:szCs w:val="24"/>
              </w:rPr>
              <w:t>)</w:t>
            </w:r>
            <w:r>
              <w:rPr>
                <w:rFonts w:cs="宋体"/>
                <w:kern w:val="0"/>
                <w:sz w:val="24"/>
                <w:szCs w:val="24"/>
              </w:rPr>
              <w:t>提供科室与子系统关系维护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bCs/>
                <w:kern w:val="0"/>
                <w:sz w:val="24"/>
                <w:szCs w:val="24"/>
              </w:rPr>
            </w:pPr>
            <w:r>
              <w:rPr>
                <w:rFonts w:ascii="宋体" w:hAnsi="宋体" w:cs="宋体"/>
                <w:bCs/>
                <w:kern w:val="0"/>
                <w:sz w:val="24"/>
                <w:szCs w:val="24"/>
              </w:rPr>
              <w:t>2</w:t>
            </w:r>
          </w:p>
        </w:tc>
        <w:tc>
          <w:tcPr>
            <w:tcW w:w="1047" w:type="pct"/>
            <w:noWrap w:val="0"/>
            <w:vAlign w:val="center"/>
          </w:tcPr>
          <w:p>
            <w:pPr>
              <w:jc w:val="left"/>
              <w:rPr>
                <w:rFonts w:hint="default" w:cs="宋体"/>
                <w:kern w:val="0"/>
                <w:sz w:val="24"/>
                <w:szCs w:val="24"/>
              </w:rPr>
            </w:pPr>
            <w:r>
              <w:rPr>
                <w:rFonts w:cs="宋体"/>
                <w:kern w:val="0"/>
                <w:sz w:val="24"/>
                <w:szCs w:val="24"/>
              </w:rPr>
              <w:t>用户管理</w:t>
            </w:r>
          </w:p>
        </w:tc>
        <w:tc>
          <w:tcPr>
            <w:tcW w:w="3529" w:type="pct"/>
            <w:noWrap w:val="0"/>
            <w:vAlign w:val="center"/>
          </w:tcPr>
          <w:p>
            <w:pPr>
              <w:rPr>
                <w:rFonts w:hint="default" w:cs="宋体"/>
                <w:kern w:val="0"/>
                <w:sz w:val="24"/>
                <w:szCs w:val="24"/>
              </w:rPr>
            </w:pPr>
            <w:r>
              <w:rPr>
                <w:rFonts w:cs="宋体"/>
                <w:kern w:val="0"/>
                <w:sz w:val="24"/>
                <w:szCs w:val="24"/>
              </w:rPr>
              <w:t>1</w:t>
            </w:r>
            <w:r>
              <w:rPr>
                <w:rFonts w:ascii="宋体" w:hAnsi="宋体"/>
                <w:sz w:val="24"/>
                <w:szCs w:val="24"/>
              </w:rPr>
              <w:t>)</w:t>
            </w:r>
            <w:r>
              <w:rPr>
                <w:rFonts w:cs="宋体"/>
                <w:kern w:val="0"/>
                <w:sz w:val="24"/>
                <w:szCs w:val="24"/>
              </w:rPr>
              <w:t>提供系统用户维护和信息查询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bCs/>
                <w:kern w:val="0"/>
                <w:sz w:val="24"/>
                <w:szCs w:val="24"/>
              </w:rPr>
            </w:pPr>
            <w:r>
              <w:rPr>
                <w:rFonts w:ascii="宋体" w:hAnsi="宋体" w:cs="宋体"/>
                <w:bCs/>
                <w:kern w:val="0"/>
                <w:sz w:val="24"/>
                <w:szCs w:val="24"/>
              </w:rPr>
              <w:t>3</w:t>
            </w:r>
          </w:p>
        </w:tc>
        <w:tc>
          <w:tcPr>
            <w:tcW w:w="1047" w:type="pct"/>
            <w:noWrap w:val="0"/>
            <w:vAlign w:val="center"/>
          </w:tcPr>
          <w:p>
            <w:pPr>
              <w:jc w:val="left"/>
              <w:rPr>
                <w:rFonts w:hint="default" w:cs="宋体"/>
                <w:kern w:val="0"/>
                <w:sz w:val="24"/>
                <w:szCs w:val="24"/>
              </w:rPr>
            </w:pPr>
            <w:r>
              <w:rPr>
                <w:rFonts w:cs="宋体"/>
                <w:kern w:val="0"/>
                <w:sz w:val="24"/>
                <w:szCs w:val="24"/>
              </w:rPr>
              <w:t>人员管理</w:t>
            </w:r>
          </w:p>
        </w:tc>
        <w:tc>
          <w:tcPr>
            <w:tcW w:w="3529" w:type="pct"/>
            <w:noWrap w:val="0"/>
            <w:vAlign w:val="center"/>
          </w:tcPr>
          <w:p>
            <w:pPr>
              <w:rPr>
                <w:rFonts w:hint="default" w:cs="宋体"/>
                <w:kern w:val="0"/>
                <w:sz w:val="24"/>
                <w:szCs w:val="24"/>
              </w:rPr>
            </w:pPr>
            <w:r>
              <w:rPr>
                <w:rFonts w:cs="宋体"/>
                <w:kern w:val="0"/>
                <w:sz w:val="24"/>
                <w:szCs w:val="24"/>
              </w:rPr>
              <w:t>1</w:t>
            </w:r>
            <w:r>
              <w:rPr>
                <w:rFonts w:ascii="宋体" w:hAnsi="宋体"/>
                <w:sz w:val="24"/>
                <w:szCs w:val="24"/>
              </w:rPr>
              <w:t>)</w:t>
            </w:r>
            <w:r>
              <w:rPr>
                <w:rFonts w:cs="宋体"/>
                <w:kern w:val="0"/>
                <w:sz w:val="24"/>
                <w:szCs w:val="24"/>
              </w:rPr>
              <w:t>提供职工基本信息维护</w:t>
            </w:r>
          </w:p>
          <w:p>
            <w:pPr>
              <w:rPr>
                <w:rFonts w:hint="default" w:cs="宋体"/>
                <w:kern w:val="0"/>
                <w:sz w:val="24"/>
                <w:szCs w:val="24"/>
              </w:rPr>
            </w:pPr>
            <w:r>
              <w:rPr>
                <w:rFonts w:cs="宋体"/>
                <w:kern w:val="0"/>
                <w:sz w:val="24"/>
                <w:szCs w:val="24"/>
              </w:rPr>
              <w:t>2</w:t>
            </w:r>
            <w:r>
              <w:rPr>
                <w:rFonts w:ascii="宋体" w:hAnsi="宋体"/>
                <w:sz w:val="24"/>
                <w:szCs w:val="24"/>
              </w:rPr>
              <w:t>)</w:t>
            </w:r>
            <w:r>
              <w:rPr>
                <w:rFonts w:cs="宋体"/>
                <w:kern w:val="0"/>
                <w:sz w:val="24"/>
                <w:szCs w:val="24"/>
              </w:rPr>
              <w:t>职工与科室、职工与岗位角色的对应关系维护</w:t>
            </w:r>
          </w:p>
          <w:p>
            <w:pPr>
              <w:rPr>
                <w:rFonts w:hint="default" w:cs="宋体"/>
                <w:kern w:val="0"/>
                <w:sz w:val="24"/>
                <w:szCs w:val="24"/>
              </w:rPr>
            </w:pPr>
            <w:r>
              <w:rPr>
                <w:rFonts w:cs="宋体"/>
                <w:kern w:val="0"/>
                <w:sz w:val="24"/>
                <w:szCs w:val="24"/>
              </w:rPr>
              <w:t>3</w:t>
            </w:r>
            <w:r>
              <w:rPr>
                <w:rFonts w:ascii="宋体" w:hAnsi="宋体"/>
                <w:sz w:val="24"/>
                <w:szCs w:val="24"/>
              </w:rPr>
              <w:t>)</w:t>
            </w:r>
            <w:r>
              <w:rPr>
                <w:rFonts w:cs="宋体"/>
                <w:kern w:val="0"/>
                <w:sz w:val="24"/>
                <w:szCs w:val="24"/>
              </w:rPr>
              <w:t>医师级别和特殊权限维护（处分权、抗菌药物三级管理等）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bCs/>
                <w:kern w:val="0"/>
                <w:sz w:val="24"/>
                <w:szCs w:val="24"/>
              </w:rPr>
            </w:pPr>
            <w:r>
              <w:rPr>
                <w:rFonts w:ascii="宋体" w:hAnsi="宋体" w:cs="宋体"/>
                <w:bCs/>
                <w:kern w:val="0"/>
                <w:sz w:val="24"/>
                <w:szCs w:val="24"/>
              </w:rPr>
              <w:t>4</w:t>
            </w:r>
          </w:p>
        </w:tc>
        <w:tc>
          <w:tcPr>
            <w:tcW w:w="1047" w:type="pct"/>
            <w:noWrap w:val="0"/>
            <w:vAlign w:val="center"/>
          </w:tcPr>
          <w:p>
            <w:pPr>
              <w:jc w:val="left"/>
              <w:rPr>
                <w:rFonts w:hint="default" w:cs="宋体"/>
                <w:kern w:val="0"/>
                <w:sz w:val="24"/>
                <w:szCs w:val="24"/>
              </w:rPr>
            </w:pPr>
            <w:r>
              <w:rPr>
                <w:rFonts w:cs="宋体"/>
                <w:kern w:val="0"/>
                <w:sz w:val="24"/>
                <w:szCs w:val="24"/>
              </w:rPr>
              <w:t>用户权限</w:t>
            </w:r>
          </w:p>
        </w:tc>
        <w:tc>
          <w:tcPr>
            <w:tcW w:w="3529" w:type="pct"/>
            <w:noWrap w:val="0"/>
            <w:vAlign w:val="center"/>
          </w:tcPr>
          <w:p>
            <w:pPr>
              <w:rPr>
                <w:rFonts w:hint="default" w:cs="宋体"/>
                <w:kern w:val="0"/>
                <w:sz w:val="24"/>
                <w:szCs w:val="24"/>
              </w:rPr>
            </w:pPr>
            <w:r>
              <w:rPr>
                <w:rFonts w:cs="宋体"/>
                <w:kern w:val="0"/>
                <w:sz w:val="24"/>
                <w:szCs w:val="24"/>
              </w:rPr>
              <w:t>1</w:t>
            </w:r>
            <w:r>
              <w:rPr>
                <w:rFonts w:ascii="宋体" w:hAnsi="宋体"/>
                <w:sz w:val="24"/>
                <w:szCs w:val="24"/>
              </w:rPr>
              <w:t>)</w:t>
            </w:r>
            <w:r>
              <w:rPr>
                <w:rFonts w:cs="宋体"/>
                <w:kern w:val="0"/>
                <w:sz w:val="24"/>
                <w:szCs w:val="24"/>
              </w:rPr>
              <w:t>提供角色和角色权限维护</w:t>
            </w:r>
          </w:p>
          <w:p>
            <w:pPr>
              <w:rPr>
                <w:rFonts w:hint="default" w:cs="宋体"/>
                <w:kern w:val="0"/>
                <w:sz w:val="24"/>
                <w:szCs w:val="24"/>
              </w:rPr>
            </w:pPr>
            <w:r>
              <w:rPr>
                <w:rFonts w:cs="宋体"/>
                <w:kern w:val="0"/>
                <w:sz w:val="24"/>
                <w:szCs w:val="24"/>
              </w:rPr>
              <w:t>2</w:t>
            </w:r>
            <w:r>
              <w:rPr>
                <w:rFonts w:ascii="宋体" w:hAnsi="宋体"/>
                <w:sz w:val="24"/>
                <w:szCs w:val="24"/>
              </w:rPr>
              <w:t>)</w:t>
            </w:r>
            <w:r>
              <w:rPr>
                <w:rFonts w:cs="宋体"/>
                <w:kern w:val="0"/>
                <w:sz w:val="24"/>
                <w:szCs w:val="24"/>
              </w:rPr>
              <w:t>提供用户和功能角色关系维护</w:t>
            </w:r>
          </w:p>
          <w:p>
            <w:pPr>
              <w:rPr>
                <w:rFonts w:hint="default" w:cs="宋体"/>
                <w:kern w:val="0"/>
                <w:sz w:val="24"/>
                <w:szCs w:val="24"/>
              </w:rPr>
            </w:pPr>
            <w:r>
              <w:rPr>
                <w:rFonts w:cs="宋体"/>
                <w:kern w:val="0"/>
                <w:sz w:val="24"/>
                <w:szCs w:val="24"/>
              </w:rPr>
              <w:t>3</w:t>
            </w:r>
            <w:r>
              <w:rPr>
                <w:rFonts w:ascii="宋体" w:hAnsi="宋体"/>
                <w:sz w:val="24"/>
                <w:szCs w:val="24"/>
              </w:rPr>
              <w:t>)</w:t>
            </w:r>
            <w:r>
              <w:rPr>
                <w:rFonts w:cs="宋体"/>
                <w:kern w:val="0"/>
                <w:sz w:val="24"/>
                <w:szCs w:val="24"/>
              </w:rPr>
              <w:t>提供用户权限维护，并支持集中配置和各个子系统维护</w:t>
            </w:r>
          </w:p>
          <w:p>
            <w:pPr>
              <w:rPr>
                <w:rFonts w:hint="default" w:cs="宋体"/>
                <w:kern w:val="0"/>
                <w:sz w:val="24"/>
                <w:szCs w:val="24"/>
              </w:rPr>
            </w:pPr>
            <w:r>
              <w:rPr>
                <w:rFonts w:cs="宋体"/>
                <w:kern w:val="0"/>
                <w:sz w:val="24"/>
                <w:szCs w:val="24"/>
              </w:rPr>
              <w:t>4</w:t>
            </w:r>
            <w:r>
              <w:rPr>
                <w:rFonts w:ascii="宋体" w:hAnsi="宋体"/>
                <w:sz w:val="24"/>
                <w:szCs w:val="24"/>
              </w:rPr>
              <w:t>)</w:t>
            </w:r>
            <w:r>
              <w:rPr>
                <w:rFonts w:cs="宋体"/>
                <w:kern w:val="0"/>
                <w:sz w:val="24"/>
                <w:szCs w:val="24"/>
              </w:rPr>
              <w:t>支持用户权限查询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bCs/>
                <w:kern w:val="0"/>
                <w:sz w:val="24"/>
                <w:szCs w:val="24"/>
              </w:rPr>
            </w:pPr>
            <w:r>
              <w:rPr>
                <w:rFonts w:ascii="宋体" w:hAnsi="宋体" w:cs="宋体"/>
                <w:bCs/>
                <w:kern w:val="0"/>
                <w:sz w:val="24"/>
                <w:szCs w:val="24"/>
              </w:rPr>
              <w:t>5</w:t>
            </w:r>
          </w:p>
        </w:tc>
        <w:tc>
          <w:tcPr>
            <w:tcW w:w="1047" w:type="pct"/>
            <w:noWrap w:val="0"/>
            <w:vAlign w:val="center"/>
          </w:tcPr>
          <w:p>
            <w:pPr>
              <w:jc w:val="left"/>
              <w:rPr>
                <w:rFonts w:hint="default" w:cs="宋体"/>
                <w:kern w:val="0"/>
                <w:sz w:val="24"/>
                <w:szCs w:val="24"/>
              </w:rPr>
            </w:pPr>
            <w:r>
              <w:rPr>
                <w:rFonts w:cs="宋体"/>
                <w:kern w:val="0"/>
                <w:sz w:val="24"/>
                <w:szCs w:val="24"/>
              </w:rPr>
              <w:t>财务维护</w:t>
            </w:r>
          </w:p>
        </w:tc>
        <w:tc>
          <w:tcPr>
            <w:tcW w:w="3529" w:type="pct"/>
            <w:noWrap w:val="0"/>
            <w:vAlign w:val="center"/>
          </w:tcPr>
          <w:p>
            <w:pPr>
              <w:rPr>
                <w:rFonts w:hint="default" w:cs="宋体"/>
                <w:kern w:val="0"/>
                <w:sz w:val="24"/>
                <w:szCs w:val="24"/>
              </w:rPr>
            </w:pPr>
            <w:r>
              <w:rPr>
                <w:rFonts w:cs="宋体"/>
                <w:kern w:val="0"/>
                <w:sz w:val="24"/>
                <w:szCs w:val="24"/>
              </w:rPr>
              <w:t>1</w:t>
            </w:r>
            <w:r>
              <w:rPr>
                <w:rFonts w:ascii="宋体" w:hAnsi="宋体"/>
                <w:sz w:val="24"/>
                <w:szCs w:val="24"/>
              </w:rPr>
              <w:t>)</w:t>
            </w:r>
            <w:r>
              <w:rPr>
                <w:rFonts w:cs="宋体"/>
                <w:kern w:val="0"/>
                <w:sz w:val="24"/>
                <w:szCs w:val="24"/>
              </w:rPr>
              <w:t>提供财务基础信息的维护</w:t>
            </w:r>
          </w:p>
          <w:p>
            <w:pPr>
              <w:rPr>
                <w:rFonts w:hint="default" w:cs="宋体"/>
                <w:kern w:val="0"/>
                <w:sz w:val="24"/>
                <w:szCs w:val="24"/>
              </w:rPr>
            </w:pPr>
            <w:r>
              <w:rPr>
                <w:rFonts w:cs="宋体"/>
                <w:kern w:val="0"/>
                <w:sz w:val="24"/>
                <w:szCs w:val="24"/>
              </w:rPr>
              <w:t>2</w:t>
            </w:r>
            <w:r>
              <w:rPr>
                <w:rFonts w:ascii="宋体" w:hAnsi="宋体"/>
                <w:sz w:val="24"/>
                <w:szCs w:val="24"/>
              </w:rPr>
              <w:t>)</w:t>
            </w:r>
            <w:r>
              <w:rPr>
                <w:rFonts w:cs="宋体"/>
                <w:kern w:val="0"/>
                <w:sz w:val="24"/>
                <w:szCs w:val="24"/>
              </w:rPr>
              <w:t>提供财务核算项目的分级维护</w:t>
            </w:r>
          </w:p>
          <w:p>
            <w:pPr>
              <w:rPr>
                <w:rFonts w:hint="default" w:cs="宋体"/>
                <w:kern w:val="0"/>
                <w:sz w:val="24"/>
                <w:szCs w:val="24"/>
              </w:rPr>
            </w:pPr>
            <w:r>
              <w:rPr>
                <w:rFonts w:cs="宋体"/>
                <w:kern w:val="0"/>
                <w:sz w:val="24"/>
                <w:szCs w:val="24"/>
              </w:rPr>
              <w:t>3</w:t>
            </w:r>
            <w:r>
              <w:rPr>
                <w:rFonts w:ascii="宋体" w:hAnsi="宋体"/>
                <w:sz w:val="24"/>
                <w:szCs w:val="24"/>
              </w:rPr>
              <w:t>)</w:t>
            </w:r>
            <w:r>
              <w:rPr>
                <w:rFonts w:cs="宋体"/>
                <w:kern w:val="0"/>
                <w:sz w:val="24"/>
                <w:szCs w:val="24"/>
              </w:rPr>
              <w:t>支持收费项目、服务（标准服务和医院服务）项目的维护</w:t>
            </w:r>
          </w:p>
          <w:p>
            <w:pPr>
              <w:rPr>
                <w:rFonts w:hint="default" w:cs="宋体"/>
                <w:kern w:val="0"/>
                <w:sz w:val="24"/>
                <w:szCs w:val="24"/>
              </w:rPr>
            </w:pPr>
            <w:r>
              <w:rPr>
                <w:rFonts w:cs="宋体"/>
                <w:kern w:val="0"/>
                <w:sz w:val="24"/>
                <w:szCs w:val="24"/>
              </w:rPr>
              <w:t>4</w:t>
            </w:r>
            <w:r>
              <w:rPr>
                <w:rFonts w:ascii="宋体" w:hAnsi="宋体"/>
                <w:sz w:val="24"/>
                <w:szCs w:val="24"/>
              </w:rPr>
              <w:t>)</w:t>
            </w:r>
            <w:r>
              <w:rPr>
                <w:rFonts w:cs="宋体"/>
                <w:kern w:val="0"/>
                <w:sz w:val="24"/>
                <w:szCs w:val="24"/>
              </w:rPr>
              <w:t>支持收费、服务、药品等项目与优惠信息关系的对应，以及号单、科室、耗材与服务项目的维护</w:t>
            </w:r>
          </w:p>
          <w:p>
            <w:pPr>
              <w:rPr>
                <w:rFonts w:hint="default" w:cs="宋体"/>
                <w:kern w:val="0"/>
                <w:sz w:val="24"/>
                <w:szCs w:val="24"/>
              </w:rPr>
            </w:pPr>
            <w:r>
              <w:rPr>
                <w:rFonts w:cs="宋体"/>
                <w:kern w:val="0"/>
                <w:sz w:val="24"/>
                <w:szCs w:val="24"/>
              </w:rPr>
              <w:t>5</w:t>
            </w:r>
            <w:r>
              <w:rPr>
                <w:rFonts w:ascii="宋体" w:hAnsi="宋体"/>
                <w:sz w:val="24"/>
                <w:szCs w:val="24"/>
              </w:rPr>
              <w:t>)</w:t>
            </w:r>
            <w:r>
              <w:rPr>
                <w:rFonts w:cs="宋体"/>
                <w:kern w:val="0"/>
                <w:sz w:val="24"/>
                <w:szCs w:val="24"/>
              </w:rPr>
              <w:t>提供组合项目的维护、组合项目与科室的对应关系的维护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bCs/>
                <w:kern w:val="0"/>
                <w:sz w:val="24"/>
                <w:szCs w:val="24"/>
              </w:rPr>
            </w:pPr>
            <w:r>
              <w:rPr>
                <w:rFonts w:ascii="宋体" w:hAnsi="宋体" w:cs="宋体"/>
                <w:bCs/>
                <w:kern w:val="0"/>
                <w:sz w:val="24"/>
                <w:szCs w:val="24"/>
              </w:rPr>
              <w:t>6</w:t>
            </w:r>
          </w:p>
        </w:tc>
        <w:tc>
          <w:tcPr>
            <w:tcW w:w="1047" w:type="pct"/>
            <w:noWrap w:val="0"/>
            <w:vAlign w:val="center"/>
          </w:tcPr>
          <w:p>
            <w:pPr>
              <w:jc w:val="left"/>
              <w:rPr>
                <w:rFonts w:hint="default" w:cs="宋体"/>
                <w:kern w:val="0"/>
                <w:sz w:val="24"/>
                <w:szCs w:val="24"/>
              </w:rPr>
            </w:pPr>
            <w:r>
              <w:rPr>
                <w:rFonts w:cs="宋体"/>
                <w:kern w:val="0"/>
                <w:sz w:val="24"/>
                <w:szCs w:val="24"/>
              </w:rPr>
              <w:t>诊疗信息维护</w:t>
            </w:r>
          </w:p>
        </w:tc>
        <w:tc>
          <w:tcPr>
            <w:tcW w:w="3529" w:type="pct"/>
            <w:noWrap w:val="0"/>
            <w:vAlign w:val="center"/>
          </w:tcPr>
          <w:p>
            <w:pPr>
              <w:rPr>
                <w:rFonts w:hint="default" w:cs="宋体"/>
                <w:kern w:val="0"/>
                <w:sz w:val="24"/>
                <w:szCs w:val="24"/>
              </w:rPr>
            </w:pPr>
            <w:r>
              <w:rPr>
                <w:rFonts w:cs="宋体"/>
                <w:kern w:val="0"/>
                <w:sz w:val="24"/>
                <w:szCs w:val="24"/>
              </w:rPr>
              <w:t>1</w:t>
            </w:r>
            <w:r>
              <w:rPr>
                <w:rFonts w:ascii="宋体" w:hAnsi="宋体"/>
                <w:sz w:val="24"/>
                <w:szCs w:val="24"/>
              </w:rPr>
              <w:t>)</w:t>
            </w:r>
            <w:r>
              <w:rPr>
                <w:rFonts w:cs="宋体"/>
                <w:kern w:val="0"/>
                <w:sz w:val="24"/>
                <w:szCs w:val="24"/>
              </w:rPr>
              <w:t>提供诊疗基础数据信息维护</w:t>
            </w:r>
          </w:p>
          <w:p>
            <w:pPr>
              <w:rPr>
                <w:rFonts w:hint="default" w:cs="宋体"/>
                <w:kern w:val="0"/>
                <w:sz w:val="24"/>
                <w:szCs w:val="24"/>
              </w:rPr>
            </w:pPr>
            <w:r>
              <w:rPr>
                <w:rFonts w:cs="宋体"/>
                <w:kern w:val="0"/>
                <w:sz w:val="24"/>
                <w:szCs w:val="24"/>
              </w:rPr>
              <w:t>2</w:t>
            </w:r>
            <w:r>
              <w:rPr>
                <w:rFonts w:ascii="宋体" w:hAnsi="宋体"/>
                <w:sz w:val="24"/>
                <w:szCs w:val="24"/>
              </w:rPr>
              <w:t>)</w:t>
            </w:r>
            <w:r>
              <w:rPr>
                <w:rFonts w:cs="宋体"/>
                <w:kern w:val="0"/>
                <w:sz w:val="24"/>
                <w:szCs w:val="24"/>
              </w:rPr>
              <w:t>提供临床诊疗信息和处方信息维护</w:t>
            </w:r>
          </w:p>
          <w:p>
            <w:pPr>
              <w:rPr>
                <w:rFonts w:hint="default" w:cs="宋体"/>
                <w:kern w:val="0"/>
                <w:sz w:val="24"/>
                <w:szCs w:val="24"/>
              </w:rPr>
            </w:pPr>
            <w:r>
              <w:rPr>
                <w:rFonts w:cs="宋体"/>
                <w:kern w:val="0"/>
                <w:sz w:val="24"/>
                <w:szCs w:val="24"/>
              </w:rPr>
              <w:t>3</w:t>
            </w:r>
            <w:r>
              <w:rPr>
                <w:rFonts w:ascii="宋体" w:hAnsi="宋体"/>
                <w:sz w:val="24"/>
                <w:szCs w:val="24"/>
              </w:rPr>
              <w:t>)</w:t>
            </w:r>
            <w:r>
              <w:rPr>
                <w:rFonts w:cs="宋体"/>
                <w:kern w:val="0"/>
                <w:sz w:val="24"/>
                <w:szCs w:val="24"/>
              </w:rPr>
              <w:t>提供医院疾病和诊断信息维护</w:t>
            </w:r>
          </w:p>
          <w:p>
            <w:pPr>
              <w:rPr>
                <w:rFonts w:hint="default" w:cs="宋体"/>
                <w:kern w:val="0"/>
                <w:sz w:val="24"/>
                <w:szCs w:val="24"/>
              </w:rPr>
            </w:pPr>
            <w:r>
              <w:rPr>
                <w:rFonts w:cs="宋体"/>
                <w:kern w:val="0"/>
                <w:sz w:val="24"/>
                <w:szCs w:val="24"/>
              </w:rPr>
              <w:t>4</w:t>
            </w:r>
            <w:r>
              <w:rPr>
                <w:rFonts w:ascii="宋体" w:hAnsi="宋体"/>
                <w:sz w:val="24"/>
                <w:szCs w:val="24"/>
              </w:rPr>
              <w:t>)</w:t>
            </w:r>
            <w:r>
              <w:rPr>
                <w:rFonts w:cs="宋体"/>
                <w:kern w:val="0"/>
                <w:sz w:val="24"/>
                <w:szCs w:val="24"/>
              </w:rPr>
              <w:t>支持标准手术和医院手术信息维护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bCs/>
                <w:kern w:val="0"/>
                <w:sz w:val="24"/>
                <w:szCs w:val="24"/>
              </w:rPr>
            </w:pPr>
            <w:r>
              <w:rPr>
                <w:rFonts w:ascii="宋体" w:hAnsi="宋体" w:cs="宋体"/>
                <w:bCs/>
                <w:kern w:val="0"/>
                <w:sz w:val="24"/>
                <w:szCs w:val="24"/>
              </w:rPr>
              <w:t>7</w:t>
            </w:r>
          </w:p>
        </w:tc>
        <w:tc>
          <w:tcPr>
            <w:tcW w:w="1047" w:type="pct"/>
            <w:noWrap w:val="0"/>
            <w:vAlign w:val="center"/>
          </w:tcPr>
          <w:p>
            <w:pPr>
              <w:jc w:val="left"/>
              <w:rPr>
                <w:rFonts w:hint="default" w:cs="宋体"/>
                <w:kern w:val="0"/>
                <w:sz w:val="24"/>
                <w:szCs w:val="24"/>
              </w:rPr>
            </w:pPr>
            <w:r>
              <w:rPr>
                <w:rFonts w:cs="宋体"/>
                <w:kern w:val="0"/>
                <w:sz w:val="24"/>
                <w:szCs w:val="24"/>
              </w:rPr>
              <w:t>医保/农合维护</w:t>
            </w:r>
          </w:p>
        </w:tc>
        <w:tc>
          <w:tcPr>
            <w:tcW w:w="3529" w:type="pct"/>
            <w:noWrap w:val="0"/>
            <w:vAlign w:val="center"/>
          </w:tcPr>
          <w:p>
            <w:pPr>
              <w:rPr>
                <w:rFonts w:hint="default" w:cs="宋体"/>
                <w:kern w:val="0"/>
                <w:sz w:val="24"/>
                <w:szCs w:val="24"/>
              </w:rPr>
            </w:pPr>
            <w:r>
              <w:rPr>
                <w:rFonts w:cs="宋体"/>
                <w:kern w:val="0"/>
                <w:sz w:val="24"/>
                <w:szCs w:val="24"/>
              </w:rPr>
              <w:t>1</w:t>
            </w:r>
            <w:r>
              <w:rPr>
                <w:rFonts w:ascii="宋体" w:hAnsi="宋体"/>
                <w:sz w:val="24"/>
                <w:szCs w:val="24"/>
              </w:rPr>
              <w:t>)</w:t>
            </w:r>
            <w:r>
              <w:rPr>
                <w:rFonts w:cs="宋体"/>
                <w:kern w:val="0"/>
                <w:sz w:val="24"/>
                <w:szCs w:val="24"/>
              </w:rPr>
              <w:t>提供医保/农合基础信息的维护</w:t>
            </w:r>
          </w:p>
          <w:p>
            <w:pPr>
              <w:rPr>
                <w:rFonts w:hint="default" w:cs="宋体"/>
                <w:kern w:val="0"/>
                <w:sz w:val="24"/>
                <w:szCs w:val="24"/>
              </w:rPr>
            </w:pPr>
            <w:r>
              <w:rPr>
                <w:rFonts w:cs="宋体"/>
                <w:kern w:val="0"/>
                <w:sz w:val="24"/>
                <w:szCs w:val="24"/>
              </w:rPr>
              <w:t>2</w:t>
            </w:r>
            <w:r>
              <w:rPr>
                <w:rFonts w:ascii="宋体" w:hAnsi="宋体"/>
                <w:sz w:val="24"/>
                <w:szCs w:val="24"/>
              </w:rPr>
              <w:t>)</w:t>
            </w:r>
            <w:r>
              <w:rPr>
                <w:rFonts w:cs="宋体"/>
                <w:kern w:val="0"/>
                <w:sz w:val="24"/>
                <w:szCs w:val="24"/>
              </w:rPr>
              <w:t>提供医保/农合基础信息与医院信息的对应关系维护</w:t>
            </w:r>
          </w:p>
          <w:p>
            <w:pPr>
              <w:rPr>
                <w:rFonts w:hint="default" w:cs="宋体"/>
                <w:kern w:val="0"/>
                <w:sz w:val="24"/>
                <w:szCs w:val="24"/>
              </w:rPr>
            </w:pPr>
            <w:r>
              <w:rPr>
                <w:rFonts w:cs="宋体"/>
                <w:kern w:val="0"/>
                <w:sz w:val="24"/>
                <w:szCs w:val="24"/>
              </w:rPr>
              <w:t>3</w:t>
            </w:r>
            <w:r>
              <w:rPr>
                <w:rFonts w:ascii="宋体" w:hAnsi="宋体"/>
                <w:sz w:val="24"/>
                <w:szCs w:val="24"/>
              </w:rPr>
              <w:t>)</w:t>
            </w:r>
            <w:r>
              <w:rPr>
                <w:rFonts w:cs="宋体"/>
                <w:kern w:val="0"/>
                <w:sz w:val="24"/>
                <w:szCs w:val="24"/>
              </w:rPr>
              <w:t>提供医保/农合收费信息与医院信息的对应关系维护</w:t>
            </w:r>
          </w:p>
          <w:p>
            <w:pPr>
              <w:rPr>
                <w:rFonts w:hint="default" w:cs="宋体"/>
                <w:kern w:val="0"/>
                <w:sz w:val="24"/>
                <w:szCs w:val="24"/>
              </w:rPr>
            </w:pPr>
            <w:r>
              <w:rPr>
                <w:rFonts w:cs="宋体"/>
                <w:kern w:val="0"/>
                <w:sz w:val="24"/>
                <w:szCs w:val="24"/>
              </w:rPr>
              <w:t>4</w:t>
            </w:r>
            <w:r>
              <w:rPr>
                <w:rFonts w:ascii="宋体" w:hAnsi="宋体"/>
                <w:sz w:val="24"/>
                <w:szCs w:val="24"/>
              </w:rPr>
              <w:t>)</w:t>
            </w:r>
            <w:r>
              <w:rPr>
                <w:rFonts w:cs="宋体"/>
                <w:kern w:val="0"/>
                <w:sz w:val="24"/>
                <w:szCs w:val="24"/>
              </w:rPr>
              <w:t>支持医保/农合项目及对应关系的同步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bCs/>
                <w:kern w:val="0"/>
                <w:sz w:val="24"/>
                <w:szCs w:val="24"/>
              </w:rPr>
            </w:pPr>
            <w:r>
              <w:rPr>
                <w:rFonts w:ascii="宋体" w:hAnsi="宋体" w:cs="宋体"/>
                <w:bCs/>
                <w:kern w:val="0"/>
                <w:sz w:val="24"/>
                <w:szCs w:val="24"/>
              </w:rPr>
              <w:t>8</w:t>
            </w:r>
          </w:p>
        </w:tc>
        <w:tc>
          <w:tcPr>
            <w:tcW w:w="1047" w:type="pct"/>
            <w:noWrap w:val="0"/>
            <w:vAlign w:val="center"/>
          </w:tcPr>
          <w:p>
            <w:pPr>
              <w:jc w:val="left"/>
              <w:rPr>
                <w:rFonts w:hint="default" w:cs="宋体"/>
                <w:kern w:val="0"/>
                <w:sz w:val="24"/>
                <w:szCs w:val="24"/>
              </w:rPr>
            </w:pPr>
            <w:r>
              <w:rPr>
                <w:rFonts w:cs="宋体"/>
                <w:kern w:val="0"/>
                <w:sz w:val="24"/>
                <w:szCs w:val="24"/>
              </w:rPr>
              <w:t>数据核查</w:t>
            </w:r>
          </w:p>
        </w:tc>
        <w:tc>
          <w:tcPr>
            <w:tcW w:w="3529" w:type="pct"/>
            <w:noWrap w:val="0"/>
            <w:vAlign w:val="center"/>
          </w:tcPr>
          <w:p>
            <w:pPr>
              <w:rPr>
                <w:rFonts w:hint="default" w:cs="宋体"/>
                <w:kern w:val="0"/>
                <w:sz w:val="24"/>
                <w:szCs w:val="24"/>
              </w:rPr>
            </w:pPr>
            <w:r>
              <w:rPr>
                <w:rFonts w:cs="宋体"/>
                <w:kern w:val="0"/>
                <w:sz w:val="24"/>
                <w:szCs w:val="24"/>
              </w:rPr>
              <w:t>1</w:t>
            </w:r>
            <w:r>
              <w:rPr>
                <w:rFonts w:ascii="宋体" w:hAnsi="宋体"/>
                <w:sz w:val="24"/>
                <w:szCs w:val="24"/>
              </w:rPr>
              <w:t>)</w:t>
            </w:r>
            <w:r>
              <w:rPr>
                <w:rFonts w:cs="宋体"/>
                <w:kern w:val="0"/>
                <w:sz w:val="24"/>
                <w:szCs w:val="24"/>
              </w:rPr>
              <w:t>支持非数字签名模式下，门诊数据和住院医嘱的核查处理</w:t>
            </w:r>
          </w:p>
        </w:tc>
      </w:tr>
    </w:tbl>
    <w:p>
      <w:pPr>
        <w:pStyle w:val="5"/>
        <w:numPr>
          <w:ilvl w:val="2"/>
          <w:numId w:val="5"/>
        </w:numPr>
        <w:spacing w:before="0" w:after="0" w:line="360" w:lineRule="auto"/>
        <w:rPr>
          <w:rFonts w:ascii="宋体" w:hAnsi="宋体"/>
        </w:rPr>
      </w:pPr>
      <w:bookmarkStart w:id="594" w:name="_Toc9314"/>
      <w:r>
        <w:rPr>
          <w:rFonts w:hint="eastAsia" w:ascii="宋体" w:hAnsi="宋体"/>
        </w:rPr>
        <w:t>基本药物管理系统</w:t>
      </w:r>
      <w:bookmarkEnd w:id="594"/>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3"/>
        <w:gridCol w:w="1977"/>
        <w:gridCol w:w="58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blHeader/>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1160"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416"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1160" w:type="pct"/>
            <w:noWrap w:val="0"/>
            <w:vAlign w:val="center"/>
          </w:tcPr>
          <w:p>
            <w:pPr>
              <w:rPr>
                <w:rFonts w:hint="default" w:ascii="宋体" w:hAnsi="宋体" w:cs="宋体"/>
                <w:kern w:val="0"/>
                <w:sz w:val="24"/>
                <w:szCs w:val="24"/>
              </w:rPr>
            </w:pPr>
            <w:r>
              <w:rPr>
                <w:rFonts w:ascii="宋体" w:hAnsi="宋体" w:cs="宋体"/>
                <w:kern w:val="0"/>
                <w:sz w:val="24"/>
                <w:szCs w:val="24"/>
              </w:rPr>
              <w:t>基本药物目录管理</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实现国家基本药物目录的维护、更新；完成与院内药品目录的对照维护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1160" w:type="pct"/>
            <w:noWrap w:val="0"/>
            <w:vAlign w:val="center"/>
          </w:tcPr>
          <w:p>
            <w:pPr>
              <w:rPr>
                <w:rFonts w:hint="default" w:ascii="宋体" w:hAnsi="宋体" w:cs="宋体"/>
                <w:kern w:val="0"/>
                <w:sz w:val="24"/>
                <w:szCs w:val="24"/>
              </w:rPr>
            </w:pPr>
            <w:r>
              <w:rPr>
                <w:rFonts w:ascii="宋体" w:hAnsi="宋体" w:cs="宋体"/>
                <w:kern w:val="0"/>
                <w:sz w:val="24"/>
                <w:szCs w:val="24"/>
              </w:rPr>
              <w:t>基本药物使用管理</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实现基本药物的院内应用控制；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1160" w:type="pct"/>
            <w:noWrap w:val="0"/>
            <w:vAlign w:val="center"/>
          </w:tcPr>
          <w:p>
            <w:pPr>
              <w:rPr>
                <w:rFonts w:hint="default" w:ascii="宋体" w:hAnsi="宋体" w:cs="宋体"/>
                <w:kern w:val="0"/>
                <w:sz w:val="24"/>
                <w:szCs w:val="24"/>
              </w:rPr>
            </w:pPr>
            <w:r>
              <w:rPr>
                <w:rFonts w:ascii="宋体" w:hAnsi="宋体" w:cs="宋体"/>
                <w:kern w:val="0"/>
                <w:sz w:val="24"/>
                <w:szCs w:val="24"/>
              </w:rPr>
              <w:t>基本药物统计分析</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实现基本药物统计分析及相关报表。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1160" w:type="pct"/>
            <w:noWrap w:val="0"/>
            <w:vAlign w:val="center"/>
          </w:tcPr>
          <w:p>
            <w:pPr>
              <w:rPr>
                <w:rFonts w:hint="default" w:ascii="宋体" w:hAnsi="宋体" w:cs="宋体"/>
                <w:kern w:val="0"/>
                <w:sz w:val="24"/>
                <w:szCs w:val="24"/>
              </w:rPr>
            </w:pPr>
            <w:r>
              <w:rPr>
                <w:rFonts w:ascii="宋体" w:hAnsi="宋体" w:cs="宋体"/>
                <w:kern w:val="0"/>
                <w:sz w:val="24"/>
                <w:szCs w:val="24"/>
              </w:rPr>
              <w:t>双十统计</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实现院内药品的销售金额、销售数量医生排名分析、及报表服务功能，可以定义统计期间、药品分类属性等；</w:t>
            </w:r>
          </w:p>
          <w:p>
            <w:pPr>
              <w:rPr>
                <w:rFonts w:hint="default" w:ascii="宋体" w:hAnsi="宋体" w:cs="宋体"/>
                <w:kern w:val="0"/>
                <w:sz w:val="24"/>
                <w:szCs w:val="24"/>
              </w:rPr>
            </w:pPr>
            <w:r>
              <w:rPr>
                <w:rFonts w:ascii="宋体" w:hAnsi="宋体" w:cs="宋体"/>
                <w:kern w:val="0"/>
                <w:sz w:val="24"/>
                <w:szCs w:val="24"/>
              </w:rPr>
              <w:t>2</w:t>
            </w:r>
            <w:r>
              <w:rPr>
                <w:rFonts w:ascii="宋体" w:hAnsi="宋体"/>
                <w:sz w:val="24"/>
                <w:szCs w:val="24"/>
              </w:rPr>
              <w:t>)</w:t>
            </w:r>
            <w:r>
              <w:rPr>
                <w:rFonts w:ascii="宋体" w:hAnsi="宋体" w:cs="宋体"/>
                <w:kern w:val="0"/>
                <w:sz w:val="24"/>
                <w:szCs w:val="24"/>
              </w:rPr>
              <w:t>支持双十、双二十统计。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1160" w:type="pct"/>
            <w:noWrap w:val="0"/>
            <w:vAlign w:val="center"/>
          </w:tcPr>
          <w:p>
            <w:pPr>
              <w:rPr>
                <w:rFonts w:hint="default" w:ascii="宋体" w:hAnsi="宋体" w:cs="宋体"/>
                <w:kern w:val="0"/>
                <w:sz w:val="24"/>
                <w:szCs w:val="24"/>
              </w:rPr>
            </w:pPr>
            <w:r>
              <w:rPr>
                <w:rFonts w:ascii="宋体" w:hAnsi="宋体" w:cs="宋体"/>
                <w:kern w:val="0"/>
                <w:sz w:val="24"/>
                <w:szCs w:val="24"/>
              </w:rPr>
              <w:t>系统维护</w:t>
            </w:r>
          </w:p>
        </w:tc>
        <w:tc>
          <w:tcPr>
            <w:tcW w:w="3416"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操作员设置、操作员权限设置</w:t>
            </w:r>
          </w:p>
          <w:p>
            <w:pPr>
              <w:rPr>
                <w:rFonts w:hint="default" w:ascii="宋体" w:hAnsi="宋体" w:cs="宋体"/>
                <w:kern w:val="0"/>
                <w:sz w:val="24"/>
                <w:szCs w:val="24"/>
              </w:rPr>
            </w:pPr>
            <w:r>
              <w:rPr>
                <w:rFonts w:ascii="宋体" w:hAnsi="宋体" w:cs="宋体"/>
                <w:kern w:val="0"/>
                <w:sz w:val="24"/>
                <w:szCs w:val="24"/>
              </w:rPr>
              <w:t>2</w:t>
            </w:r>
            <w:r>
              <w:rPr>
                <w:rFonts w:ascii="宋体" w:hAnsi="宋体"/>
                <w:sz w:val="24"/>
                <w:szCs w:val="24"/>
              </w:rPr>
              <w:t>)</w:t>
            </w:r>
            <w:r>
              <w:rPr>
                <w:rFonts w:ascii="宋体" w:hAnsi="宋体" w:cs="宋体"/>
                <w:kern w:val="0"/>
                <w:sz w:val="24"/>
                <w:szCs w:val="24"/>
              </w:rPr>
              <w:t>基本药物目录（国家级、省级、二级以上）</w:t>
            </w:r>
          </w:p>
          <w:p>
            <w:pPr>
              <w:rPr>
                <w:rFonts w:hint="default" w:ascii="宋体" w:hAnsi="宋体" w:cs="宋体"/>
                <w:kern w:val="0"/>
                <w:sz w:val="24"/>
                <w:szCs w:val="24"/>
              </w:rPr>
            </w:pPr>
            <w:r>
              <w:rPr>
                <w:rFonts w:ascii="宋体" w:hAnsi="宋体" w:cs="宋体"/>
                <w:kern w:val="0"/>
                <w:sz w:val="24"/>
                <w:szCs w:val="24"/>
              </w:rPr>
              <w:t>3</w:t>
            </w:r>
            <w:r>
              <w:rPr>
                <w:rFonts w:ascii="宋体" w:hAnsi="宋体"/>
                <w:sz w:val="24"/>
                <w:szCs w:val="24"/>
              </w:rPr>
              <w:t>)</w:t>
            </w:r>
            <w:r>
              <w:rPr>
                <w:rFonts w:ascii="宋体" w:hAnsi="宋体" w:cs="宋体"/>
                <w:kern w:val="0"/>
                <w:sz w:val="24"/>
                <w:szCs w:val="24"/>
              </w:rPr>
              <w:t>基本药物维护，用于基本药物目录与医院药典对应</w:t>
            </w:r>
          </w:p>
        </w:tc>
      </w:tr>
    </w:tbl>
    <w:p>
      <w:pPr>
        <w:pStyle w:val="5"/>
        <w:numPr>
          <w:ilvl w:val="2"/>
          <w:numId w:val="5"/>
        </w:numPr>
        <w:spacing w:before="0" w:after="0" w:line="360" w:lineRule="auto"/>
        <w:rPr>
          <w:rFonts w:ascii="宋体" w:hAnsi="宋体"/>
        </w:rPr>
      </w:pPr>
      <w:bookmarkStart w:id="595" w:name="_Toc19940"/>
      <w:r>
        <w:rPr>
          <w:rFonts w:hint="eastAsia" w:ascii="宋体" w:hAnsi="宋体"/>
        </w:rPr>
        <w:t>统一报表管理系统</w:t>
      </w:r>
      <w:bookmarkEnd w:id="595"/>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793"/>
        <w:gridCol w:w="6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blHeader/>
        </w:trPr>
        <w:tc>
          <w:tcPr>
            <w:tcW w:w="41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1052"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528"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19" w:type="pct"/>
            <w:noWrap w:val="0"/>
            <w:vAlign w:val="center"/>
          </w:tcPr>
          <w:p>
            <w:pPr>
              <w:jc w:val="center"/>
              <w:rPr>
                <w:rFonts w:hint="default" w:ascii="宋体" w:hAnsi="宋体" w:cs="宋体"/>
                <w:bCs/>
                <w:kern w:val="0"/>
                <w:sz w:val="24"/>
                <w:szCs w:val="24"/>
              </w:rPr>
            </w:pPr>
            <w:r>
              <w:rPr>
                <w:rFonts w:ascii="宋体" w:hAnsi="宋体" w:cs="宋体"/>
                <w:bCs/>
                <w:kern w:val="0"/>
                <w:sz w:val="24"/>
                <w:szCs w:val="24"/>
              </w:rPr>
              <w:t>1</w:t>
            </w:r>
          </w:p>
        </w:tc>
        <w:tc>
          <w:tcPr>
            <w:tcW w:w="1052" w:type="pct"/>
            <w:noWrap w:val="0"/>
            <w:vAlign w:val="center"/>
          </w:tcPr>
          <w:p>
            <w:pPr>
              <w:rPr>
                <w:rFonts w:hint="default" w:ascii="宋体" w:hAnsi="宋体"/>
                <w:sz w:val="24"/>
                <w:szCs w:val="24"/>
              </w:rPr>
            </w:pPr>
            <w:r>
              <w:rPr>
                <w:rFonts w:ascii="宋体" w:hAnsi="宋体"/>
                <w:sz w:val="24"/>
                <w:szCs w:val="24"/>
              </w:rPr>
              <w:t>数据整合</w:t>
            </w:r>
          </w:p>
        </w:tc>
        <w:tc>
          <w:tcPr>
            <w:tcW w:w="3528" w:type="pct"/>
            <w:noWrap w:val="0"/>
            <w:vAlign w:val="center"/>
          </w:tcPr>
          <w:p>
            <w:pPr>
              <w:rPr>
                <w:rFonts w:hint="default" w:ascii="宋体" w:hAnsi="宋体"/>
                <w:sz w:val="24"/>
                <w:szCs w:val="24"/>
              </w:rPr>
            </w:pPr>
            <w:r>
              <w:rPr>
                <w:rFonts w:ascii="宋体" w:hAnsi="宋体"/>
                <w:sz w:val="24"/>
                <w:szCs w:val="24"/>
              </w:rPr>
              <w:t>1)需采用高性能数据引擎，可支持各类数据源，采集医院各系统数据。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19" w:type="pct"/>
            <w:noWrap w:val="0"/>
            <w:vAlign w:val="center"/>
          </w:tcPr>
          <w:p>
            <w:pPr>
              <w:jc w:val="center"/>
              <w:rPr>
                <w:rFonts w:hint="default" w:ascii="宋体" w:hAnsi="宋体" w:cs="宋体"/>
                <w:bCs/>
                <w:kern w:val="0"/>
                <w:sz w:val="24"/>
                <w:szCs w:val="24"/>
              </w:rPr>
            </w:pPr>
            <w:r>
              <w:rPr>
                <w:rFonts w:ascii="宋体" w:hAnsi="宋体" w:cs="宋体"/>
                <w:bCs/>
                <w:kern w:val="0"/>
                <w:sz w:val="24"/>
                <w:szCs w:val="24"/>
              </w:rPr>
              <w:t>2</w:t>
            </w:r>
          </w:p>
        </w:tc>
        <w:tc>
          <w:tcPr>
            <w:tcW w:w="1052" w:type="pct"/>
            <w:noWrap w:val="0"/>
            <w:vAlign w:val="center"/>
          </w:tcPr>
          <w:p>
            <w:pPr>
              <w:rPr>
                <w:rFonts w:hint="default" w:ascii="宋体" w:hAnsi="宋体"/>
                <w:sz w:val="24"/>
                <w:szCs w:val="24"/>
              </w:rPr>
            </w:pPr>
            <w:r>
              <w:rPr>
                <w:rFonts w:ascii="宋体" w:hAnsi="宋体"/>
                <w:sz w:val="24"/>
                <w:szCs w:val="24"/>
              </w:rPr>
              <w:t>快速定制</w:t>
            </w:r>
          </w:p>
        </w:tc>
        <w:tc>
          <w:tcPr>
            <w:tcW w:w="3528" w:type="pct"/>
            <w:noWrap w:val="0"/>
            <w:vAlign w:val="center"/>
          </w:tcPr>
          <w:p>
            <w:pPr>
              <w:rPr>
                <w:rFonts w:hint="default" w:ascii="宋体" w:hAnsi="宋体"/>
                <w:sz w:val="24"/>
                <w:szCs w:val="24"/>
              </w:rPr>
            </w:pPr>
            <w:r>
              <w:rPr>
                <w:rFonts w:ascii="宋体" w:hAnsi="宋体"/>
                <w:sz w:val="24"/>
                <w:szCs w:val="24"/>
              </w:rPr>
              <w:t>1)内嵌丰富的预定义SQL模组，可快速完成自定义报表定制。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19" w:type="pct"/>
            <w:noWrap w:val="0"/>
            <w:vAlign w:val="center"/>
          </w:tcPr>
          <w:p>
            <w:pPr>
              <w:jc w:val="center"/>
              <w:rPr>
                <w:rFonts w:hint="default" w:ascii="宋体" w:hAnsi="宋体" w:cs="宋体"/>
                <w:bCs/>
                <w:kern w:val="0"/>
                <w:sz w:val="24"/>
                <w:szCs w:val="24"/>
              </w:rPr>
            </w:pPr>
            <w:r>
              <w:rPr>
                <w:rFonts w:ascii="宋体" w:hAnsi="宋体" w:cs="宋体"/>
                <w:bCs/>
                <w:kern w:val="0"/>
                <w:sz w:val="24"/>
                <w:szCs w:val="24"/>
              </w:rPr>
              <w:t>3</w:t>
            </w:r>
          </w:p>
        </w:tc>
        <w:tc>
          <w:tcPr>
            <w:tcW w:w="1052" w:type="pct"/>
            <w:noWrap w:val="0"/>
            <w:vAlign w:val="center"/>
          </w:tcPr>
          <w:p>
            <w:pPr>
              <w:rPr>
                <w:rFonts w:hint="default" w:ascii="宋体" w:hAnsi="宋体"/>
                <w:sz w:val="24"/>
                <w:szCs w:val="24"/>
              </w:rPr>
            </w:pPr>
            <w:r>
              <w:rPr>
                <w:rFonts w:ascii="宋体" w:hAnsi="宋体"/>
                <w:sz w:val="24"/>
                <w:szCs w:val="24"/>
              </w:rPr>
              <w:t>财务报表</w:t>
            </w:r>
          </w:p>
        </w:tc>
        <w:tc>
          <w:tcPr>
            <w:tcW w:w="3528" w:type="pct"/>
            <w:noWrap w:val="0"/>
            <w:vAlign w:val="center"/>
          </w:tcPr>
          <w:p>
            <w:pPr>
              <w:rPr>
                <w:rFonts w:hint="default" w:ascii="宋体" w:hAnsi="宋体"/>
                <w:sz w:val="24"/>
                <w:szCs w:val="24"/>
              </w:rPr>
            </w:pPr>
            <w:r>
              <w:rPr>
                <w:rFonts w:ascii="宋体" w:hAnsi="宋体"/>
                <w:sz w:val="24"/>
                <w:szCs w:val="24"/>
              </w:rPr>
              <w:t>1)具有全院科室收入：可统计医院所有科室（包括门诊与住院）的收费项目收入情况。</w:t>
            </w:r>
          </w:p>
          <w:p>
            <w:pPr>
              <w:rPr>
                <w:rFonts w:hint="default" w:ascii="宋体" w:hAnsi="宋体"/>
                <w:sz w:val="24"/>
                <w:szCs w:val="24"/>
              </w:rPr>
            </w:pPr>
            <w:r>
              <w:rPr>
                <w:rFonts w:ascii="宋体" w:hAnsi="宋体"/>
                <w:sz w:val="24"/>
                <w:szCs w:val="24"/>
              </w:rPr>
              <w:t>2)具有全院医生工作量：可统计医院所有医师（包括门诊与住院）的项目开单工作量。</w:t>
            </w:r>
          </w:p>
          <w:p>
            <w:pPr>
              <w:rPr>
                <w:rFonts w:hint="default" w:ascii="宋体" w:hAnsi="宋体"/>
                <w:sz w:val="24"/>
                <w:szCs w:val="24"/>
              </w:rPr>
            </w:pPr>
            <w:r>
              <w:rPr>
                <w:rFonts w:ascii="宋体" w:hAnsi="宋体"/>
                <w:sz w:val="24"/>
                <w:szCs w:val="24"/>
              </w:rPr>
              <w:t>3)具有全院项目收入分析：可统计医院所有科室的同期、当期门诊收入及住院收入的总体收入情况。</w:t>
            </w:r>
          </w:p>
          <w:p>
            <w:pPr>
              <w:rPr>
                <w:rFonts w:hint="default" w:ascii="宋体" w:hAnsi="宋体"/>
                <w:sz w:val="24"/>
                <w:szCs w:val="24"/>
              </w:rPr>
            </w:pPr>
            <w:r>
              <w:rPr>
                <w:rFonts w:ascii="宋体" w:hAnsi="宋体"/>
                <w:sz w:val="24"/>
                <w:szCs w:val="24"/>
              </w:rPr>
              <w:t>4)具有全院项目收入汇总表：可统计医院所有三级项目的门诊收入、住院收入合计及各三级项目所占比例。</w:t>
            </w:r>
          </w:p>
          <w:p>
            <w:pPr>
              <w:rPr>
                <w:rFonts w:hint="default" w:ascii="宋体" w:hAnsi="宋体"/>
                <w:sz w:val="24"/>
                <w:szCs w:val="24"/>
              </w:rPr>
            </w:pPr>
            <w:r>
              <w:rPr>
                <w:rFonts w:ascii="宋体" w:hAnsi="宋体"/>
                <w:sz w:val="24"/>
                <w:szCs w:val="24"/>
              </w:rPr>
              <w:t>5)具有一卡通单位账户结余报表：可统计医院医卡通单位账户的月末的结余数据</w:t>
            </w:r>
          </w:p>
          <w:p>
            <w:pPr>
              <w:rPr>
                <w:rFonts w:hint="default" w:ascii="宋体" w:hAnsi="宋体"/>
                <w:sz w:val="24"/>
                <w:szCs w:val="24"/>
              </w:rPr>
            </w:pPr>
            <w:r>
              <w:rPr>
                <w:rFonts w:ascii="宋体" w:hAnsi="宋体"/>
                <w:sz w:val="24"/>
                <w:szCs w:val="24"/>
              </w:rPr>
              <w:t>6)具有一卡通个人账户结余报表：可统计医院医卡通个人账户的月末结余数据</w:t>
            </w:r>
          </w:p>
          <w:p>
            <w:pPr>
              <w:rPr>
                <w:rFonts w:hint="default" w:ascii="宋体" w:hAnsi="宋体"/>
                <w:sz w:val="24"/>
                <w:szCs w:val="24"/>
              </w:rPr>
            </w:pPr>
            <w:r>
              <w:rPr>
                <w:rFonts w:ascii="宋体" w:hAnsi="宋体"/>
                <w:sz w:val="24"/>
                <w:szCs w:val="24"/>
              </w:rPr>
              <w:t>7)具有门诊挂号日报：可医院统计门诊医师的挂号工作量</w:t>
            </w:r>
          </w:p>
          <w:p>
            <w:pPr>
              <w:rPr>
                <w:rFonts w:hint="default" w:ascii="宋体" w:hAnsi="宋体"/>
                <w:sz w:val="24"/>
                <w:szCs w:val="24"/>
              </w:rPr>
            </w:pPr>
            <w:r>
              <w:rPr>
                <w:rFonts w:ascii="宋体" w:hAnsi="宋体"/>
                <w:sz w:val="24"/>
                <w:szCs w:val="24"/>
              </w:rPr>
              <w:t>8)具有全部收费操作员结算流水账：可统计所有门诊收费、挂号、卡管理、住院收费操作员结算区间内应缴账款信息</w:t>
            </w:r>
          </w:p>
          <w:p>
            <w:pPr>
              <w:rPr>
                <w:rFonts w:hint="default" w:ascii="宋体" w:hAnsi="宋体"/>
                <w:sz w:val="24"/>
                <w:szCs w:val="24"/>
              </w:rPr>
            </w:pPr>
            <w:r>
              <w:rPr>
                <w:rFonts w:ascii="宋体" w:hAnsi="宋体"/>
                <w:sz w:val="24"/>
                <w:szCs w:val="24"/>
              </w:rPr>
              <w:t>9)具有门诊收入报表：可统计医院二级收费项目的门诊收入情况和应交账款数据</w:t>
            </w:r>
          </w:p>
          <w:p>
            <w:pPr>
              <w:rPr>
                <w:rFonts w:hint="default" w:ascii="宋体" w:hAnsi="宋体"/>
                <w:sz w:val="24"/>
                <w:szCs w:val="24"/>
              </w:rPr>
            </w:pPr>
            <w:r>
              <w:rPr>
                <w:rFonts w:ascii="宋体" w:hAnsi="宋体"/>
                <w:sz w:val="24"/>
                <w:szCs w:val="24"/>
              </w:rPr>
              <w:t>10)具有挂号操作员结算流水账：可统计医院挂号操作员结算区间内应缴账款信息</w:t>
            </w:r>
          </w:p>
          <w:p>
            <w:pPr>
              <w:rPr>
                <w:rFonts w:hint="default" w:ascii="宋体" w:hAnsi="宋体"/>
                <w:sz w:val="24"/>
                <w:szCs w:val="24"/>
              </w:rPr>
            </w:pPr>
            <w:r>
              <w:rPr>
                <w:rFonts w:ascii="宋体" w:hAnsi="宋体"/>
                <w:sz w:val="24"/>
                <w:szCs w:val="24"/>
              </w:rPr>
              <w:t>11)具有卡管理操作员结算流水账：可统计医院卡管理操作员结算区间内应缴账款信息</w:t>
            </w:r>
          </w:p>
          <w:p>
            <w:pPr>
              <w:rPr>
                <w:rFonts w:hint="default" w:ascii="宋体" w:hAnsi="宋体"/>
                <w:sz w:val="24"/>
                <w:szCs w:val="24"/>
              </w:rPr>
            </w:pPr>
            <w:r>
              <w:rPr>
                <w:rFonts w:ascii="宋体" w:hAnsi="宋体"/>
                <w:sz w:val="24"/>
                <w:szCs w:val="24"/>
              </w:rPr>
              <w:t>12)具有门诊收费操作员结算流水账：可统计医院所有门诊操作员结算区间内应缴账款信息</w:t>
            </w:r>
          </w:p>
          <w:p>
            <w:pPr>
              <w:rPr>
                <w:rFonts w:hint="default" w:ascii="宋体" w:hAnsi="宋体"/>
                <w:sz w:val="24"/>
                <w:szCs w:val="24"/>
              </w:rPr>
            </w:pPr>
            <w:r>
              <w:rPr>
                <w:rFonts w:ascii="宋体" w:hAnsi="宋体"/>
                <w:sz w:val="24"/>
                <w:szCs w:val="24"/>
              </w:rPr>
              <w:t>13)具有住院收费操作员结算流水账：可统计医院住院收费操作员结算区间内应缴账款信息</w:t>
            </w:r>
          </w:p>
          <w:p>
            <w:pPr>
              <w:rPr>
                <w:rFonts w:hint="default" w:ascii="宋体" w:hAnsi="宋体"/>
                <w:sz w:val="24"/>
                <w:szCs w:val="24"/>
              </w:rPr>
            </w:pPr>
            <w:r>
              <w:rPr>
                <w:rFonts w:ascii="宋体" w:hAnsi="宋体"/>
                <w:sz w:val="24"/>
                <w:szCs w:val="24"/>
              </w:rPr>
              <w:t>14)具有住院预交款结余报表：可统计医院月末住院病人的押金结余情况</w:t>
            </w:r>
          </w:p>
          <w:p>
            <w:pPr>
              <w:rPr>
                <w:rFonts w:hint="default" w:ascii="宋体" w:hAnsi="宋体"/>
                <w:sz w:val="24"/>
                <w:szCs w:val="24"/>
              </w:rPr>
            </w:pPr>
            <w:r>
              <w:rPr>
                <w:rFonts w:ascii="宋体" w:hAnsi="宋体"/>
                <w:sz w:val="24"/>
                <w:szCs w:val="24"/>
              </w:rPr>
              <w:t>15)具有科室工作量（按执行人）：可统计医院所有科室执行人（包括门诊与住院）的收费项目收入情况。</w:t>
            </w:r>
          </w:p>
          <w:p>
            <w:pPr>
              <w:rPr>
                <w:rFonts w:hint="default" w:ascii="宋体" w:hAnsi="宋体"/>
                <w:sz w:val="24"/>
                <w:szCs w:val="24"/>
              </w:rPr>
            </w:pPr>
            <w:r>
              <w:rPr>
                <w:rFonts w:ascii="宋体" w:hAnsi="宋体"/>
                <w:sz w:val="24"/>
                <w:szCs w:val="24"/>
              </w:rPr>
              <w:t>16)具有四级明细项目查询：可查询医院所有病人(包括门诊病人和住院病人)费用明细汇总记录</w:t>
            </w:r>
          </w:p>
          <w:p>
            <w:pPr>
              <w:rPr>
                <w:rFonts w:hint="default" w:ascii="宋体" w:hAnsi="宋体"/>
                <w:sz w:val="24"/>
                <w:szCs w:val="24"/>
              </w:rPr>
            </w:pPr>
            <w:r>
              <w:rPr>
                <w:rFonts w:ascii="宋体" w:hAnsi="宋体"/>
                <w:sz w:val="24"/>
                <w:szCs w:val="24"/>
              </w:rPr>
              <w:t>17)具有门诊挂号预约情况查询：可统计门诊预约挂号病人各种预约方式预约量及比率</w:t>
            </w:r>
          </w:p>
          <w:p>
            <w:pPr>
              <w:rPr>
                <w:rFonts w:hint="default" w:ascii="宋体" w:hAnsi="宋体"/>
                <w:sz w:val="24"/>
                <w:szCs w:val="24"/>
              </w:rPr>
            </w:pPr>
            <w:r>
              <w:rPr>
                <w:rFonts w:ascii="宋体" w:hAnsi="宋体"/>
                <w:sz w:val="24"/>
                <w:szCs w:val="24"/>
              </w:rPr>
              <w:t>18)具有门诊挂号预约情况明细查询：可查询门诊预约挂号明细信息。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19" w:type="pct"/>
            <w:noWrap w:val="0"/>
            <w:vAlign w:val="center"/>
          </w:tcPr>
          <w:p>
            <w:pPr>
              <w:jc w:val="center"/>
              <w:rPr>
                <w:rFonts w:hint="default" w:ascii="宋体" w:hAnsi="宋体" w:cs="宋体"/>
                <w:bCs/>
                <w:kern w:val="0"/>
                <w:sz w:val="24"/>
                <w:szCs w:val="24"/>
              </w:rPr>
            </w:pPr>
            <w:r>
              <w:rPr>
                <w:rFonts w:ascii="宋体" w:hAnsi="宋体" w:cs="宋体"/>
                <w:bCs/>
                <w:kern w:val="0"/>
                <w:sz w:val="24"/>
                <w:szCs w:val="24"/>
              </w:rPr>
              <w:t>4</w:t>
            </w:r>
          </w:p>
        </w:tc>
        <w:tc>
          <w:tcPr>
            <w:tcW w:w="1052" w:type="pct"/>
            <w:noWrap w:val="0"/>
            <w:vAlign w:val="center"/>
          </w:tcPr>
          <w:p>
            <w:pPr>
              <w:rPr>
                <w:rFonts w:hint="default" w:ascii="宋体" w:hAnsi="宋体"/>
                <w:sz w:val="24"/>
                <w:szCs w:val="24"/>
              </w:rPr>
            </w:pPr>
            <w:r>
              <w:rPr>
                <w:rFonts w:ascii="宋体" w:hAnsi="宋体"/>
                <w:sz w:val="24"/>
                <w:szCs w:val="24"/>
              </w:rPr>
              <w:t>药品报表</w:t>
            </w:r>
          </w:p>
        </w:tc>
        <w:tc>
          <w:tcPr>
            <w:tcW w:w="3528" w:type="pct"/>
            <w:noWrap w:val="0"/>
            <w:vAlign w:val="center"/>
          </w:tcPr>
          <w:p>
            <w:pPr>
              <w:rPr>
                <w:rFonts w:hint="default" w:ascii="宋体" w:hAnsi="宋体"/>
                <w:sz w:val="24"/>
                <w:szCs w:val="24"/>
              </w:rPr>
            </w:pPr>
            <w:r>
              <w:rPr>
                <w:rFonts w:ascii="宋体" w:hAnsi="宋体"/>
                <w:sz w:val="24"/>
                <w:szCs w:val="24"/>
              </w:rPr>
              <w:t>1)具有药库进销存报表：可统计药库药品的入库、出库及结存信息</w:t>
            </w:r>
          </w:p>
          <w:p>
            <w:pPr>
              <w:rPr>
                <w:rFonts w:hint="default" w:ascii="宋体" w:hAnsi="宋体"/>
                <w:sz w:val="24"/>
                <w:szCs w:val="24"/>
              </w:rPr>
            </w:pPr>
            <w:r>
              <w:rPr>
                <w:rFonts w:ascii="宋体" w:hAnsi="宋体"/>
                <w:sz w:val="24"/>
                <w:szCs w:val="24"/>
              </w:rPr>
              <w:t>2)具有药房进销存报表：可统计药房药品的进、销、存情况。</w:t>
            </w:r>
          </w:p>
          <w:p>
            <w:pPr>
              <w:rPr>
                <w:rFonts w:hint="default" w:ascii="宋体" w:hAnsi="宋体"/>
                <w:sz w:val="24"/>
                <w:szCs w:val="24"/>
              </w:rPr>
            </w:pPr>
            <w:r>
              <w:rPr>
                <w:rFonts w:ascii="宋体" w:hAnsi="宋体"/>
                <w:sz w:val="24"/>
                <w:szCs w:val="24"/>
              </w:rPr>
              <w:t>3)具有药品销售收入报表：可统计全院科室(包含门诊和住院)药品销售收入情况</w:t>
            </w:r>
          </w:p>
          <w:p>
            <w:pPr>
              <w:rPr>
                <w:rFonts w:hint="default" w:ascii="宋体" w:hAnsi="宋体"/>
                <w:sz w:val="24"/>
                <w:szCs w:val="24"/>
              </w:rPr>
            </w:pPr>
            <w:r>
              <w:rPr>
                <w:rFonts w:ascii="宋体" w:hAnsi="宋体"/>
                <w:sz w:val="24"/>
                <w:szCs w:val="24"/>
              </w:rPr>
              <w:t>4)具有药品采购统计表：可统计药品采购信息（含退货部分）。</w:t>
            </w:r>
          </w:p>
          <w:p>
            <w:pPr>
              <w:rPr>
                <w:rFonts w:hint="default" w:ascii="宋体" w:hAnsi="宋体"/>
                <w:sz w:val="24"/>
                <w:szCs w:val="24"/>
              </w:rPr>
            </w:pPr>
            <w:r>
              <w:rPr>
                <w:rFonts w:ascii="宋体" w:hAnsi="宋体"/>
                <w:sz w:val="24"/>
                <w:szCs w:val="24"/>
              </w:rPr>
              <w:t>5)具有药品差价统计表：可统计药库从各个供货商处采购情况。</w:t>
            </w:r>
          </w:p>
          <w:p>
            <w:pPr>
              <w:rPr>
                <w:rFonts w:hint="default" w:ascii="宋体" w:hAnsi="宋体"/>
                <w:sz w:val="24"/>
                <w:szCs w:val="24"/>
              </w:rPr>
            </w:pPr>
            <w:r>
              <w:rPr>
                <w:rFonts w:ascii="宋体" w:hAnsi="宋体"/>
                <w:sz w:val="24"/>
                <w:szCs w:val="24"/>
              </w:rPr>
              <w:t>6)具有药库库存统计：可统计会计期间药库药品进、销、存情况。</w:t>
            </w:r>
          </w:p>
          <w:p>
            <w:pPr>
              <w:rPr>
                <w:rFonts w:hint="default" w:ascii="宋体" w:hAnsi="宋体"/>
                <w:sz w:val="24"/>
                <w:szCs w:val="24"/>
              </w:rPr>
            </w:pPr>
            <w:r>
              <w:rPr>
                <w:rFonts w:ascii="宋体" w:hAnsi="宋体"/>
                <w:sz w:val="24"/>
                <w:szCs w:val="24"/>
              </w:rPr>
              <w:t>7)具有药房库存统计：可统计药房各类型药品或单个药品的进销存情况</w:t>
            </w:r>
          </w:p>
          <w:p>
            <w:pPr>
              <w:rPr>
                <w:rFonts w:hint="default" w:ascii="宋体" w:hAnsi="宋体"/>
                <w:sz w:val="24"/>
                <w:szCs w:val="24"/>
              </w:rPr>
            </w:pPr>
            <w:r>
              <w:rPr>
                <w:rFonts w:ascii="宋体" w:hAnsi="宋体"/>
                <w:sz w:val="24"/>
                <w:szCs w:val="24"/>
              </w:rPr>
              <w:t>8)具有药品流向统计：可统计所有科室(包含门诊与住院)药品销售收入情况。</w:t>
            </w:r>
          </w:p>
          <w:p>
            <w:pPr>
              <w:rPr>
                <w:rFonts w:hint="default" w:ascii="宋体" w:hAnsi="宋体"/>
                <w:sz w:val="24"/>
                <w:szCs w:val="24"/>
              </w:rPr>
            </w:pPr>
            <w:r>
              <w:rPr>
                <w:rFonts w:ascii="宋体" w:hAnsi="宋体"/>
                <w:sz w:val="24"/>
                <w:szCs w:val="24"/>
              </w:rPr>
              <w:t>9)具有药品消耗统计表：可按药品属性统计全院(包含门诊与住院)药品售收入情况。</w:t>
            </w:r>
          </w:p>
          <w:p>
            <w:pPr>
              <w:rPr>
                <w:rFonts w:hint="default" w:ascii="宋体" w:hAnsi="宋体"/>
                <w:sz w:val="24"/>
                <w:szCs w:val="24"/>
              </w:rPr>
            </w:pPr>
            <w:r>
              <w:rPr>
                <w:rFonts w:ascii="宋体" w:hAnsi="宋体"/>
                <w:sz w:val="24"/>
                <w:szCs w:val="24"/>
              </w:rPr>
              <w:t>10)具有药品消耗排名统计表：按药品属性或药品明细统计销售排名情况。</w:t>
            </w:r>
          </w:p>
          <w:p>
            <w:pPr>
              <w:rPr>
                <w:rFonts w:hint="default" w:ascii="宋体" w:hAnsi="宋体"/>
                <w:sz w:val="24"/>
                <w:szCs w:val="24"/>
              </w:rPr>
            </w:pPr>
            <w:r>
              <w:rPr>
                <w:rFonts w:ascii="宋体" w:hAnsi="宋体"/>
                <w:sz w:val="24"/>
                <w:szCs w:val="24"/>
              </w:rPr>
              <w:t>11)具有医保病人用药统计：可统计所有医保病人(包含门诊与住院)用药情况。</w:t>
            </w:r>
          </w:p>
          <w:p>
            <w:pPr>
              <w:rPr>
                <w:rFonts w:hint="default" w:ascii="宋体" w:hAnsi="宋体"/>
                <w:sz w:val="24"/>
                <w:szCs w:val="24"/>
              </w:rPr>
            </w:pPr>
            <w:r>
              <w:rPr>
                <w:rFonts w:ascii="宋体" w:hAnsi="宋体"/>
                <w:sz w:val="24"/>
                <w:szCs w:val="24"/>
              </w:rPr>
              <w:t>12)具有特殊用药统计：可统计所有病人(包含门诊与住院)的特殊药品使用情况。</w:t>
            </w:r>
          </w:p>
          <w:p>
            <w:pPr>
              <w:rPr>
                <w:rFonts w:hint="default" w:ascii="宋体" w:hAnsi="宋体"/>
                <w:sz w:val="24"/>
                <w:szCs w:val="24"/>
              </w:rPr>
            </w:pPr>
            <w:r>
              <w:rPr>
                <w:rFonts w:ascii="宋体" w:hAnsi="宋体"/>
                <w:sz w:val="24"/>
                <w:szCs w:val="24"/>
              </w:rPr>
              <w:t>13)具有药房药品总账报表：可按药品名称统计药房药品购销金额。</w:t>
            </w:r>
          </w:p>
          <w:p>
            <w:pPr>
              <w:rPr>
                <w:rFonts w:hint="default" w:ascii="宋体" w:hAnsi="宋体"/>
                <w:sz w:val="24"/>
                <w:szCs w:val="24"/>
              </w:rPr>
            </w:pPr>
            <w:r>
              <w:rPr>
                <w:rFonts w:ascii="宋体" w:hAnsi="宋体"/>
                <w:sz w:val="24"/>
                <w:szCs w:val="24"/>
              </w:rPr>
              <w:t>14)具有药房库存盘点查询：可查询药房药品月度盘点库存明细情况。</w:t>
            </w:r>
          </w:p>
          <w:p>
            <w:pPr>
              <w:rPr>
                <w:rFonts w:hint="default" w:ascii="宋体" w:hAnsi="宋体"/>
                <w:sz w:val="24"/>
                <w:szCs w:val="24"/>
              </w:rPr>
            </w:pPr>
            <w:r>
              <w:rPr>
                <w:rFonts w:ascii="宋体" w:hAnsi="宋体"/>
                <w:sz w:val="24"/>
                <w:szCs w:val="24"/>
              </w:rPr>
              <w:t>15)具有药品统计分析：可统计各科室（包括门诊与住院）/医师药品销售收入汇总/明细情况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19" w:type="pct"/>
            <w:noWrap w:val="0"/>
            <w:vAlign w:val="center"/>
          </w:tcPr>
          <w:p>
            <w:pPr>
              <w:rPr>
                <w:rFonts w:hint="default" w:ascii="宋体" w:hAnsi="宋体"/>
                <w:sz w:val="24"/>
                <w:szCs w:val="24"/>
              </w:rPr>
            </w:pPr>
            <w:r>
              <w:rPr>
                <w:rFonts w:ascii="宋体" w:hAnsi="宋体"/>
                <w:sz w:val="24"/>
                <w:szCs w:val="24"/>
              </w:rPr>
              <w:t>5</w:t>
            </w:r>
          </w:p>
        </w:tc>
        <w:tc>
          <w:tcPr>
            <w:tcW w:w="1052" w:type="pct"/>
            <w:noWrap w:val="0"/>
            <w:vAlign w:val="center"/>
          </w:tcPr>
          <w:p>
            <w:pPr>
              <w:rPr>
                <w:rFonts w:hint="default" w:ascii="宋体" w:hAnsi="宋体"/>
                <w:sz w:val="24"/>
                <w:szCs w:val="24"/>
              </w:rPr>
            </w:pPr>
            <w:r>
              <w:rPr>
                <w:rFonts w:ascii="宋体" w:hAnsi="宋体"/>
                <w:sz w:val="24"/>
                <w:szCs w:val="24"/>
              </w:rPr>
              <w:t>医疗统计报表功能</w:t>
            </w:r>
          </w:p>
        </w:tc>
        <w:tc>
          <w:tcPr>
            <w:tcW w:w="3528" w:type="pct"/>
            <w:noWrap w:val="0"/>
            <w:vAlign w:val="center"/>
          </w:tcPr>
          <w:p>
            <w:pPr>
              <w:rPr>
                <w:rFonts w:hint="default" w:ascii="宋体" w:hAnsi="宋体"/>
                <w:sz w:val="24"/>
                <w:szCs w:val="24"/>
              </w:rPr>
            </w:pPr>
            <w:r>
              <w:rPr>
                <w:rFonts w:ascii="宋体" w:hAnsi="宋体"/>
                <w:sz w:val="24"/>
                <w:szCs w:val="24"/>
              </w:rPr>
              <w:t>1)具有医院每日运营信息：可统计医院医疗运营动态数据，从挂号、预交金、收入、药品、人次等维度进行统计；</w:t>
            </w:r>
          </w:p>
          <w:p>
            <w:pPr>
              <w:rPr>
                <w:rFonts w:hint="default" w:ascii="宋体" w:hAnsi="宋体"/>
                <w:sz w:val="24"/>
                <w:szCs w:val="24"/>
              </w:rPr>
            </w:pPr>
            <w:r>
              <w:rPr>
                <w:rFonts w:ascii="宋体" w:hAnsi="宋体"/>
                <w:sz w:val="24"/>
                <w:szCs w:val="24"/>
              </w:rPr>
              <w:t>2)具有病区动态信息：可统计住院病区的病人动态变动情况；</w:t>
            </w:r>
          </w:p>
          <w:p>
            <w:pPr>
              <w:rPr>
                <w:rFonts w:hint="default" w:ascii="宋体" w:hAnsi="宋体"/>
                <w:sz w:val="24"/>
                <w:szCs w:val="24"/>
              </w:rPr>
            </w:pPr>
            <w:r>
              <w:rPr>
                <w:rFonts w:ascii="宋体" w:hAnsi="宋体"/>
                <w:sz w:val="24"/>
                <w:szCs w:val="24"/>
              </w:rPr>
              <w:t>3)具有门诊收费操作员工作量：可统计所有门诊收费操作员工作量及应缴账款信息；</w:t>
            </w:r>
          </w:p>
          <w:p>
            <w:pPr>
              <w:rPr>
                <w:rFonts w:hint="default" w:ascii="宋体" w:hAnsi="宋体"/>
                <w:sz w:val="24"/>
                <w:szCs w:val="24"/>
              </w:rPr>
            </w:pPr>
            <w:r>
              <w:rPr>
                <w:rFonts w:ascii="宋体" w:hAnsi="宋体"/>
                <w:sz w:val="24"/>
                <w:szCs w:val="24"/>
              </w:rPr>
              <w:t>4)具有门诊挂号操作员工作量：可统计挂号操作员工作量及应缴账款信息；</w:t>
            </w:r>
          </w:p>
          <w:p>
            <w:pPr>
              <w:rPr>
                <w:rFonts w:hint="default" w:ascii="宋体" w:hAnsi="宋体"/>
                <w:sz w:val="24"/>
                <w:szCs w:val="24"/>
              </w:rPr>
            </w:pPr>
            <w:r>
              <w:rPr>
                <w:rFonts w:ascii="宋体" w:hAnsi="宋体"/>
                <w:sz w:val="24"/>
                <w:szCs w:val="24"/>
              </w:rPr>
              <w:t>5)具有门诊挂号人次统计：可统计各科室，各医师不同就诊类型的挂号人次、挂号金额；</w:t>
            </w:r>
          </w:p>
          <w:p>
            <w:pPr>
              <w:rPr>
                <w:rFonts w:hint="default" w:ascii="宋体" w:hAnsi="宋体"/>
                <w:sz w:val="24"/>
                <w:szCs w:val="24"/>
              </w:rPr>
            </w:pPr>
            <w:r>
              <w:rPr>
                <w:rFonts w:ascii="宋体" w:hAnsi="宋体"/>
                <w:sz w:val="24"/>
                <w:szCs w:val="24"/>
              </w:rPr>
              <w:t>6)具有医师处方量统计表：可统计门诊医师，住院医师的开立处方量；</w:t>
            </w:r>
          </w:p>
          <w:p>
            <w:pPr>
              <w:rPr>
                <w:rFonts w:hint="default" w:ascii="宋体" w:hAnsi="宋体"/>
                <w:sz w:val="24"/>
                <w:szCs w:val="24"/>
              </w:rPr>
            </w:pPr>
            <w:r>
              <w:rPr>
                <w:rFonts w:ascii="宋体" w:hAnsi="宋体"/>
                <w:sz w:val="24"/>
                <w:szCs w:val="24"/>
              </w:rPr>
              <w:t>7)具有医师药占比统计：可统计全院(包括门诊与住院)开单医师的药品占比情况，人均占比情况；</w:t>
            </w:r>
          </w:p>
          <w:p>
            <w:pPr>
              <w:rPr>
                <w:rFonts w:hint="default" w:ascii="宋体" w:hAnsi="宋体"/>
                <w:sz w:val="24"/>
                <w:szCs w:val="24"/>
              </w:rPr>
            </w:pPr>
            <w:r>
              <w:rPr>
                <w:rFonts w:ascii="宋体" w:hAnsi="宋体"/>
                <w:sz w:val="24"/>
                <w:szCs w:val="24"/>
              </w:rPr>
              <w:t>8)具有科室药占比统计：可统计医院所有科室（包括门诊与住院）就诊病人的药品占比情况；</w:t>
            </w:r>
          </w:p>
          <w:p>
            <w:pPr>
              <w:rPr>
                <w:rFonts w:hint="default" w:ascii="宋体" w:hAnsi="宋体"/>
                <w:sz w:val="24"/>
                <w:szCs w:val="24"/>
              </w:rPr>
            </w:pPr>
            <w:r>
              <w:rPr>
                <w:rFonts w:ascii="宋体" w:hAnsi="宋体"/>
                <w:sz w:val="24"/>
                <w:szCs w:val="24"/>
              </w:rPr>
              <w:t>9)具有门急诊业务状况分析：可统计各个门诊科室门诊就诊人次、药品金额、治疗金额、最大处方金额、最小处方金额以及人均金额等；</w:t>
            </w:r>
          </w:p>
          <w:p>
            <w:pPr>
              <w:rPr>
                <w:rFonts w:hint="default" w:ascii="宋体" w:hAnsi="宋体"/>
                <w:sz w:val="24"/>
                <w:szCs w:val="24"/>
              </w:rPr>
            </w:pPr>
            <w:r>
              <w:rPr>
                <w:rFonts w:ascii="宋体" w:hAnsi="宋体"/>
                <w:sz w:val="24"/>
                <w:szCs w:val="24"/>
              </w:rPr>
              <w:t>10)具有病区抗菌药物使用情况明细表：可统计住院病人抗菌药物使用明细记录；</w:t>
            </w:r>
          </w:p>
          <w:p>
            <w:pPr>
              <w:rPr>
                <w:rFonts w:hint="default" w:ascii="宋体" w:hAnsi="宋体"/>
                <w:sz w:val="24"/>
                <w:szCs w:val="24"/>
              </w:rPr>
            </w:pPr>
            <w:r>
              <w:rPr>
                <w:rFonts w:ascii="宋体" w:hAnsi="宋体"/>
                <w:sz w:val="24"/>
                <w:szCs w:val="24"/>
              </w:rPr>
              <w:t>11)具有住院医师管床工作量：可统计住院科室所有管床医师管床人次、管床日数及占比信息；</w:t>
            </w:r>
          </w:p>
          <w:p>
            <w:pPr>
              <w:rPr>
                <w:rFonts w:hint="default" w:ascii="宋体" w:hAnsi="宋体"/>
                <w:sz w:val="24"/>
                <w:szCs w:val="24"/>
              </w:rPr>
            </w:pPr>
            <w:r>
              <w:rPr>
                <w:rFonts w:ascii="宋体" w:hAnsi="宋体"/>
                <w:sz w:val="24"/>
                <w:szCs w:val="24"/>
              </w:rPr>
              <w:t>12)具有医技检查人次统计表：可统计医技科室检查、检验项目开单人次；</w:t>
            </w:r>
          </w:p>
          <w:p>
            <w:pPr>
              <w:rPr>
                <w:rFonts w:hint="default" w:ascii="宋体" w:hAnsi="宋体"/>
                <w:sz w:val="24"/>
                <w:szCs w:val="24"/>
              </w:rPr>
            </w:pPr>
            <w:r>
              <w:rPr>
                <w:rFonts w:ascii="宋体" w:hAnsi="宋体"/>
                <w:sz w:val="24"/>
                <w:szCs w:val="24"/>
              </w:rPr>
              <w:t>13)具有住院病人信息明细表：可查询在院病人、出院病人的详细信息。</w:t>
            </w:r>
          </w:p>
        </w:tc>
      </w:tr>
    </w:tbl>
    <w:p>
      <w:pPr>
        <w:pStyle w:val="5"/>
        <w:numPr>
          <w:ilvl w:val="2"/>
          <w:numId w:val="5"/>
        </w:numPr>
        <w:spacing w:before="0" w:after="0" w:line="360" w:lineRule="auto"/>
        <w:rPr>
          <w:rFonts w:ascii="宋体" w:hAnsi="宋体"/>
        </w:rPr>
      </w:pPr>
      <w:r>
        <w:rPr>
          <w:rFonts w:hint="eastAsia" w:ascii="宋体" w:hAnsi="宋体"/>
        </w:rPr>
        <w:t>后勤物流管理系统</w:t>
      </w:r>
    </w:p>
    <w:tbl>
      <w:tblPr>
        <w:tblStyle w:val="5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4"/>
        <w:gridCol w:w="1490"/>
        <w:gridCol w:w="1486"/>
        <w:gridCol w:w="48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19" w:type="pct"/>
            <w:noWrap/>
            <w:vAlign w:val="top"/>
          </w:tcPr>
          <w:p>
            <w:pPr>
              <w:adjustRightInd w:val="0"/>
              <w:jc w:val="center"/>
              <w:rPr>
                <w:rFonts w:hint="default" w:ascii="宋体" w:hAnsi="宋体" w:cs="宋体"/>
                <w:b/>
                <w:bCs/>
                <w:kern w:val="0"/>
                <w:sz w:val="24"/>
                <w:szCs w:val="24"/>
              </w:rPr>
            </w:pPr>
            <w:r>
              <w:rPr>
                <w:rFonts w:ascii="宋体" w:hAnsi="宋体" w:cs="宋体"/>
                <w:b/>
                <w:bCs/>
                <w:sz w:val="24"/>
                <w:szCs w:val="24"/>
                <w:lang w:bidi="ar"/>
              </w:rPr>
              <w:t>序号</w:t>
            </w:r>
          </w:p>
        </w:tc>
        <w:tc>
          <w:tcPr>
            <w:tcW w:w="874" w:type="pct"/>
            <w:noWrap/>
            <w:vAlign w:val="top"/>
          </w:tcPr>
          <w:p>
            <w:pPr>
              <w:adjustRightInd w:val="0"/>
              <w:jc w:val="center"/>
              <w:rPr>
                <w:rFonts w:hint="default" w:ascii="宋体" w:hAnsi="宋体" w:cs="宋体"/>
                <w:b/>
                <w:bCs/>
                <w:kern w:val="0"/>
                <w:sz w:val="24"/>
                <w:szCs w:val="24"/>
              </w:rPr>
            </w:pPr>
            <w:r>
              <w:rPr>
                <w:rFonts w:cs="宋体"/>
                <w:b/>
                <w:bCs/>
                <w:sz w:val="24"/>
                <w:szCs w:val="24"/>
                <w:lang w:bidi="ar"/>
              </w:rPr>
              <w:t>一级</w:t>
            </w:r>
            <w:r>
              <w:rPr>
                <w:rFonts w:ascii="宋体" w:hAnsi="宋体" w:cs="宋体"/>
                <w:b/>
                <w:bCs/>
                <w:sz w:val="24"/>
                <w:szCs w:val="24"/>
                <w:lang w:bidi="ar"/>
              </w:rPr>
              <w:t>功能模块</w:t>
            </w:r>
          </w:p>
        </w:tc>
        <w:tc>
          <w:tcPr>
            <w:tcW w:w="872" w:type="pct"/>
            <w:noWrap/>
            <w:vAlign w:val="top"/>
          </w:tcPr>
          <w:p>
            <w:pPr>
              <w:adjustRightInd w:val="0"/>
              <w:jc w:val="center"/>
              <w:rPr>
                <w:rFonts w:hint="default" w:ascii="宋体" w:hAnsi="宋体" w:cs="宋体"/>
                <w:b/>
                <w:bCs/>
                <w:sz w:val="24"/>
                <w:szCs w:val="24"/>
                <w:lang w:bidi="ar"/>
              </w:rPr>
            </w:pPr>
            <w:r>
              <w:rPr>
                <w:rFonts w:cs="宋体"/>
                <w:b/>
                <w:bCs/>
                <w:sz w:val="24"/>
                <w:szCs w:val="24"/>
                <w:lang w:bidi="ar"/>
              </w:rPr>
              <w:t>二级功能模块</w:t>
            </w:r>
          </w:p>
        </w:tc>
        <w:tc>
          <w:tcPr>
            <w:tcW w:w="2835" w:type="pct"/>
            <w:noWrap/>
            <w:vAlign w:val="top"/>
          </w:tcPr>
          <w:p>
            <w:pPr>
              <w:adjustRightInd w:val="0"/>
              <w:jc w:val="center"/>
              <w:rPr>
                <w:rFonts w:hint="default" w:ascii="宋体" w:hAnsi="宋体" w:cs="宋体"/>
                <w:b/>
                <w:bCs/>
                <w:kern w:val="0"/>
                <w:sz w:val="24"/>
                <w:szCs w:val="24"/>
              </w:rPr>
            </w:pPr>
            <w:r>
              <w:rPr>
                <w:rFonts w:ascii="宋体" w:hAnsi="宋体" w:cs="宋体"/>
                <w:b/>
                <w:bCs/>
                <w:sz w:val="24"/>
                <w:szCs w:val="24"/>
                <w:lang w:bidi="ar"/>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1</w:t>
            </w:r>
          </w:p>
        </w:tc>
        <w:tc>
          <w:tcPr>
            <w:tcW w:w="874" w:type="pct"/>
            <w:vMerge w:val="restart"/>
            <w:noWrap/>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入库管理</w:t>
            </w: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采购入库</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采购入库：对采购的物品办理采购入库，并生成采购入库单，适用于一级仓库</w:t>
            </w:r>
            <w:r>
              <w:rPr>
                <w:rFonts w:ascii="宋体" w:hAnsi="宋体" w:cs="宋体"/>
                <w:kern w:val="0"/>
                <w:sz w:val="24"/>
                <w:szCs w:val="24"/>
                <w:lang w:bidi="ar"/>
              </w:rPr>
              <w:br w:type="textWrapping"/>
            </w:r>
            <w:r>
              <w:rPr>
                <w:rFonts w:ascii="宋体" w:hAnsi="宋体" w:cs="宋体"/>
                <w:kern w:val="0"/>
                <w:sz w:val="24"/>
                <w:szCs w:val="24"/>
                <w:lang w:bidi="ar"/>
              </w:rPr>
              <w:t>盘点入库：系统首次使用时，将仓库现有物品办理盘点入库，并生成盘点入库单，适用于各级仓库</w:t>
            </w:r>
            <w:r>
              <w:rPr>
                <w:rFonts w:ascii="宋体" w:hAnsi="宋体" w:cs="宋体"/>
                <w:kern w:val="0"/>
                <w:sz w:val="24"/>
                <w:szCs w:val="24"/>
                <w:lang w:bidi="ar"/>
              </w:rPr>
              <w:br w:type="textWrapping"/>
            </w:r>
            <w:r>
              <w:rPr>
                <w:rFonts w:ascii="宋体" w:hAnsi="宋体" w:cs="宋体"/>
                <w:kern w:val="0"/>
                <w:sz w:val="24"/>
                <w:szCs w:val="24"/>
                <w:lang w:bidi="ar"/>
              </w:rPr>
              <w:t>调拨入库：对上级部门调拨的物品办理调拨入库，并生成调拨入库单，适用于一级仓库</w:t>
            </w:r>
            <w:r>
              <w:rPr>
                <w:rFonts w:ascii="宋体" w:hAnsi="宋体" w:cs="宋体"/>
                <w:kern w:val="0"/>
                <w:sz w:val="24"/>
                <w:szCs w:val="24"/>
                <w:lang w:bidi="ar"/>
              </w:rPr>
              <w:br w:type="textWrapping"/>
            </w:r>
            <w:r>
              <w:rPr>
                <w:rFonts w:ascii="宋体" w:hAnsi="宋体" w:cs="宋体"/>
                <w:kern w:val="0"/>
                <w:sz w:val="24"/>
                <w:szCs w:val="24"/>
                <w:lang w:bidi="ar"/>
              </w:rPr>
              <w:t>捐赠入库：对接收捐赠的物品办理捐赠入库，并生成捐赠入库单，适用于一级仓库</w:t>
            </w:r>
            <w:r>
              <w:rPr>
                <w:rFonts w:ascii="宋体" w:hAnsi="宋体" w:cs="宋体"/>
                <w:kern w:val="0"/>
                <w:sz w:val="24"/>
                <w:szCs w:val="24"/>
                <w:lang w:bidi="ar"/>
              </w:rPr>
              <w:br w:type="textWrapping"/>
            </w:r>
            <w:r>
              <w:rPr>
                <w:rFonts w:ascii="宋体" w:hAnsi="宋体" w:cs="宋体"/>
                <w:kern w:val="0"/>
                <w:sz w:val="24"/>
                <w:szCs w:val="24"/>
                <w:lang w:bidi="ar"/>
              </w:rPr>
              <w:t>调剂入库：用于接收同级仓库调剂过来的物品。适用于同级仓库，且拥有相同的物品。</w:t>
            </w:r>
            <w:r>
              <w:rPr>
                <w:rFonts w:ascii="宋体" w:hAnsi="宋体" w:cs="宋体"/>
                <w:kern w:val="0"/>
                <w:sz w:val="24"/>
                <w:szCs w:val="24"/>
                <w:lang w:bidi="ar"/>
              </w:rPr>
              <w:br w:type="textWrapping"/>
            </w:r>
            <w:r>
              <w:rPr>
                <w:rFonts w:ascii="宋体" w:hAnsi="宋体" w:cs="宋体"/>
                <w:kern w:val="0"/>
                <w:sz w:val="24"/>
                <w:szCs w:val="24"/>
                <w:lang w:bidi="ar"/>
              </w:rPr>
              <w:t>直入直出：单次入库的所有物品全部出到某科室仓库，入库审核时能自动生成出库单，适用于一级仓库。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2</w:t>
            </w:r>
          </w:p>
        </w:tc>
        <w:tc>
          <w:tcPr>
            <w:tcW w:w="874" w:type="pct"/>
            <w:vMerge w:val="continue"/>
            <w:noWrap/>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入库单查询</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对已经入库的入库单查询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3</w:t>
            </w:r>
          </w:p>
        </w:tc>
        <w:tc>
          <w:tcPr>
            <w:tcW w:w="874" w:type="pct"/>
            <w:vMerge w:val="continue"/>
            <w:noWrap/>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入库明细查询</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对已经入库的入库物品明细查询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4</w:t>
            </w:r>
          </w:p>
        </w:tc>
        <w:tc>
          <w:tcPr>
            <w:tcW w:w="874" w:type="pct"/>
            <w:vMerge w:val="continue"/>
            <w:noWrap/>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库房退货</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库房退库：将正常入库的物品退回至供货商，适用于一级仓库</w:t>
            </w:r>
            <w:r>
              <w:rPr>
                <w:rFonts w:ascii="宋体" w:hAnsi="宋体" w:cs="宋体"/>
                <w:kern w:val="0"/>
                <w:sz w:val="24"/>
                <w:szCs w:val="24"/>
                <w:lang w:bidi="ar"/>
              </w:rPr>
              <w:br w:type="textWrapping"/>
            </w:r>
            <w:r>
              <w:rPr>
                <w:rFonts w:ascii="宋体" w:hAnsi="宋体" w:cs="宋体"/>
                <w:kern w:val="0"/>
                <w:sz w:val="24"/>
                <w:szCs w:val="24"/>
                <w:lang w:bidi="ar"/>
              </w:rPr>
              <w:t>特殊退库：将盘点入库的商品退回至供货商，适用于一级仓库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5</w:t>
            </w:r>
          </w:p>
        </w:tc>
        <w:tc>
          <w:tcPr>
            <w:tcW w:w="874" w:type="pct"/>
            <w:vMerge w:val="continue"/>
            <w:noWrap/>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物品入库明细汇总</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对在一段时间内的入库物品进行汇总，汇总出物品、规格、单位、价格、入库数量等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6</w:t>
            </w:r>
          </w:p>
        </w:tc>
        <w:tc>
          <w:tcPr>
            <w:tcW w:w="874" w:type="pct"/>
            <w:vMerge w:val="restart"/>
            <w:noWrap/>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出库管理</w:t>
            </w: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领用出库</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对其它部门领用的物品办理领用出库，并生成领用出库单，支持请用申请单的处理，适用于末级仓库外的其它仓库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7</w:t>
            </w:r>
          </w:p>
        </w:tc>
        <w:tc>
          <w:tcPr>
            <w:tcW w:w="874" w:type="pct"/>
            <w:vMerge w:val="continue"/>
            <w:noWrap/>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调剂出库</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将本科物品调剂到其它的同级仓库。适用于同级仓库，且拥有相同的物品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8</w:t>
            </w:r>
          </w:p>
        </w:tc>
        <w:tc>
          <w:tcPr>
            <w:tcW w:w="874" w:type="pct"/>
            <w:vMerge w:val="continue"/>
            <w:noWrap/>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请领出库</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对科室申请的物品进行出库操作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9</w:t>
            </w:r>
          </w:p>
        </w:tc>
        <w:tc>
          <w:tcPr>
            <w:tcW w:w="874" w:type="pct"/>
            <w:vMerge w:val="continue"/>
            <w:noWrap/>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科室退库</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科室退库：退回科室正常领用的物品，适用于末级仓库外的其它仓库</w:t>
            </w:r>
            <w:r>
              <w:rPr>
                <w:rFonts w:ascii="宋体" w:hAnsi="宋体" w:cs="宋体"/>
                <w:kern w:val="0"/>
                <w:sz w:val="24"/>
                <w:szCs w:val="24"/>
                <w:lang w:bidi="ar"/>
              </w:rPr>
              <w:br w:type="textWrapping"/>
            </w:r>
            <w:r>
              <w:rPr>
                <w:rFonts w:ascii="宋体" w:hAnsi="宋体" w:cs="宋体"/>
                <w:kern w:val="0"/>
                <w:sz w:val="24"/>
                <w:szCs w:val="24"/>
                <w:lang w:bidi="ar"/>
              </w:rPr>
              <w:t>其它退库：退回科室非正常领用的物品，如盘点入库物品，适用于末级仓库外的其它仓库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10</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出库单查询</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对已经出库的物品的单子查询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11</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出库单明细查询</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对已经出库的物品的单子的明细信息查询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12</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物品出库明细汇总</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对已经出库的物品进行汇总，汇总出物品、规格、单位、价格、出库数量等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13</w:t>
            </w:r>
          </w:p>
        </w:tc>
        <w:tc>
          <w:tcPr>
            <w:tcW w:w="874" w:type="pct"/>
            <w:vMerge w:val="restar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申购管理</w:t>
            </w: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领用申请</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向上级仓库发出领用申请，并生成领用申请单，适用于一级仓库外的所有仓库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14</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采购申请</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对于不备货物品，向上级仓库发出采购申请，并生成采购申请单，适用于一级仓库外的所有仓库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15</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申请查询</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对已经申请的物品进行查询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16</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采购计划生成</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依据领用申请单、库存预警信息、物品领用信息生成采购计划单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17</w:t>
            </w:r>
          </w:p>
        </w:tc>
        <w:tc>
          <w:tcPr>
            <w:tcW w:w="874" w:type="pct"/>
            <w:vMerge w:val="restar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科室耗用</w:t>
            </w: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自动耗用</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物料耗用模式为自动耗用的，出库单生成时，自动生成科室耗用单，库存科室不作管理。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18</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手工耗用</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物料耗用模式为自动耗用的，科室自己管理库存。根据消耗情况，手工录入科室耗用单据。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19</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HIS记账</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与HIS无缝对接，下医嘱时自动关联物料，记账时自动扣减科室库存。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20</w:t>
            </w:r>
          </w:p>
        </w:tc>
        <w:tc>
          <w:tcPr>
            <w:tcW w:w="874" w:type="pct"/>
            <w:vMerge w:val="restar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库存管理</w:t>
            </w: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库存盘点</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月末将库存信息进行盘点结存，并生成库存结存单，盘盈盘亏处理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21</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效期预警</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对物品的有效截止日期前N天进行智能预警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22</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安全库存预警</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对低于安全库存线的物品进行智能预警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23</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短缺货预警</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对低于短缺库存线的物品进行智能预警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24</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库存查询</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对当前登录仓库的库存查询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25</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库存结存查询</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对历史库存结存的数据的查询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26</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期末结转</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仓库月末结账，默认是月末结账，可手工调整结账日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27</w:t>
            </w:r>
          </w:p>
        </w:tc>
        <w:tc>
          <w:tcPr>
            <w:tcW w:w="874" w:type="pct"/>
            <w:vMerge w:val="restar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统计分析</w:t>
            </w: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物品进销存</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按会计期间统计期初、购入、发出、报废、盘点、期末结存数据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28</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入库汇总表</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按供应商、按物料分类统计入库汇总信息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29</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出库汇总表</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统计科室领用物品信息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30</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库存余额表</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实时查询仓库当前库存信息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31</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期末库存查询</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查询每月的期末库存查询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32</w:t>
            </w:r>
          </w:p>
        </w:tc>
        <w:tc>
          <w:tcPr>
            <w:tcW w:w="874" w:type="pct"/>
            <w:vMerge w:val="restar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基础信息</w:t>
            </w: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仓库基础</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维护仓库数据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33</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供应商</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维护供应商数据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34</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制造商</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维护制造商数据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35</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供应商送货人</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供应商送货人维护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36</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物料基础信息</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维护物料基础信息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37</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仓库与物料关系</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维护仓库与物料关系数据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38</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字典维护</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维护字典数据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39</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仓库与部门关系</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维护仓库与部门关系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40</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职员信息</w:t>
            </w:r>
          </w:p>
        </w:tc>
        <w:tc>
          <w:tcPr>
            <w:tcW w:w="2835" w:type="pct"/>
            <w:noWrap w:val="0"/>
            <w:vAlign w:val="center"/>
          </w:tcPr>
          <w:p>
            <w:pPr>
              <w:jc w:val="left"/>
              <w:textAlignment w:val="center"/>
              <w:rPr>
                <w:rFonts w:hint="default" w:ascii="宋体" w:hAnsi="宋体" w:cs="宋体"/>
                <w:kern w:val="0"/>
                <w:sz w:val="24"/>
                <w:szCs w:val="24"/>
              </w:rPr>
            </w:pPr>
            <w:r>
              <w:rPr>
                <w:rFonts w:ascii="宋体" w:hAnsi="宋体" w:cs="宋体"/>
                <w:kern w:val="0"/>
                <w:sz w:val="24"/>
                <w:szCs w:val="24"/>
                <w:lang w:bidi="ar"/>
              </w:rPr>
              <w:t>维护职员信息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41</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lang w:bidi="ar"/>
              </w:rPr>
            </w:pPr>
            <w:r>
              <w:rPr>
                <w:rFonts w:ascii="宋体" w:hAnsi="宋体" w:cs="宋体"/>
                <w:kern w:val="0"/>
                <w:sz w:val="24"/>
                <w:szCs w:val="24"/>
                <w:lang w:bidi="ar"/>
              </w:rPr>
              <w:t>部门信息</w:t>
            </w:r>
          </w:p>
        </w:tc>
        <w:tc>
          <w:tcPr>
            <w:tcW w:w="2835" w:type="pct"/>
            <w:noWrap w:val="0"/>
            <w:vAlign w:val="center"/>
          </w:tcPr>
          <w:p>
            <w:pPr>
              <w:jc w:val="left"/>
              <w:textAlignment w:val="center"/>
              <w:rPr>
                <w:rFonts w:hint="default" w:ascii="宋体" w:hAnsi="宋体" w:cs="宋体"/>
                <w:kern w:val="0"/>
                <w:sz w:val="24"/>
                <w:szCs w:val="24"/>
                <w:lang w:bidi="ar"/>
              </w:rPr>
            </w:pPr>
            <w:r>
              <w:rPr>
                <w:rFonts w:ascii="宋体" w:hAnsi="宋体" w:cs="宋体"/>
                <w:kern w:val="0"/>
                <w:sz w:val="24"/>
                <w:szCs w:val="24"/>
                <w:lang w:bidi="ar"/>
              </w:rPr>
              <w:t>维护部门信息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19" w:type="pct"/>
            <w:noWrap w:val="0"/>
            <w:vAlign w:val="center"/>
          </w:tcPr>
          <w:p>
            <w:pPr>
              <w:jc w:val="center"/>
              <w:rPr>
                <w:rFonts w:hint="default" w:ascii="宋体" w:hAnsi="宋体" w:cs="宋体"/>
                <w:kern w:val="0"/>
                <w:sz w:val="24"/>
                <w:szCs w:val="24"/>
                <w:lang w:bidi="ar"/>
              </w:rPr>
            </w:pPr>
            <w:r>
              <w:rPr>
                <w:rFonts w:ascii="宋体" w:hAnsi="宋体" w:cs="宋体"/>
                <w:kern w:val="0"/>
                <w:sz w:val="24"/>
                <w:szCs w:val="24"/>
                <w:lang w:bidi="ar"/>
              </w:rPr>
              <w:t>42</w:t>
            </w:r>
          </w:p>
        </w:tc>
        <w:tc>
          <w:tcPr>
            <w:tcW w:w="874" w:type="pct"/>
            <w:vMerge w:val="continue"/>
            <w:noWrap w:val="0"/>
            <w:vAlign w:val="center"/>
          </w:tcPr>
          <w:p>
            <w:pPr>
              <w:jc w:val="left"/>
              <w:rPr>
                <w:rFonts w:hint="default" w:ascii="宋体" w:hAnsi="宋体" w:cs="宋体"/>
                <w:kern w:val="0"/>
                <w:sz w:val="24"/>
                <w:szCs w:val="24"/>
              </w:rPr>
            </w:pPr>
          </w:p>
        </w:tc>
        <w:tc>
          <w:tcPr>
            <w:tcW w:w="872" w:type="pct"/>
            <w:noWrap w:val="0"/>
            <w:vAlign w:val="center"/>
          </w:tcPr>
          <w:p>
            <w:pPr>
              <w:jc w:val="left"/>
              <w:textAlignment w:val="center"/>
              <w:rPr>
                <w:rFonts w:hint="default" w:ascii="宋体" w:hAnsi="宋体" w:cs="宋体"/>
                <w:kern w:val="0"/>
                <w:sz w:val="24"/>
                <w:szCs w:val="24"/>
                <w:lang w:bidi="ar"/>
              </w:rPr>
            </w:pPr>
            <w:r>
              <w:rPr>
                <w:rFonts w:ascii="宋体" w:hAnsi="宋体" w:cs="宋体"/>
                <w:kern w:val="0"/>
                <w:sz w:val="24"/>
                <w:szCs w:val="24"/>
                <w:lang w:bidi="ar"/>
              </w:rPr>
              <w:t>职员与部门关系</w:t>
            </w:r>
          </w:p>
        </w:tc>
        <w:tc>
          <w:tcPr>
            <w:tcW w:w="2835" w:type="pct"/>
            <w:noWrap w:val="0"/>
            <w:vAlign w:val="center"/>
          </w:tcPr>
          <w:p>
            <w:pPr>
              <w:jc w:val="left"/>
              <w:textAlignment w:val="center"/>
              <w:rPr>
                <w:rFonts w:hint="default" w:ascii="宋体" w:hAnsi="宋体" w:cs="宋体"/>
                <w:kern w:val="0"/>
                <w:sz w:val="24"/>
                <w:szCs w:val="24"/>
                <w:lang w:bidi="ar"/>
              </w:rPr>
            </w:pPr>
            <w:r>
              <w:rPr>
                <w:rFonts w:ascii="宋体" w:hAnsi="宋体" w:cs="宋体"/>
                <w:kern w:val="0"/>
                <w:sz w:val="24"/>
                <w:szCs w:val="24"/>
                <w:lang w:bidi="ar"/>
              </w:rPr>
              <w:t>维护职员与部门信息</w:t>
            </w:r>
          </w:p>
        </w:tc>
      </w:tr>
    </w:tbl>
    <w:p>
      <w:pPr>
        <w:rPr>
          <w:rFonts w:hint="default"/>
        </w:rPr>
      </w:pPr>
    </w:p>
    <w:p>
      <w:pPr>
        <w:pStyle w:val="5"/>
        <w:numPr>
          <w:ilvl w:val="2"/>
          <w:numId w:val="5"/>
        </w:numPr>
        <w:spacing w:before="0" w:after="0" w:line="360" w:lineRule="auto"/>
        <w:rPr>
          <w:rFonts w:ascii="宋体" w:hAnsi="宋体"/>
        </w:rPr>
      </w:pPr>
      <w:r>
        <w:rPr>
          <w:rFonts w:hint="eastAsia" w:ascii="宋体" w:hAnsi="宋体" w:eastAsia="宋体"/>
        </w:rPr>
        <w:t>诊室分诊叫号系统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987"/>
        <w:gridCol w:w="5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blHeader/>
        </w:trPr>
        <w:tc>
          <w:tcPr>
            <w:tcW w:w="41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1166"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415"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1166" w:type="pct"/>
            <w:noWrap w:val="0"/>
            <w:vAlign w:val="center"/>
          </w:tcPr>
          <w:p>
            <w:pPr>
              <w:rPr>
                <w:rFonts w:hint="default" w:ascii="宋体" w:hAnsi="宋体" w:cs="宋体"/>
                <w:kern w:val="0"/>
                <w:sz w:val="24"/>
                <w:szCs w:val="24"/>
              </w:rPr>
            </w:pPr>
            <w:r>
              <w:rPr>
                <w:rFonts w:ascii="宋体" w:hAnsi="宋体" w:cs="宋体"/>
                <w:kern w:val="0"/>
                <w:sz w:val="24"/>
                <w:szCs w:val="24"/>
              </w:rPr>
              <w:t>分诊登记</w:t>
            </w:r>
          </w:p>
        </w:tc>
        <w:tc>
          <w:tcPr>
            <w:tcW w:w="3415" w:type="pct"/>
            <w:noWrap w:val="0"/>
            <w:vAlign w:val="center"/>
          </w:tcPr>
          <w:p>
            <w:pPr>
              <w:rPr>
                <w:rFonts w:hint="default" w:ascii="宋体" w:hAnsi="宋体" w:cs="宋体"/>
                <w:kern w:val="0"/>
                <w:sz w:val="24"/>
                <w:szCs w:val="24"/>
              </w:rPr>
            </w:pPr>
            <w:r>
              <w:rPr>
                <w:rFonts w:ascii="宋体" w:hAnsi="宋体" w:cs="宋体"/>
                <w:kern w:val="0"/>
                <w:sz w:val="24"/>
                <w:szCs w:val="24"/>
              </w:rPr>
              <w:t>1)对已挂号病人进行分诊登记，对未挂号病人进行挂号分诊登记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1166" w:type="pct"/>
            <w:noWrap w:val="0"/>
            <w:vAlign w:val="center"/>
          </w:tcPr>
          <w:p>
            <w:pPr>
              <w:rPr>
                <w:rFonts w:hint="default" w:ascii="宋体" w:hAnsi="宋体" w:cs="宋体"/>
                <w:kern w:val="0"/>
                <w:sz w:val="24"/>
                <w:szCs w:val="24"/>
              </w:rPr>
            </w:pPr>
            <w:r>
              <w:rPr>
                <w:rFonts w:ascii="宋体" w:hAnsi="宋体" w:cs="宋体"/>
                <w:kern w:val="0"/>
                <w:sz w:val="24"/>
                <w:szCs w:val="24"/>
              </w:rPr>
              <w:t>修改病人信息</w:t>
            </w:r>
          </w:p>
        </w:tc>
        <w:tc>
          <w:tcPr>
            <w:tcW w:w="3415" w:type="pct"/>
            <w:noWrap w:val="0"/>
            <w:vAlign w:val="center"/>
          </w:tcPr>
          <w:p>
            <w:pPr>
              <w:rPr>
                <w:rFonts w:hint="default" w:ascii="宋体" w:hAnsi="宋体" w:cs="宋体"/>
                <w:kern w:val="0"/>
                <w:sz w:val="24"/>
                <w:szCs w:val="24"/>
              </w:rPr>
            </w:pPr>
            <w:r>
              <w:rPr>
                <w:rFonts w:ascii="宋体" w:hAnsi="宋体" w:cs="宋体"/>
                <w:kern w:val="0"/>
                <w:sz w:val="24"/>
                <w:szCs w:val="24"/>
              </w:rPr>
              <w:t>1)修改病人的基本信息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1166" w:type="pct"/>
            <w:noWrap w:val="0"/>
            <w:vAlign w:val="center"/>
          </w:tcPr>
          <w:p>
            <w:pPr>
              <w:rPr>
                <w:rFonts w:hint="default" w:ascii="宋体" w:hAnsi="宋体" w:cs="宋体"/>
                <w:kern w:val="0"/>
                <w:sz w:val="24"/>
                <w:szCs w:val="24"/>
              </w:rPr>
            </w:pPr>
            <w:r>
              <w:rPr>
                <w:rFonts w:ascii="宋体" w:hAnsi="宋体" w:cs="宋体"/>
                <w:kern w:val="0"/>
                <w:sz w:val="24"/>
                <w:szCs w:val="24"/>
              </w:rPr>
              <w:t>挂号流水帐</w:t>
            </w:r>
          </w:p>
        </w:tc>
        <w:tc>
          <w:tcPr>
            <w:tcW w:w="3415" w:type="pct"/>
            <w:noWrap w:val="0"/>
            <w:vAlign w:val="center"/>
          </w:tcPr>
          <w:p>
            <w:pPr>
              <w:rPr>
                <w:rFonts w:hint="default" w:ascii="宋体" w:hAnsi="宋体" w:cs="宋体"/>
                <w:kern w:val="0"/>
                <w:sz w:val="24"/>
                <w:szCs w:val="24"/>
              </w:rPr>
            </w:pPr>
            <w:r>
              <w:rPr>
                <w:rFonts w:ascii="宋体" w:hAnsi="宋体" w:cs="宋体"/>
                <w:kern w:val="0"/>
                <w:sz w:val="24"/>
                <w:szCs w:val="24"/>
              </w:rPr>
              <w:t>1)查询挂号流水账信息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1166" w:type="pct"/>
            <w:noWrap w:val="0"/>
            <w:vAlign w:val="center"/>
          </w:tcPr>
          <w:p>
            <w:pPr>
              <w:rPr>
                <w:rFonts w:hint="default" w:ascii="宋体" w:hAnsi="宋体" w:cs="宋体"/>
                <w:kern w:val="0"/>
                <w:sz w:val="24"/>
                <w:szCs w:val="24"/>
              </w:rPr>
            </w:pPr>
            <w:r>
              <w:rPr>
                <w:rFonts w:ascii="宋体" w:hAnsi="宋体" w:cs="宋体"/>
                <w:kern w:val="0"/>
                <w:sz w:val="24"/>
                <w:szCs w:val="24"/>
              </w:rPr>
              <w:t>退费流水帐</w:t>
            </w:r>
          </w:p>
        </w:tc>
        <w:tc>
          <w:tcPr>
            <w:tcW w:w="3415" w:type="pct"/>
            <w:noWrap w:val="0"/>
            <w:vAlign w:val="center"/>
          </w:tcPr>
          <w:p>
            <w:pPr>
              <w:rPr>
                <w:rFonts w:hint="default" w:ascii="宋体" w:hAnsi="宋体" w:cs="宋体"/>
                <w:kern w:val="0"/>
                <w:sz w:val="24"/>
                <w:szCs w:val="24"/>
              </w:rPr>
            </w:pPr>
            <w:r>
              <w:rPr>
                <w:rFonts w:ascii="宋体" w:hAnsi="宋体" w:cs="宋体"/>
                <w:kern w:val="0"/>
                <w:sz w:val="24"/>
                <w:szCs w:val="24"/>
              </w:rPr>
              <w:t>1)查询退挂号费流水账信息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1166" w:type="pct"/>
            <w:noWrap w:val="0"/>
            <w:vAlign w:val="center"/>
          </w:tcPr>
          <w:p>
            <w:pPr>
              <w:rPr>
                <w:rFonts w:hint="default" w:ascii="宋体" w:hAnsi="宋体" w:cs="宋体"/>
                <w:kern w:val="0"/>
                <w:sz w:val="24"/>
                <w:szCs w:val="24"/>
              </w:rPr>
            </w:pPr>
            <w:r>
              <w:rPr>
                <w:rFonts w:ascii="宋体" w:hAnsi="宋体" w:cs="宋体"/>
                <w:kern w:val="0"/>
                <w:sz w:val="24"/>
                <w:szCs w:val="24"/>
              </w:rPr>
              <w:t>预约挂号信息查询</w:t>
            </w:r>
          </w:p>
        </w:tc>
        <w:tc>
          <w:tcPr>
            <w:tcW w:w="3415" w:type="pct"/>
            <w:noWrap w:val="0"/>
            <w:vAlign w:val="center"/>
          </w:tcPr>
          <w:p>
            <w:pPr>
              <w:rPr>
                <w:rFonts w:hint="default" w:ascii="宋体" w:hAnsi="宋体" w:cs="宋体"/>
                <w:kern w:val="0"/>
                <w:sz w:val="24"/>
                <w:szCs w:val="24"/>
              </w:rPr>
            </w:pPr>
            <w:r>
              <w:rPr>
                <w:rFonts w:ascii="宋体" w:hAnsi="宋体" w:cs="宋体"/>
                <w:kern w:val="0"/>
                <w:sz w:val="24"/>
                <w:szCs w:val="24"/>
              </w:rPr>
              <w:t>1)查询预约挂号病人信息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1166" w:type="pct"/>
            <w:noWrap w:val="0"/>
            <w:vAlign w:val="center"/>
          </w:tcPr>
          <w:p>
            <w:pPr>
              <w:rPr>
                <w:rFonts w:hint="default" w:ascii="宋体" w:hAnsi="宋体" w:cs="宋体"/>
                <w:kern w:val="0"/>
                <w:sz w:val="24"/>
                <w:szCs w:val="24"/>
              </w:rPr>
            </w:pPr>
            <w:r>
              <w:rPr>
                <w:rFonts w:ascii="宋体" w:hAnsi="宋体" w:cs="宋体"/>
                <w:kern w:val="0"/>
                <w:sz w:val="24"/>
                <w:szCs w:val="24"/>
              </w:rPr>
              <w:t>操作员结算</w:t>
            </w:r>
          </w:p>
        </w:tc>
        <w:tc>
          <w:tcPr>
            <w:tcW w:w="3415" w:type="pct"/>
            <w:noWrap w:val="0"/>
            <w:vAlign w:val="center"/>
          </w:tcPr>
          <w:p>
            <w:pPr>
              <w:rPr>
                <w:rFonts w:hint="default" w:ascii="宋体" w:hAnsi="宋体" w:cs="宋体"/>
                <w:kern w:val="0"/>
                <w:sz w:val="24"/>
                <w:szCs w:val="24"/>
              </w:rPr>
            </w:pPr>
            <w:r>
              <w:rPr>
                <w:rFonts w:ascii="宋体" w:hAnsi="宋体" w:cs="宋体"/>
                <w:kern w:val="0"/>
                <w:sz w:val="24"/>
                <w:szCs w:val="24"/>
              </w:rPr>
              <w:t>1)挂号操作员日结算，统计挂号、退号金额及人次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1166" w:type="pct"/>
            <w:noWrap w:val="0"/>
            <w:vAlign w:val="center"/>
          </w:tcPr>
          <w:p>
            <w:pPr>
              <w:rPr>
                <w:rFonts w:hint="default" w:ascii="宋体" w:hAnsi="宋体" w:cs="宋体"/>
                <w:kern w:val="0"/>
                <w:sz w:val="24"/>
                <w:szCs w:val="24"/>
              </w:rPr>
            </w:pPr>
            <w:r>
              <w:rPr>
                <w:rFonts w:ascii="宋体" w:hAnsi="宋体" w:cs="宋体"/>
                <w:kern w:val="0"/>
                <w:sz w:val="24"/>
                <w:szCs w:val="24"/>
              </w:rPr>
              <w:t>操作员结算查询</w:t>
            </w:r>
          </w:p>
        </w:tc>
        <w:tc>
          <w:tcPr>
            <w:tcW w:w="3415" w:type="pct"/>
            <w:noWrap w:val="0"/>
            <w:vAlign w:val="center"/>
          </w:tcPr>
          <w:p>
            <w:pPr>
              <w:rPr>
                <w:rFonts w:hint="default" w:ascii="宋体" w:hAnsi="宋体" w:cs="宋体"/>
                <w:kern w:val="0"/>
                <w:sz w:val="24"/>
                <w:szCs w:val="24"/>
              </w:rPr>
            </w:pPr>
            <w:r>
              <w:rPr>
                <w:rFonts w:ascii="宋体" w:hAnsi="宋体" w:cs="宋体"/>
                <w:kern w:val="0"/>
                <w:sz w:val="24"/>
                <w:szCs w:val="24"/>
              </w:rPr>
              <w:t>1)用户查询操作员日结账信息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1166" w:type="pct"/>
            <w:noWrap w:val="0"/>
            <w:vAlign w:val="center"/>
          </w:tcPr>
          <w:p>
            <w:pPr>
              <w:rPr>
                <w:rFonts w:hint="default" w:ascii="宋体" w:hAnsi="宋体" w:cs="宋体"/>
                <w:kern w:val="0"/>
                <w:sz w:val="24"/>
                <w:szCs w:val="24"/>
              </w:rPr>
            </w:pPr>
            <w:r>
              <w:rPr>
                <w:rFonts w:ascii="宋体" w:hAnsi="宋体" w:cs="宋体"/>
                <w:kern w:val="0"/>
                <w:sz w:val="24"/>
                <w:szCs w:val="24"/>
              </w:rPr>
              <w:t>挂号日报</w:t>
            </w:r>
          </w:p>
        </w:tc>
        <w:tc>
          <w:tcPr>
            <w:tcW w:w="3415" w:type="pct"/>
            <w:noWrap w:val="0"/>
            <w:vAlign w:val="center"/>
          </w:tcPr>
          <w:p>
            <w:pPr>
              <w:rPr>
                <w:rFonts w:hint="default" w:ascii="宋体" w:hAnsi="宋体" w:cs="宋体"/>
                <w:kern w:val="0"/>
                <w:sz w:val="24"/>
                <w:szCs w:val="24"/>
              </w:rPr>
            </w:pPr>
            <w:r>
              <w:rPr>
                <w:rFonts w:ascii="宋体" w:hAnsi="宋体" w:cs="宋体"/>
                <w:kern w:val="0"/>
                <w:sz w:val="24"/>
                <w:szCs w:val="24"/>
              </w:rPr>
              <w:t>1)用于统计一段时间内各挂号科室不同就诊类型的挂号和退号的人次及金额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1166" w:type="pct"/>
            <w:noWrap w:val="0"/>
            <w:vAlign w:val="center"/>
          </w:tcPr>
          <w:p>
            <w:pPr>
              <w:rPr>
                <w:rFonts w:hint="default" w:ascii="宋体" w:hAnsi="宋体" w:cs="宋体"/>
                <w:kern w:val="0"/>
                <w:sz w:val="24"/>
                <w:szCs w:val="24"/>
              </w:rPr>
            </w:pPr>
            <w:r>
              <w:rPr>
                <w:rFonts w:ascii="宋体" w:hAnsi="宋体" w:cs="宋体"/>
                <w:kern w:val="0"/>
                <w:sz w:val="24"/>
                <w:szCs w:val="24"/>
              </w:rPr>
              <w:t>医师工作量</w:t>
            </w:r>
          </w:p>
        </w:tc>
        <w:tc>
          <w:tcPr>
            <w:tcW w:w="3415" w:type="pct"/>
            <w:noWrap w:val="0"/>
            <w:vAlign w:val="center"/>
          </w:tcPr>
          <w:p>
            <w:pPr>
              <w:rPr>
                <w:rFonts w:hint="default" w:ascii="宋体" w:hAnsi="宋体" w:cs="宋体"/>
                <w:kern w:val="0"/>
                <w:sz w:val="24"/>
                <w:szCs w:val="24"/>
              </w:rPr>
            </w:pPr>
            <w:r>
              <w:rPr>
                <w:rFonts w:ascii="宋体" w:hAnsi="宋体" w:cs="宋体"/>
                <w:kern w:val="0"/>
                <w:sz w:val="24"/>
                <w:szCs w:val="24"/>
              </w:rPr>
              <w:t>1)统计各科室医生的挂号人次及金额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1166" w:type="pct"/>
            <w:noWrap w:val="0"/>
            <w:vAlign w:val="center"/>
          </w:tcPr>
          <w:p>
            <w:pPr>
              <w:rPr>
                <w:rFonts w:hint="default" w:ascii="宋体" w:hAnsi="宋体" w:cs="宋体"/>
                <w:kern w:val="0"/>
                <w:sz w:val="24"/>
                <w:szCs w:val="24"/>
              </w:rPr>
            </w:pPr>
            <w:r>
              <w:rPr>
                <w:rFonts w:ascii="宋体" w:hAnsi="宋体" w:cs="宋体"/>
                <w:kern w:val="0"/>
                <w:sz w:val="24"/>
                <w:szCs w:val="24"/>
              </w:rPr>
              <w:t>操作员工作量</w:t>
            </w:r>
          </w:p>
        </w:tc>
        <w:tc>
          <w:tcPr>
            <w:tcW w:w="3415" w:type="pct"/>
            <w:noWrap w:val="0"/>
            <w:vAlign w:val="center"/>
          </w:tcPr>
          <w:p>
            <w:pPr>
              <w:rPr>
                <w:rFonts w:hint="default" w:ascii="宋体" w:hAnsi="宋体" w:cs="宋体"/>
                <w:kern w:val="0"/>
                <w:sz w:val="24"/>
                <w:szCs w:val="24"/>
              </w:rPr>
            </w:pPr>
            <w:r>
              <w:rPr>
                <w:rFonts w:ascii="宋体" w:hAnsi="宋体" w:cs="宋体"/>
                <w:kern w:val="0"/>
                <w:sz w:val="24"/>
                <w:szCs w:val="24"/>
              </w:rPr>
              <w:t>1)统计操作员挂号的人次及金额，支持按时间段和科室查询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1166" w:type="pct"/>
            <w:noWrap w:val="0"/>
            <w:vAlign w:val="center"/>
          </w:tcPr>
          <w:p>
            <w:pPr>
              <w:rPr>
                <w:rFonts w:hint="default" w:ascii="宋体" w:hAnsi="宋体" w:cs="宋体"/>
                <w:kern w:val="0"/>
                <w:sz w:val="24"/>
                <w:szCs w:val="24"/>
              </w:rPr>
            </w:pPr>
            <w:r>
              <w:rPr>
                <w:rFonts w:ascii="宋体" w:hAnsi="宋体" w:cs="宋体"/>
                <w:kern w:val="0"/>
                <w:sz w:val="24"/>
                <w:szCs w:val="24"/>
              </w:rPr>
              <w:t>号表调整</w:t>
            </w:r>
          </w:p>
        </w:tc>
        <w:tc>
          <w:tcPr>
            <w:tcW w:w="3415" w:type="pct"/>
            <w:noWrap w:val="0"/>
            <w:vAlign w:val="center"/>
          </w:tcPr>
          <w:p>
            <w:pPr>
              <w:rPr>
                <w:rFonts w:hint="default" w:ascii="宋体" w:hAnsi="宋体" w:cs="宋体"/>
                <w:kern w:val="0"/>
                <w:sz w:val="24"/>
                <w:szCs w:val="24"/>
              </w:rPr>
            </w:pPr>
            <w:r>
              <w:rPr>
                <w:rFonts w:ascii="宋体" w:hAnsi="宋体" w:cs="宋体"/>
                <w:kern w:val="0"/>
                <w:sz w:val="24"/>
                <w:szCs w:val="24"/>
              </w:rPr>
              <w:t>1)对号表数据进行增加、修改或删除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1166" w:type="pct"/>
            <w:noWrap w:val="0"/>
            <w:vAlign w:val="center"/>
          </w:tcPr>
          <w:p>
            <w:pPr>
              <w:rPr>
                <w:rFonts w:hint="default" w:ascii="宋体" w:hAnsi="宋体" w:cs="宋体"/>
                <w:kern w:val="0"/>
                <w:sz w:val="24"/>
                <w:szCs w:val="24"/>
              </w:rPr>
            </w:pPr>
            <w:r>
              <w:rPr>
                <w:rFonts w:ascii="宋体" w:hAnsi="宋体" w:cs="宋体"/>
                <w:kern w:val="0"/>
                <w:sz w:val="24"/>
                <w:szCs w:val="24"/>
              </w:rPr>
              <w:t>硬件部分</w:t>
            </w:r>
          </w:p>
        </w:tc>
        <w:tc>
          <w:tcPr>
            <w:tcW w:w="3415" w:type="pct"/>
            <w:noWrap w:val="0"/>
            <w:vAlign w:val="center"/>
          </w:tcPr>
          <w:p>
            <w:pPr>
              <w:rPr>
                <w:rFonts w:hint="default" w:ascii="宋体" w:hAnsi="宋体" w:cs="宋体"/>
                <w:kern w:val="0"/>
                <w:sz w:val="24"/>
                <w:szCs w:val="24"/>
              </w:rPr>
            </w:pPr>
            <w:r>
              <w:rPr>
                <w:rFonts w:ascii="宋体" w:hAnsi="宋体" w:cs="宋体"/>
                <w:kern w:val="0"/>
                <w:sz w:val="24"/>
                <w:szCs w:val="24"/>
              </w:rPr>
              <w:t>1)4台候诊区分诊大屏(65寸)+20台诊室门牌屏幕(21.5寸)</w:t>
            </w:r>
          </w:p>
        </w:tc>
      </w:tr>
    </w:tbl>
    <w:p>
      <w:pPr>
        <w:pStyle w:val="5"/>
        <w:numPr>
          <w:ilvl w:val="2"/>
          <w:numId w:val="5"/>
        </w:numPr>
        <w:spacing w:before="0" w:after="0" w:line="360" w:lineRule="auto"/>
        <w:rPr>
          <w:rFonts w:ascii="宋体" w:hAnsi="宋体"/>
        </w:rPr>
      </w:pPr>
      <w:r>
        <w:rPr>
          <w:rFonts w:hint="eastAsia" w:ascii="宋体" w:hAnsi="宋体"/>
        </w:rPr>
        <w:t>取药排队叫号系统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3"/>
        <w:gridCol w:w="1604"/>
        <w:gridCol w:w="61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blHeader/>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941"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63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941" w:type="pct"/>
            <w:noWrap w:val="0"/>
            <w:vAlign w:val="center"/>
          </w:tcPr>
          <w:p>
            <w:pPr>
              <w:jc w:val="center"/>
              <w:rPr>
                <w:rFonts w:hint="default" w:ascii="宋体" w:hAnsi="宋体" w:cs="宋体"/>
                <w:kern w:val="0"/>
                <w:sz w:val="24"/>
                <w:szCs w:val="24"/>
              </w:rPr>
            </w:pPr>
            <w:r>
              <w:rPr>
                <w:rFonts w:ascii="宋体" w:hAnsi="宋体" w:cs="宋体"/>
                <w:kern w:val="0"/>
                <w:sz w:val="24"/>
                <w:szCs w:val="24"/>
              </w:rPr>
              <w:t>叫号功能</w:t>
            </w:r>
          </w:p>
        </w:tc>
        <w:tc>
          <w:tcPr>
            <w:tcW w:w="3634"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支持呼叫已记账病人；</w:t>
            </w:r>
          </w:p>
          <w:p>
            <w:pPr>
              <w:rPr>
                <w:rFonts w:hint="default" w:ascii="宋体" w:hAnsi="宋体" w:cs="宋体"/>
                <w:kern w:val="0"/>
                <w:sz w:val="24"/>
                <w:szCs w:val="24"/>
              </w:rPr>
            </w:pPr>
            <w:r>
              <w:rPr>
                <w:rFonts w:ascii="宋体" w:hAnsi="宋体" w:cs="宋体"/>
                <w:kern w:val="0"/>
                <w:sz w:val="24"/>
                <w:szCs w:val="24"/>
              </w:rPr>
              <w:t>2</w:t>
            </w:r>
            <w:r>
              <w:rPr>
                <w:rFonts w:ascii="宋体" w:hAnsi="宋体"/>
                <w:sz w:val="24"/>
                <w:szCs w:val="24"/>
              </w:rPr>
              <w:t>)</w:t>
            </w:r>
            <w:r>
              <w:rPr>
                <w:rFonts w:ascii="宋体" w:hAnsi="宋体" w:cs="宋体"/>
                <w:kern w:val="0"/>
                <w:sz w:val="24"/>
                <w:szCs w:val="24"/>
              </w:rPr>
              <w:t>支持自定义呼叫位置、呼叫次数、呼叫语速和叫号刷新时间间隔；</w:t>
            </w:r>
          </w:p>
          <w:p>
            <w:pPr>
              <w:rPr>
                <w:rFonts w:hint="default" w:ascii="宋体" w:hAnsi="宋体" w:cs="宋体"/>
                <w:kern w:val="0"/>
                <w:sz w:val="24"/>
                <w:szCs w:val="24"/>
              </w:rPr>
            </w:pPr>
            <w:r>
              <w:rPr>
                <w:rFonts w:ascii="宋体" w:hAnsi="宋体" w:cs="宋体"/>
                <w:kern w:val="0"/>
                <w:sz w:val="24"/>
                <w:szCs w:val="24"/>
              </w:rPr>
              <w:t>3</w:t>
            </w:r>
            <w:r>
              <w:rPr>
                <w:rFonts w:ascii="宋体" w:hAnsi="宋体"/>
                <w:sz w:val="24"/>
                <w:szCs w:val="24"/>
              </w:rPr>
              <w:t>)</w:t>
            </w:r>
            <w:r>
              <w:rPr>
                <w:rFonts w:ascii="宋体" w:hAnsi="宋体" w:cs="宋体"/>
                <w:kern w:val="0"/>
                <w:sz w:val="24"/>
                <w:szCs w:val="24"/>
              </w:rPr>
              <w:t>支持自定义设计叫号内容。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941" w:type="pct"/>
            <w:noWrap w:val="0"/>
            <w:vAlign w:val="center"/>
          </w:tcPr>
          <w:p>
            <w:pPr>
              <w:jc w:val="center"/>
              <w:rPr>
                <w:rFonts w:hint="default" w:ascii="宋体" w:hAnsi="宋体" w:cs="宋体"/>
                <w:kern w:val="0"/>
                <w:sz w:val="24"/>
                <w:szCs w:val="24"/>
              </w:rPr>
            </w:pPr>
            <w:r>
              <w:rPr>
                <w:rFonts w:ascii="宋体" w:hAnsi="宋体" w:cs="宋体"/>
                <w:kern w:val="0"/>
                <w:sz w:val="24"/>
                <w:szCs w:val="24"/>
              </w:rPr>
              <w:t>叫号显示功能</w:t>
            </w:r>
          </w:p>
        </w:tc>
        <w:tc>
          <w:tcPr>
            <w:tcW w:w="3634"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支持液晶屏叫号显示；</w:t>
            </w:r>
          </w:p>
          <w:p>
            <w:pPr>
              <w:rPr>
                <w:rFonts w:hint="default" w:ascii="宋体" w:hAnsi="宋体" w:cs="宋体"/>
                <w:kern w:val="0"/>
                <w:sz w:val="24"/>
                <w:szCs w:val="24"/>
              </w:rPr>
            </w:pPr>
            <w:r>
              <w:rPr>
                <w:rFonts w:ascii="宋体" w:hAnsi="宋体" w:cs="宋体"/>
                <w:kern w:val="0"/>
                <w:sz w:val="24"/>
                <w:szCs w:val="24"/>
              </w:rPr>
              <w:t>2</w:t>
            </w:r>
            <w:r>
              <w:rPr>
                <w:rFonts w:ascii="宋体" w:hAnsi="宋体"/>
                <w:sz w:val="24"/>
                <w:szCs w:val="24"/>
              </w:rPr>
              <w:t>)</w:t>
            </w:r>
            <w:r>
              <w:rPr>
                <w:rFonts w:ascii="宋体" w:hAnsi="宋体" w:cs="宋体"/>
                <w:kern w:val="0"/>
                <w:sz w:val="24"/>
                <w:szCs w:val="24"/>
              </w:rPr>
              <w:t>支持查看未叫号人数；</w:t>
            </w:r>
          </w:p>
          <w:p>
            <w:pPr>
              <w:rPr>
                <w:rFonts w:hint="default" w:ascii="宋体" w:hAnsi="宋体" w:cs="宋体"/>
                <w:kern w:val="0"/>
                <w:sz w:val="24"/>
                <w:szCs w:val="24"/>
              </w:rPr>
            </w:pPr>
            <w:r>
              <w:rPr>
                <w:rFonts w:ascii="宋体" w:hAnsi="宋体" w:cs="宋体"/>
                <w:kern w:val="0"/>
                <w:sz w:val="24"/>
                <w:szCs w:val="24"/>
              </w:rPr>
              <w:t>3</w:t>
            </w:r>
            <w:r>
              <w:rPr>
                <w:rFonts w:ascii="宋体" w:hAnsi="宋体"/>
                <w:sz w:val="24"/>
                <w:szCs w:val="24"/>
              </w:rPr>
              <w:t>)</w:t>
            </w:r>
            <w:r>
              <w:rPr>
                <w:rFonts w:ascii="宋体" w:hAnsi="宋体" w:cs="宋体"/>
                <w:kern w:val="0"/>
                <w:sz w:val="24"/>
                <w:szCs w:val="24"/>
              </w:rPr>
              <w:t>可以自定义屏幕显示信息行数；</w:t>
            </w:r>
          </w:p>
          <w:p>
            <w:pPr>
              <w:rPr>
                <w:rFonts w:hint="default" w:ascii="宋体" w:hAnsi="宋体" w:cs="宋体"/>
                <w:kern w:val="0"/>
                <w:sz w:val="24"/>
                <w:szCs w:val="24"/>
              </w:rPr>
            </w:pPr>
            <w:r>
              <w:rPr>
                <w:rFonts w:ascii="宋体" w:hAnsi="宋体" w:cs="宋体"/>
                <w:kern w:val="0"/>
                <w:sz w:val="24"/>
                <w:szCs w:val="24"/>
              </w:rPr>
              <w:t>4</w:t>
            </w:r>
            <w:r>
              <w:rPr>
                <w:rFonts w:ascii="宋体" w:hAnsi="宋体"/>
                <w:sz w:val="24"/>
                <w:szCs w:val="24"/>
              </w:rPr>
              <w:t>)</w:t>
            </w:r>
            <w:r>
              <w:rPr>
                <w:rFonts w:ascii="宋体" w:hAnsi="宋体" w:cs="宋体"/>
                <w:kern w:val="0"/>
                <w:sz w:val="24"/>
                <w:szCs w:val="24"/>
              </w:rPr>
              <w:t>可以自定义叫号显示界面字体内容和颜色。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941" w:type="pct"/>
            <w:noWrap w:val="0"/>
            <w:vAlign w:val="center"/>
          </w:tcPr>
          <w:p>
            <w:pPr>
              <w:jc w:val="center"/>
              <w:rPr>
                <w:rFonts w:hint="default" w:ascii="宋体" w:hAnsi="宋体" w:cs="宋体"/>
                <w:kern w:val="0"/>
                <w:sz w:val="24"/>
                <w:szCs w:val="24"/>
              </w:rPr>
            </w:pPr>
            <w:r>
              <w:rPr>
                <w:rFonts w:ascii="宋体" w:hAnsi="宋体" w:cs="宋体"/>
                <w:kern w:val="0"/>
                <w:sz w:val="24"/>
                <w:szCs w:val="24"/>
              </w:rPr>
              <w:t>排队记账功能</w:t>
            </w:r>
          </w:p>
        </w:tc>
        <w:tc>
          <w:tcPr>
            <w:tcW w:w="3634" w:type="pct"/>
            <w:noWrap w:val="0"/>
            <w:vAlign w:val="center"/>
          </w:tcPr>
          <w:p>
            <w:pPr>
              <w:rPr>
                <w:rFonts w:hint="default" w:ascii="宋体" w:hAnsi="宋体" w:cs="宋体"/>
                <w:kern w:val="0"/>
                <w:sz w:val="24"/>
                <w:szCs w:val="24"/>
              </w:rPr>
            </w:pPr>
            <w:r>
              <w:rPr>
                <w:rFonts w:ascii="宋体" w:hAnsi="宋体" w:cs="宋体"/>
                <w:kern w:val="0"/>
                <w:sz w:val="24"/>
                <w:szCs w:val="24"/>
              </w:rPr>
              <w:t>1</w:t>
            </w:r>
            <w:r>
              <w:rPr>
                <w:rFonts w:ascii="宋体" w:hAnsi="宋体"/>
                <w:sz w:val="24"/>
                <w:szCs w:val="24"/>
              </w:rPr>
              <w:t>)</w:t>
            </w:r>
            <w:r>
              <w:rPr>
                <w:rFonts w:ascii="宋体" w:hAnsi="宋体" w:cs="宋体"/>
                <w:kern w:val="0"/>
                <w:sz w:val="24"/>
                <w:szCs w:val="24"/>
              </w:rPr>
              <w:t>支持记账后打印排队叫号单；</w:t>
            </w:r>
          </w:p>
          <w:p>
            <w:pPr>
              <w:rPr>
                <w:rFonts w:hint="default" w:ascii="宋体" w:hAnsi="宋体" w:cs="宋体"/>
                <w:kern w:val="0"/>
                <w:sz w:val="24"/>
                <w:szCs w:val="24"/>
              </w:rPr>
            </w:pPr>
            <w:r>
              <w:rPr>
                <w:rFonts w:ascii="宋体" w:hAnsi="宋体" w:cs="宋体"/>
                <w:kern w:val="0"/>
                <w:sz w:val="24"/>
                <w:szCs w:val="24"/>
              </w:rPr>
              <w:t>2</w:t>
            </w:r>
            <w:r>
              <w:rPr>
                <w:rFonts w:ascii="宋体" w:hAnsi="宋体"/>
                <w:sz w:val="24"/>
                <w:szCs w:val="24"/>
              </w:rPr>
              <w:t>)</w:t>
            </w:r>
            <w:r>
              <w:rPr>
                <w:rFonts w:ascii="宋体" w:hAnsi="宋体" w:cs="宋体"/>
                <w:kern w:val="0"/>
                <w:sz w:val="24"/>
                <w:szCs w:val="24"/>
              </w:rPr>
              <w:t>支持自定义设计叫号单格式。</w:t>
            </w:r>
          </w:p>
          <w:p>
            <w:pPr>
              <w:rPr>
                <w:rFonts w:hint="default" w:ascii="宋体" w:hAnsi="宋体" w:cs="宋体"/>
                <w:kern w:val="0"/>
                <w:sz w:val="24"/>
                <w:szCs w:val="24"/>
              </w:rPr>
            </w:pPr>
            <w:r>
              <w:rPr>
                <w:rFonts w:ascii="宋体" w:hAnsi="宋体" w:cs="宋体"/>
                <w:kern w:val="0"/>
                <w:sz w:val="24"/>
                <w:szCs w:val="24"/>
              </w:rPr>
              <w:t>3</w:t>
            </w:r>
            <w:r>
              <w:rPr>
                <w:rFonts w:ascii="宋体" w:hAnsi="宋体"/>
                <w:sz w:val="24"/>
                <w:szCs w:val="24"/>
              </w:rPr>
              <w:t>)</w:t>
            </w:r>
            <w:r>
              <w:rPr>
                <w:rFonts w:ascii="宋体" w:hAnsi="宋体" w:cs="宋体"/>
                <w:kern w:val="0"/>
                <w:sz w:val="24"/>
                <w:szCs w:val="24"/>
              </w:rPr>
              <w:t>支持自定义设置打印叫号单默认打印机。</w:t>
            </w:r>
          </w:p>
          <w:p>
            <w:pPr>
              <w:rPr>
                <w:rFonts w:hint="default" w:ascii="宋体" w:hAnsi="宋体" w:cs="宋体"/>
                <w:kern w:val="0"/>
                <w:sz w:val="24"/>
                <w:szCs w:val="24"/>
              </w:rPr>
            </w:pPr>
            <w:r>
              <w:rPr>
                <w:rFonts w:ascii="宋体" w:hAnsi="宋体" w:cs="宋体"/>
                <w:kern w:val="0"/>
                <w:sz w:val="24"/>
                <w:szCs w:val="24"/>
              </w:rPr>
              <w:t>4</w:t>
            </w:r>
            <w:r>
              <w:rPr>
                <w:rFonts w:ascii="宋体" w:hAnsi="宋体"/>
                <w:sz w:val="24"/>
                <w:szCs w:val="24"/>
              </w:rPr>
              <w:t>)</w:t>
            </w:r>
            <w:r>
              <w:rPr>
                <w:rFonts w:ascii="宋体" w:hAnsi="宋体" w:cs="宋体"/>
                <w:kern w:val="0"/>
                <w:sz w:val="24"/>
                <w:szCs w:val="24"/>
              </w:rPr>
              <w:t>支持分窗口进行叫号；</w:t>
            </w:r>
          </w:p>
          <w:p>
            <w:pPr>
              <w:rPr>
                <w:rFonts w:hint="default" w:ascii="宋体" w:hAnsi="宋体" w:cs="宋体"/>
                <w:kern w:val="0"/>
                <w:sz w:val="24"/>
                <w:szCs w:val="24"/>
              </w:rPr>
            </w:pPr>
            <w:r>
              <w:rPr>
                <w:rFonts w:ascii="宋体" w:hAnsi="宋体" w:cs="宋体"/>
                <w:kern w:val="0"/>
                <w:sz w:val="24"/>
                <w:szCs w:val="24"/>
              </w:rPr>
              <w:t>5</w:t>
            </w:r>
            <w:r>
              <w:rPr>
                <w:rFonts w:ascii="宋体" w:hAnsi="宋体"/>
                <w:sz w:val="24"/>
                <w:szCs w:val="24"/>
              </w:rPr>
              <w:t>)</w:t>
            </w:r>
            <w:r>
              <w:rPr>
                <w:rFonts w:ascii="宋体" w:hAnsi="宋体" w:cs="宋体"/>
                <w:kern w:val="0"/>
                <w:sz w:val="24"/>
                <w:szCs w:val="24"/>
              </w:rPr>
              <w:t>支持麻醉处方单独定义发药叫号窗口。</w:t>
            </w:r>
          </w:p>
        </w:tc>
      </w:tr>
    </w:tbl>
    <w:p>
      <w:pPr>
        <w:rPr>
          <w:rFonts w:hint="default"/>
        </w:rPr>
      </w:pPr>
    </w:p>
    <w:p>
      <w:pPr>
        <w:pStyle w:val="5"/>
        <w:numPr>
          <w:ilvl w:val="2"/>
          <w:numId w:val="5"/>
        </w:numPr>
        <w:spacing w:before="0" w:after="0" w:line="360" w:lineRule="auto"/>
        <w:rPr>
          <w:rFonts w:ascii="宋体" w:hAnsi="宋体"/>
        </w:rPr>
      </w:pPr>
      <w:r>
        <w:rPr>
          <w:rFonts w:hint="eastAsia" w:ascii="宋体" w:hAnsi="宋体"/>
        </w:rPr>
        <w:t>结构化住院电子病历系统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116"/>
        <w:gridCol w:w="66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blHeader/>
        </w:trPr>
        <w:tc>
          <w:tcPr>
            <w:tcW w:w="41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655"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926"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6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任务提醒</w:t>
            </w:r>
          </w:p>
        </w:tc>
        <w:tc>
          <w:tcPr>
            <w:tcW w:w="3926" w:type="pct"/>
            <w:noWrap w:val="0"/>
            <w:vAlign w:val="top"/>
          </w:tcPr>
          <w:p>
            <w:pPr>
              <w:jc w:val="left"/>
              <w:rPr>
                <w:rFonts w:hint="default" w:ascii="宋体" w:hAnsi="宋体" w:cs="宋体"/>
                <w:kern w:val="0"/>
                <w:sz w:val="24"/>
                <w:szCs w:val="24"/>
              </w:rPr>
            </w:pPr>
            <w:r>
              <w:rPr>
                <w:rFonts w:ascii="宋体" w:hAnsi="宋体"/>
                <w:sz w:val="18"/>
                <w:szCs w:val="18"/>
              </w:rPr>
              <w:t>★</w:t>
            </w:r>
            <w:r>
              <w:rPr>
                <w:rFonts w:ascii="宋体" w:hAnsi="宋体" w:cs="宋体"/>
                <w:kern w:val="0"/>
                <w:sz w:val="24"/>
                <w:szCs w:val="24"/>
              </w:rPr>
              <w:t>1)支持待书写病历提醒：根据病历时效预警，需要书写的病历信息提示。</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2)支持待签名病历提醒：需要签名的病历信息提示。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3)支持待提交病历提醒：已经审签完成，需要科室质控的病历信息提示。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4)支持待审签病历提醒：针对下级医生提交的病历，需要本人审签的病历信息提示。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5)支持待质控病历提醒：医生提交科室质控，需要本人质控评分的病历信息提示。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6)支持待处理缺陷提醒：质控人员反馈的本人的病历缺陷信息提示。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7)支持待审批申请提醒：其他医生发送的申请，如会诊申请，需要本医生审核的信息提示。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sz w:val="18"/>
                <w:szCs w:val="18"/>
              </w:rPr>
              <w:t>★</w:t>
            </w:r>
            <w:r>
              <w:rPr>
                <w:rFonts w:ascii="宋体" w:hAnsi="宋体" w:cs="宋体"/>
                <w:kern w:val="0"/>
                <w:sz w:val="24"/>
                <w:szCs w:val="24"/>
              </w:rPr>
              <w:t>8)支持危急值提醒：检查、检验系统反馈过来的检查、检验危急值信息提醒（需要检查、检验系统提供接口)。</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9)支持检查检验结果提醒：检查、检验系统报告、结果未读提醒。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10)支持信息发布提醒:管理部门向临床医师发布的相关通知提醒。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11)支持病历归档提醒:患者出院未归档病历消息提醒。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6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患者管理</w:t>
            </w: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1)管辖患者：本医生管辖的科室患者，支持以卡片形式或列表形式展现。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2)全科患者：科室所有患者，支持以卡片形式或列表形式展现。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3)出科患者：我管辖的出科患者，支持以卡片形式或列表形式展现。4)临时授权患者：临时授权给本医生的非本科患者，主要解决跨科治疗、科间会诊患者电子病历访问的问题，支持以卡片形式或列表形式展现。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5)患者卡片支持多种风格，支持自定义展示大小。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6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病历模板管理</w:t>
            </w: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1)支持病历模板自定义设计：根据医院需求自定义病历模板。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2)支持全院、科室、病种模板管理，可根据实际业务需求自定义结构化内容。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3）支持病历标准元素库管理：根据电子病历基本数据集（WS-445）、构建标准元素库，标准覆盖不到的支持自定义元素库内容，在进行结构化病历模板维护时可直接选择使用，从病历源头保证病历的标准化、规范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6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日常业务管理</w:t>
            </w: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1)支持患者就诊信息关联功能：对患者多次门诊、住院及体检就诊记录进行关联识别，提供患者病历记录、检查/检验结果等信息的连续性浏览。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2)支持当前就诊和既往病历查看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3)支持查看、修改患者基本信息。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4)支持病历一览：以列表形式展示一个患者的所有病历、以及审签和质控环节的信息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 xml:space="preserve">5)支持体温仿真浏览功能。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6)支持结构化病历书写功能：包括电子病历的新建、编辑、保存、签名功能，病历书写过程中支持医嘱单、LIS结果、PACS报告、体征信息等临床数据引用功能、支持录音文件/图片的插入、支持既往病历引用、支持一处录入多处共享、支持同患者病历复制和粘贴操作、禁止不同病人病历复制和粘贴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7)支持查看患者所有检查申请单和检查报告、图像信息。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8)支持查看患者所有检验申请单和检验结果及指标趋势图查看。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9)支持质控信息查看功能：分阶段展示质控反馈信息。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10)支持患者诊疗时间轴功能：以时间轴的形式全景展示患者诊疗信息。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11)支持与外部系统集成业务：包括医嘱开立、院内感染上报、传染病上报等功能。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12)支持对查房录音文件的上传及管理。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13)支持患者出院证录入、修改、查询打印功能。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14)支持住院患者诊断证明录入、修改、查询打印。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15)支持患者病案首页填写、提交、查询打印功能。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6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危急值管理</w:t>
            </w: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1)支持危急值提醒：系统能够自动接收与提醒检验、检查危急值信息。</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2)支持危急值接收与记录：系统自动接收并记录危急值提醒信息，具有对于危急值通知具有按时效管控、按接收人员分级通知、处理记录反馈功能。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4)支持危急值病例统计：系统具备对危急值病例的分类统计分析功能。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6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其他业务管理</w:t>
            </w: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1)支持附属账号管理：针对归陪/实习医生，上级医师可以设置帐号登录系统。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2)支持临时授权管理：针对跨科处置患者，可临时授权其他科室或医生访问该患者信息。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3)支持医师交接班管理：医生书写电子交接班记录单，能直接选择患者及引用患者病历内容，可进行查看、打印，同时也可查看历史交接班记录。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4)支持病历修改功能：查询病历修改申请、病历召回申请数据。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5)支持病历恢复功能：对误删除的病历进行恢复操作。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6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病历打印</w:t>
            </w: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1)支持病历满页打印、续打印、转科出院一次性打印等功能。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2)支持文本选中打印和表格选中打印。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3)支持同一文档不同页设置不同的页眉。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4)支持打印次数限制。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6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病历结构化检索</w:t>
            </w: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1)提供电子病历中结构化数据信息查询及全文检索功能。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2)提供多维度病历查询浏览功能，如：诊断、症状等。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6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身份认证</w:t>
            </w: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1)至少支持以下一种认证方式：用户名/密码、数字证书、移动证书、指纹。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2)用户名/密码认证方式下要求用户必需修改初始密码。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3)在用户多次登录错误时，限制用户登录。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4)支持设置密码有效期的功能，使用超过有效期的密码不能登录。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6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应用审计</w:t>
            </w: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1）用户登录电子病历系统、访问患者电子病历时，自动生成、保存使用日志，并提供按用户追踪查看其所有操作的功能。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2）对电子病历数据的创建、修改、删除等任何操作自动生成、保存审计日志（至少包括操作时间、操作者、操作内容等），并提供按审计项目追踪查看其所有操作者、按操作者追踪查看其所有操作等功能。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top"/>
          </w:tcPr>
          <w:p>
            <w:pPr>
              <w:jc w:val="left"/>
              <w:rPr>
                <w:rFonts w:hint="default" w:ascii="宋体" w:hAnsi="宋体" w:cs="宋体"/>
                <w:kern w:val="0"/>
                <w:sz w:val="24"/>
                <w:szCs w:val="24"/>
              </w:rPr>
            </w:pPr>
            <w:r>
              <w:rPr>
                <w:rFonts w:ascii="宋体" w:hAnsi="宋体" w:cs="宋体"/>
                <w:kern w:val="0"/>
                <w:sz w:val="24"/>
                <w:szCs w:val="24"/>
              </w:rPr>
              <w:t>3）提供对用户登录所用的数字证书进行审计的功能。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5"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655" w:type="pct"/>
            <w:noWrap w:val="0"/>
            <w:vAlign w:val="top"/>
          </w:tcPr>
          <w:p>
            <w:pPr>
              <w:jc w:val="left"/>
              <w:rPr>
                <w:rFonts w:hint="default" w:ascii="宋体" w:hAnsi="宋体" w:cs="宋体"/>
                <w:kern w:val="0"/>
                <w:sz w:val="24"/>
                <w:szCs w:val="24"/>
              </w:rPr>
            </w:pPr>
            <w:r>
              <w:rPr>
                <w:rFonts w:ascii="宋体" w:hAnsi="宋体" w:cs="宋体"/>
                <w:kern w:val="0"/>
                <w:sz w:val="24"/>
                <w:szCs w:val="24"/>
              </w:rPr>
              <w:t>外部系统集成对接</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1)支持与LIS、PACS、HIS、手麻、病案、病历无纸化归档等系统的集成对接。</w:t>
            </w:r>
          </w:p>
        </w:tc>
      </w:tr>
    </w:tbl>
    <w:p>
      <w:pPr>
        <w:pStyle w:val="5"/>
        <w:numPr>
          <w:ilvl w:val="2"/>
          <w:numId w:val="5"/>
        </w:numPr>
        <w:spacing w:before="0" w:after="0" w:line="360" w:lineRule="auto"/>
        <w:rPr>
          <w:rFonts w:ascii="宋体" w:hAnsi="宋体"/>
        </w:rPr>
      </w:pPr>
      <w:r>
        <w:rPr>
          <w:rFonts w:hint="eastAsia" w:ascii="宋体" w:hAnsi="宋体"/>
        </w:rPr>
        <w:t>结构化护理电子病历系统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3"/>
        <w:gridCol w:w="1108"/>
        <w:gridCol w:w="66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tblHeader/>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650"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926"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24"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650"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患者一览</w:t>
            </w:r>
          </w:p>
        </w:tc>
        <w:tc>
          <w:tcPr>
            <w:tcW w:w="3926" w:type="pct"/>
            <w:noWrap w:val="0"/>
            <w:vAlign w:val="center"/>
          </w:tcPr>
          <w:p>
            <w:pPr>
              <w:rPr>
                <w:rFonts w:hint="default" w:ascii="宋体" w:hAnsi="宋体" w:cs="宋体"/>
                <w:kern w:val="0"/>
                <w:sz w:val="24"/>
                <w:szCs w:val="24"/>
              </w:rPr>
            </w:pPr>
            <w:r>
              <w:t>★</w:t>
            </w:r>
            <w:r>
              <w:rPr>
                <w:rFonts w:ascii="宋体" w:hAnsi="宋体" w:cs="宋体"/>
                <w:kern w:val="0"/>
                <w:sz w:val="24"/>
                <w:szCs w:val="24"/>
              </w:rPr>
              <w:t>1)支持以卡片形式清晰展示患者信息，至少标明患者床位号、住院号、姓名、性别、住院天数、费用类别、诊断、过敏、主治医生、责任护士、护理级别等；</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2)支持患者详细信息查看，可查看患者入院时间、饮食、费用等相关信息；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3)患者分组：可定义患者分组，根据分组快速筛选患者；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t>★</w:t>
            </w:r>
            <w:r>
              <w:rPr>
                <w:rFonts w:ascii="宋体" w:hAnsi="宋体" w:cs="宋体"/>
                <w:kern w:val="0"/>
                <w:sz w:val="24"/>
                <w:szCs w:val="24"/>
              </w:rPr>
              <w:t>4)重点标识：可查看患者高风险、手术、发热等重点标识。</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650" w:type="pct"/>
            <w:noWrap w:val="0"/>
            <w:vAlign w:val="center"/>
          </w:tcPr>
          <w:p>
            <w:pPr>
              <w:jc w:val="left"/>
              <w:rPr>
                <w:rFonts w:hint="default" w:ascii="宋体" w:hAnsi="宋体" w:cs="宋体"/>
                <w:kern w:val="0"/>
                <w:sz w:val="24"/>
                <w:szCs w:val="24"/>
              </w:rPr>
            </w:pPr>
            <w:r>
              <w:rPr>
                <w:rFonts w:ascii="宋体" w:hAnsi="宋体" w:cs="宋体"/>
                <w:kern w:val="0"/>
                <w:sz w:val="24"/>
                <w:szCs w:val="24"/>
              </w:rPr>
              <w:t>常用功能定义</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1)支持病区定义常用功能，便于护士操作常用功能。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650"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体征管理</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1)支持批量体征录入、随机个体体征录入、体温单查看；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t>★</w:t>
            </w:r>
            <w:r>
              <w:rPr>
                <w:rFonts w:ascii="宋体" w:hAnsi="宋体" w:cs="宋体"/>
                <w:kern w:val="0"/>
                <w:sz w:val="24"/>
                <w:szCs w:val="24"/>
              </w:rPr>
              <w:t>2)提供异常体征智能护理措施指引功能，体温、呼吸、脉搏、血压体征信息超过设定阈值后系统给与相应的护理措施指引；</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3)支持出水量、入水量根据护理记录单出入水量自动同步生成；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4)支持体征单录入的体征信息共享至其他需要的护理文书中；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5)提供体征一览表查看功能，能够直观查看每个患者所有测量时间点的体温、心率、呼吸和脉搏数据，并可标识出时间段的最高体温。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650"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病区事务</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1)腕带打印：病人腕带预览与打印，支持腕带模板的制作；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2)床头卡打印：病人床头卡预览有打印，支持床头卡模板的制作；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3)执行单打印：支持医嘱执行单的预览与打印，提供患者批量打印功能，支持按医嘱类别、医嘱项目、打印状态、医嘱状态筛选过滤执行单进行打印；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hint="default" w:ascii="宋体" w:hAnsi="宋体" w:cs="宋体"/>
                <w:kern w:val="0"/>
                <w:sz w:val="24"/>
                <w:szCs w:val="24"/>
              </w:rPr>
              <w:t>4</w:t>
            </w:r>
            <w:r>
              <w:rPr>
                <w:rFonts w:ascii="宋体" w:hAnsi="宋体" w:cs="宋体"/>
                <w:kern w:val="0"/>
                <w:sz w:val="24"/>
                <w:szCs w:val="24"/>
              </w:rPr>
              <w:t>)补打：提供床头卡、腕带的补打申请和补打审批功能；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hint="default" w:ascii="宋体" w:hAnsi="宋体" w:cs="宋体"/>
                <w:kern w:val="0"/>
                <w:sz w:val="24"/>
                <w:szCs w:val="24"/>
              </w:rPr>
              <w:t>5</w:t>
            </w:r>
            <w:r>
              <w:rPr>
                <w:rFonts w:ascii="宋体" w:hAnsi="宋体" w:cs="宋体"/>
                <w:kern w:val="0"/>
                <w:sz w:val="24"/>
                <w:szCs w:val="24"/>
              </w:rPr>
              <w:t>)打印记录：具有腕带、床头卡和执行单打印记录查询功能。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24"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650"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护理记录</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提供护理记录单、血压记录单、血糖记录单、中心静脉压监测记录单、手指式脉搏血氧监测记录单、自动化腹膜透析（APD)记录单、输血护理记录单、一周血糖曲线图、一周血压曲线图等各种护理文书的结构化录入、预览和打印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t>★</w:t>
            </w:r>
            <w:r>
              <w:rPr>
                <w:rFonts w:ascii="宋体" w:hAnsi="宋体" w:cs="宋体"/>
                <w:kern w:val="0"/>
                <w:sz w:val="24"/>
                <w:szCs w:val="24"/>
              </w:rPr>
              <w:t>2)护理记录单：支持病情摘要知识库插入、医嘱插入、检查报告插入、检验报告插入、手术信息插入，支持一键出入水量合计、体征数据共享；</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3)支持转入科室已写护理文书数据的查看。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24"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650"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护理评估</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护理评估：提供入院首次护理评估、压疮风险因素评估表、跌倒/坠床危险因素评估表、导管滑脱风险评估表、水肿评估表、疼痛护理评估单、自理能力评估表、烫伤风险因素评估表等各种风险评估表的结构化录入、预览和打印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t>★</w:t>
            </w:r>
            <w:r>
              <w:rPr>
                <w:rFonts w:ascii="宋体" w:hAnsi="宋体" w:cs="宋体"/>
                <w:kern w:val="0"/>
                <w:sz w:val="24"/>
                <w:szCs w:val="24"/>
              </w:rPr>
              <w:t>2)护理评估评定与防范措施：能够根据结构化录入的结果，系统自动计算评估得分和风险等级，并能够智能化提示防范措施。</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650" w:type="pct"/>
            <w:noWrap w:val="0"/>
            <w:vAlign w:val="center"/>
          </w:tcPr>
          <w:p>
            <w:pPr>
              <w:jc w:val="left"/>
              <w:rPr>
                <w:rFonts w:hint="default" w:ascii="宋体" w:hAnsi="宋体" w:cs="宋体"/>
                <w:kern w:val="0"/>
                <w:sz w:val="24"/>
                <w:szCs w:val="24"/>
              </w:rPr>
            </w:pPr>
            <w:r>
              <w:rPr>
                <w:rFonts w:ascii="宋体" w:hAnsi="宋体" w:cs="宋体"/>
                <w:kern w:val="0"/>
                <w:sz w:val="24"/>
                <w:szCs w:val="24"/>
              </w:rPr>
              <w:t>护理计划</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1)提供基于专业的护理计划结构化录入、预览与打印。支持护理计划随患者病情变化动态组装护理措施。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650" w:type="pct"/>
            <w:noWrap w:val="0"/>
            <w:vAlign w:val="center"/>
          </w:tcPr>
          <w:p>
            <w:pPr>
              <w:jc w:val="left"/>
              <w:rPr>
                <w:rFonts w:hint="default" w:ascii="宋体" w:hAnsi="宋体" w:cs="宋体"/>
                <w:kern w:val="0"/>
                <w:sz w:val="24"/>
                <w:szCs w:val="24"/>
              </w:rPr>
            </w:pPr>
            <w:r>
              <w:rPr>
                <w:rFonts w:ascii="宋体" w:hAnsi="宋体" w:cs="宋体"/>
                <w:kern w:val="0"/>
                <w:sz w:val="24"/>
                <w:szCs w:val="24"/>
              </w:rPr>
              <w:t>健康教育</w:t>
            </w:r>
          </w:p>
        </w:tc>
        <w:tc>
          <w:tcPr>
            <w:tcW w:w="3926" w:type="pct"/>
            <w:noWrap w:val="0"/>
            <w:vAlign w:val="center"/>
          </w:tcPr>
          <w:p>
            <w:pPr>
              <w:rPr>
                <w:rFonts w:hint="default" w:ascii="宋体" w:hAnsi="宋体" w:cs="宋体"/>
                <w:kern w:val="0"/>
                <w:sz w:val="24"/>
                <w:szCs w:val="24"/>
              </w:rPr>
            </w:pPr>
            <w:r>
              <w:t>★</w:t>
            </w:r>
            <w:r>
              <w:rPr>
                <w:rFonts w:ascii="宋体" w:hAnsi="宋体" w:cs="宋体"/>
                <w:kern w:val="0"/>
                <w:sz w:val="24"/>
                <w:szCs w:val="24"/>
              </w:rPr>
              <w:t>1)提供基于病种的健康教育宣教表，且随患者病情诊断变化或转科后健康教育宣教表能够根据病种宣教模板进行动态组装。</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650" w:type="pct"/>
            <w:noWrap w:val="0"/>
            <w:vAlign w:val="center"/>
          </w:tcPr>
          <w:p>
            <w:pPr>
              <w:jc w:val="left"/>
              <w:rPr>
                <w:rFonts w:hint="default" w:ascii="宋体" w:hAnsi="宋体" w:cs="宋体"/>
                <w:kern w:val="0"/>
                <w:sz w:val="24"/>
                <w:szCs w:val="24"/>
              </w:rPr>
            </w:pPr>
            <w:r>
              <w:rPr>
                <w:rFonts w:ascii="宋体" w:hAnsi="宋体" w:cs="宋体"/>
                <w:kern w:val="0"/>
                <w:sz w:val="24"/>
                <w:szCs w:val="24"/>
              </w:rPr>
              <w:t>专科护理文书</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1)根据医院需要能够支持专科护理文书模板的制定和护理文书的结构化录入。如孕产妇护理评估记录单、待产记录单、催产素使用观察记录、新生儿护理及母乳喂养巡视单、产程图等专科护理文书。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650" w:type="pct"/>
            <w:noWrap w:val="0"/>
            <w:vAlign w:val="center"/>
          </w:tcPr>
          <w:p>
            <w:pPr>
              <w:jc w:val="left"/>
              <w:rPr>
                <w:rFonts w:hint="default" w:ascii="宋体" w:hAnsi="宋体" w:cs="宋体"/>
                <w:kern w:val="0"/>
                <w:sz w:val="24"/>
                <w:szCs w:val="24"/>
              </w:rPr>
            </w:pPr>
            <w:r>
              <w:rPr>
                <w:rFonts w:ascii="宋体" w:hAnsi="宋体" w:cs="宋体"/>
                <w:kern w:val="0"/>
                <w:sz w:val="24"/>
                <w:szCs w:val="24"/>
              </w:rPr>
              <w:t>手术室护理文书</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1)根据医院需要能够支持手术室护理文书模板的制定和护理文书的结构化录入。如手术安全核查表、术前交接单、术前访视单、手术护理记录单、手术交接单、手术访视单等。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24"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650"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护理交接班</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1)提供各个班次交接项目自动统计功能，至少包括原有、现有、入院、出院、转入、转出、死亡、手术、预术、病危、病重、I级护理、II级护理、Ⅲ级护理等；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t>★</w:t>
            </w:r>
            <w:r>
              <w:rPr>
                <w:rFonts w:ascii="宋体" w:hAnsi="宋体" w:cs="宋体"/>
                <w:kern w:val="0"/>
                <w:sz w:val="24"/>
                <w:szCs w:val="24"/>
              </w:rPr>
              <w:t>2)提供各班次交接项目明细，支持项目标识（如新、危、术、分娩)、支持标识位置设置（如诊断右下方、诊断正下方)，项目明细至少包括出院、死亡、转出、入院、转入、手术、预术、危重、分娩、I级护理、Ⅱ级护理、Ⅲ级护理等；</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3)提供交接项目和交接项目明细排序功能；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4)支持交接班报告话术模板定义功能，话术模板适用于各科室，提供各科室个性化自动采集话术模板功能；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5)提供交接班报告插入知识库、插入护理记录单病情摘要功能；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6)要求交接班报告支持交接内容跨单元格自动换行功能。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650"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巡视管理</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1)提供在院病人和出院病人的病房巡视、输液巡视和输血巡视查询功能；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2)巡视补录：提供巡视补录和巡视补录审批功能，巡视补录申请要求能够支持补录时间和补录原因的申请。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650"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文书模板制作</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1)支持可视化病历文书模板的制作；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2)支持WS-445(《电子病历基本数据集》)护理操作记录、护理评估与计划等护理相关的数据集标准。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14</w:t>
            </w:r>
          </w:p>
        </w:tc>
        <w:tc>
          <w:tcPr>
            <w:tcW w:w="650" w:type="pct"/>
            <w:noWrap w:val="0"/>
            <w:vAlign w:val="center"/>
          </w:tcPr>
          <w:p>
            <w:pPr>
              <w:jc w:val="left"/>
              <w:rPr>
                <w:rFonts w:hint="default" w:ascii="宋体" w:hAnsi="宋体" w:cs="宋体"/>
                <w:kern w:val="0"/>
                <w:sz w:val="24"/>
                <w:szCs w:val="24"/>
              </w:rPr>
            </w:pPr>
            <w:r>
              <w:rPr>
                <w:rFonts w:ascii="宋体" w:hAnsi="宋体" w:cs="宋体"/>
                <w:kern w:val="0"/>
                <w:sz w:val="24"/>
                <w:szCs w:val="24"/>
              </w:rPr>
              <w:t>出科病历</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1)提供出科、出院病历的修改申请和修改审批功能，只有申请审批通过的病历才允许科室修改。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15</w:t>
            </w:r>
          </w:p>
        </w:tc>
        <w:tc>
          <w:tcPr>
            <w:tcW w:w="650"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权限管理</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1)提供用户、角色、权限管理，支持为角色分配允许操作的功能，为用户分配角色；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vMerge w:val="continue"/>
            <w:noWrap w:val="0"/>
            <w:vAlign w:val="center"/>
          </w:tcPr>
          <w:p>
            <w:pPr>
              <w:jc w:val="left"/>
              <w:rPr>
                <w:rFonts w:hint="default" w:ascii="宋体" w:hAnsi="宋体" w:cs="宋体"/>
                <w:kern w:val="0"/>
                <w:sz w:val="24"/>
                <w:szCs w:val="24"/>
              </w:rPr>
            </w:pPr>
          </w:p>
        </w:tc>
        <w:tc>
          <w:tcPr>
            <w:tcW w:w="650"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2)设备注册管理：只有注册审批通过的计算机才可以使用该系统。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16</w:t>
            </w:r>
          </w:p>
        </w:tc>
        <w:tc>
          <w:tcPr>
            <w:tcW w:w="650" w:type="pct"/>
            <w:noWrap w:val="0"/>
            <w:vAlign w:val="center"/>
          </w:tcPr>
          <w:p>
            <w:pPr>
              <w:jc w:val="left"/>
              <w:rPr>
                <w:rFonts w:hint="default" w:ascii="宋体" w:hAnsi="宋体" w:cs="宋体"/>
                <w:kern w:val="0"/>
                <w:sz w:val="24"/>
                <w:szCs w:val="24"/>
              </w:rPr>
            </w:pPr>
            <w:r>
              <w:rPr>
                <w:rFonts w:ascii="宋体" w:hAnsi="宋体" w:cs="宋体"/>
                <w:kern w:val="0"/>
                <w:sz w:val="24"/>
                <w:szCs w:val="24"/>
              </w:rPr>
              <w:t>电子签名</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1)支持单个护理文书签名和批量护理文书签名两种签名方式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17</w:t>
            </w:r>
          </w:p>
        </w:tc>
        <w:tc>
          <w:tcPr>
            <w:tcW w:w="650" w:type="pct"/>
            <w:noWrap w:val="0"/>
            <w:vAlign w:val="center"/>
          </w:tcPr>
          <w:p>
            <w:pPr>
              <w:jc w:val="left"/>
              <w:rPr>
                <w:rFonts w:hint="default" w:ascii="宋体" w:hAnsi="宋体" w:cs="宋体"/>
                <w:kern w:val="0"/>
                <w:sz w:val="24"/>
                <w:szCs w:val="24"/>
              </w:rPr>
            </w:pPr>
            <w:r>
              <w:rPr>
                <w:rFonts w:ascii="宋体" w:hAnsi="宋体" w:cs="宋体"/>
                <w:kern w:val="0"/>
                <w:sz w:val="24"/>
                <w:szCs w:val="24"/>
              </w:rPr>
              <w:t>外部系统集成对接</w:t>
            </w:r>
          </w:p>
        </w:tc>
        <w:tc>
          <w:tcPr>
            <w:tcW w:w="3926" w:type="pct"/>
            <w:noWrap w:val="0"/>
            <w:vAlign w:val="center"/>
          </w:tcPr>
          <w:p>
            <w:pPr>
              <w:rPr>
                <w:rFonts w:hint="default" w:ascii="宋体" w:hAnsi="宋体" w:cs="宋体"/>
                <w:kern w:val="0"/>
                <w:sz w:val="24"/>
                <w:szCs w:val="24"/>
              </w:rPr>
            </w:pPr>
            <w:r>
              <w:rPr>
                <w:rFonts w:ascii="宋体" w:hAnsi="宋体" w:cs="宋体"/>
                <w:kern w:val="0"/>
                <w:sz w:val="24"/>
                <w:szCs w:val="24"/>
              </w:rPr>
              <w:t>1)支持与LIS、PACS、HIS、手麻、病案、病历无纸化归档等系统的集成对接。</w:t>
            </w:r>
          </w:p>
        </w:tc>
      </w:tr>
    </w:tbl>
    <w:p>
      <w:pPr>
        <w:rPr>
          <w:rFonts w:hint="default"/>
        </w:rPr>
      </w:pPr>
    </w:p>
    <w:p>
      <w:pPr>
        <w:pStyle w:val="5"/>
        <w:numPr>
          <w:ilvl w:val="2"/>
          <w:numId w:val="5"/>
        </w:numPr>
        <w:spacing w:before="0" w:after="0" w:line="360" w:lineRule="auto"/>
        <w:rPr>
          <w:rFonts w:ascii="宋体" w:hAnsi="宋体"/>
        </w:rPr>
      </w:pPr>
      <w:r>
        <w:rPr>
          <w:rFonts w:hint="eastAsia" w:ascii="宋体" w:hAnsi="宋体"/>
        </w:rPr>
        <w:t>结构化门诊电子病历系统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7"/>
        <w:gridCol w:w="1352"/>
        <w:gridCol w:w="6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blHeader/>
        </w:trPr>
        <w:tc>
          <w:tcPr>
            <w:tcW w:w="427"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793"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780"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793"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病历模板管理</w:t>
            </w: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1)支持全院统一结构化门诊病历模板，可自定义门诊病历模板内容。</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2)支持各门诊科室自定义基于科室和病种的门诊病历模板，可自定义门诊病历模板内容。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2)支持全院、科室、病种模板管理，可根据实际业务需求自定义结构化内容。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3）支持病历标准元素库管理：根据电子病历基本数据集（WS-445）、构建标准元素库，标准覆盖不到的支持自定义元素库内容，在进行结构化病历模板维护时可直接选择使用，从病历源头保证病历的标准化、规范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793"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病历书写</w:t>
            </w: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1)病历新建:支持自由选择模板新建病历 、向导模式新建病历（口腔科门诊专用)两种模式，自动提取HIS系统中患者基本信息；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2)病历编辑:支持所见即所得的病历编辑，支持区域内元素共享提取、结构化点选和自由录入，支持插入医学公式，支持插入门诊处方、检验结果、检验报告等诊疗数据。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3)病历保存:支持病历结构化存储，支持与短信服务对接保存后直接发送短信，支持保存后自动生成处置费用。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4）病历签名：支持与第三方电子签名系统对接。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5）病历附件管理：支持将患者图片插入到门诊病历中，并对其进行编辑操作。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793"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病历检索</w:t>
            </w:r>
          </w:p>
        </w:tc>
        <w:tc>
          <w:tcPr>
            <w:tcW w:w="3780" w:type="pct"/>
            <w:noWrap w:val="0"/>
            <w:vAlign w:val="top"/>
          </w:tcPr>
          <w:p>
            <w:pPr>
              <w:jc w:val="left"/>
              <w:rPr>
                <w:rFonts w:hint="default" w:ascii="宋体" w:hAnsi="宋体" w:cs="宋体"/>
                <w:kern w:val="0"/>
                <w:sz w:val="24"/>
                <w:szCs w:val="24"/>
              </w:rPr>
            </w:pPr>
            <w:r>
              <w:t>★</w:t>
            </w:r>
            <w:r>
              <w:rPr>
                <w:rFonts w:ascii="宋体" w:hAnsi="宋体" w:cs="宋体"/>
                <w:kern w:val="0"/>
                <w:sz w:val="24"/>
                <w:szCs w:val="24"/>
              </w:rPr>
              <w:t>1)提供电子病历中结构化数据信息查询及全文检索功能。</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2)提供多维度病历查询浏览功能，如：诊断、症状等。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793"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病历打印</w:t>
            </w: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1)支持病历满页打印、续打印、一次性打印等功能。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2)支持文本选中打印和表格选中打印。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14</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3)支持打印次数限制。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15</w:t>
            </w:r>
          </w:p>
        </w:tc>
        <w:tc>
          <w:tcPr>
            <w:tcW w:w="793"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身份认证</w:t>
            </w: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1)至少支持以下一种认证方式：用户名/密码、数字证书、移动证书、指纹。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16</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2)用户名/密码认证方式下要求用户必需修改初始密码。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17</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3)在用户多次登录错误时，限制用户登录。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18</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4)支持设置密码有效期的功能，使用超过有效期的密码不能登录。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19</w:t>
            </w:r>
          </w:p>
        </w:tc>
        <w:tc>
          <w:tcPr>
            <w:tcW w:w="793"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应用审计</w:t>
            </w: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1)用户登录电子病历系统、访问患者电子病历时，自动生成、保存使用日志，并提供按用户追踪查看其所有操作的功能。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20</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2)对电子病历数据的创建、修改、删除等任何操作自动生成、保存审计日志（至少包括操作时间、操作者、操作内容等），并提供按审计项目追踪查看其所有操作者、按操作者追踪查看其所有操作等功能。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21</w:t>
            </w:r>
          </w:p>
        </w:tc>
        <w:tc>
          <w:tcPr>
            <w:tcW w:w="793" w:type="pct"/>
            <w:vMerge w:val="continue"/>
            <w:noWrap w:val="0"/>
            <w:vAlign w:val="center"/>
          </w:tcPr>
          <w:p>
            <w:pPr>
              <w:jc w:val="left"/>
              <w:rPr>
                <w:rFonts w:hint="default" w:ascii="宋体" w:hAnsi="宋体" w:cs="宋体"/>
                <w:kern w:val="0"/>
                <w:sz w:val="24"/>
                <w:szCs w:val="24"/>
              </w:rPr>
            </w:pPr>
          </w:p>
        </w:tc>
        <w:tc>
          <w:tcPr>
            <w:tcW w:w="3780" w:type="pct"/>
            <w:noWrap w:val="0"/>
            <w:vAlign w:val="top"/>
          </w:tcPr>
          <w:p>
            <w:pPr>
              <w:jc w:val="left"/>
              <w:rPr>
                <w:rFonts w:hint="default" w:ascii="宋体" w:hAnsi="宋体" w:cs="宋体"/>
                <w:kern w:val="0"/>
                <w:sz w:val="24"/>
                <w:szCs w:val="24"/>
              </w:rPr>
            </w:pPr>
            <w:r>
              <w:rPr>
                <w:rFonts w:ascii="宋体" w:hAnsi="宋体" w:cs="宋体"/>
                <w:kern w:val="0"/>
                <w:sz w:val="24"/>
                <w:szCs w:val="24"/>
              </w:rPr>
              <w:t>3)提供对用户登录所用的数字证书进行审计的功能。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427" w:type="pct"/>
            <w:noWrap w:val="0"/>
            <w:vAlign w:val="center"/>
          </w:tcPr>
          <w:p>
            <w:pPr>
              <w:jc w:val="center"/>
              <w:rPr>
                <w:rFonts w:hint="default" w:ascii="宋体" w:hAnsi="宋体" w:cs="宋体"/>
                <w:kern w:val="0"/>
                <w:sz w:val="24"/>
                <w:szCs w:val="24"/>
              </w:rPr>
            </w:pPr>
            <w:r>
              <w:rPr>
                <w:rFonts w:ascii="宋体" w:hAnsi="宋体" w:cs="宋体"/>
                <w:kern w:val="0"/>
                <w:sz w:val="24"/>
                <w:szCs w:val="24"/>
              </w:rPr>
              <w:t>22</w:t>
            </w:r>
          </w:p>
        </w:tc>
        <w:tc>
          <w:tcPr>
            <w:tcW w:w="793" w:type="pct"/>
            <w:noWrap w:val="0"/>
            <w:vAlign w:val="top"/>
          </w:tcPr>
          <w:p>
            <w:pPr>
              <w:jc w:val="left"/>
              <w:rPr>
                <w:rFonts w:hint="default" w:ascii="宋体" w:hAnsi="宋体" w:cs="宋体"/>
                <w:kern w:val="0"/>
                <w:sz w:val="24"/>
                <w:szCs w:val="24"/>
              </w:rPr>
            </w:pPr>
            <w:r>
              <w:rPr>
                <w:rFonts w:ascii="宋体" w:hAnsi="宋体" w:cs="宋体"/>
                <w:kern w:val="0"/>
                <w:sz w:val="24"/>
                <w:szCs w:val="24"/>
              </w:rPr>
              <w:t>外部系统集成对接</w:t>
            </w:r>
          </w:p>
        </w:tc>
        <w:tc>
          <w:tcPr>
            <w:tcW w:w="3780" w:type="pct"/>
            <w:noWrap w:val="0"/>
            <w:vAlign w:val="center"/>
          </w:tcPr>
          <w:p>
            <w:pPr>
              <w:rPr>
                <w:rFonts w:hint="default" w:ascii="宋体" w:hAnsi="宋体" w:cs="宋体"/>
                <w:kern w:val="0"/>
                <w:sz w:val="24"/>
                <w:szCs w:val="24"/>
              </w:rPr>
            </w:pPr>
            <w:r>
              <w:rPr>
                <w:rFonts w:ascii="宋体" w:hAnsi="宋体" w:cs="宋体"/>
                <w:kern w:val="0"/>
                <w:sz w:val="24"/>
                <w:szCs w:val="24"/>
              </w:rPr>
              <w:t>1)支持与HIS、LIS、PACS等系统的集成对接。</w:t>
            </w:r>
          </w:p>
        </w:tc>
      </w:tr>
    </w:tbl>
    <w:p>
      <w:pPr>
        <w:pStyle w:val="5"/>
        <w:numPr>
          <w:ilvl w:val="2"/>
          <w:numId w:val="5"/>
        </w:numPr>
        <w:spacing w:before="0" w:after="0" w:line="360" w:lineRule="auto"/>
        <w:rPr>
          <w:rFonts w:ascii="宋体" w:hAnsi="宋体"/>
        </w:rPr>
      </w:pPr>
      <w:r>
        <w:rPr>
          <w:rFonts w:hint="eastAsia" w:ascii="宋体" w:hAnsi="宋体"/>
        </w:rPr>
        <w:t>病历质控系统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3"/>
        <w:gridCol w:w="1457"/>
        <w:gridCol w:w="63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tblHeader/>
        </w:trPr>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855"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721"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8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质控规则管理</w:t>
            </w: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 xml:space="preserve">1)支持时效质控规则设置,医院可自定义时效规则，包括设置时效事件和时效规则定义，病历书写时自动判断；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2)支持运行病历内容质控规则设置, 医院可自定义规则内容，包括缺项校验、排斥项校验、关联性校验等，病历书写保存时自动判断；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3）支持病案首页质控规则设置，医院可自定义规则内容，病案首页书写时自动判断；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4）支持医嘱诊疗事件关联病历质控设置，医院可自定义规则内容，病历书写时自动判断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8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质控提醒</w:t>
            </w: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1)支持待书写病历提醒:根据质控规则自动提醒临床医生需要书写的病历。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2)支持待质控病历提醒:</w:t>
            </w:r>
            <w:r>
              <w:rPr>
                <w:rFonts w:ascii="宋体" w:hAnsi="宋体"/>
                <w:sz w:val="24"/>
                <w:szCs w:val="24"/>
              </w:rPr>
              <w:t xml:space="preserve"> </w:t>
            </w:r>
            <w:r>
              <w:rPr>
                <w:rFonts w:ascii="宋体" w:hAnsi="宋体" w:cs="宋体"/>
                <w:kern w:val="0"/>
                <w:sz w:val="24"/>
                <w:szCs w:val="24"/>
              </w:rPr>
              <w:t>医生提交科室质控，需要本人质控的病历信息提醒；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3)支持待处理缺陷提醒:质控人员反馈的本人的病历缺陷信息提醒。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4)支持患者卡片质控提醒:</w:t>
            </w:r>
            <w:r>
              <w:rPr>
                <w:rFonts w:ascii="宋体" w:hAnsi="宋体"/>
                <w:sz w:val="24"/>
                <w:szCs w:val="24"/>
              </w:rPr>
              <w:t xml:space="preserve"> </w:t>
            </w:r>
            <w:r>
              <w:rPr>
                <w:rFonts w:ascii="宋体" w:hAnsi="宋体" w:cs="宋体"/>
                <w:kern w:val="0"/>
                <w:sz w:val="24"/>
                <w:szCs w:val="24"/>
              </w:rPr>
              <w:t>通过患者卡片上的质控标识信息提醒医师；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8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质控审批</w:t>
            </w: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1)支持超时解锁申请:病历超时锁定后，医师需要在系统中发起申请解锁流程；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2)支持超时解锁审核:上级医师或科室主任对医师发起的申请进行审批；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3)支持超时解锁申请查询:医师查询提交的申请单信息及审批进度情况；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4)支持医师自查:医师通过此功能，可清晰的掌握病历的书写进度情况；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5)支持时效锁审批跟踪:查看锁定病历文书的审批状态信息；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14</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6)支持科室病历抽检质控:科室质控组对运行病历进行抽检质控；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2" w:hRule="atLeast"/>
        </w:trPr>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15</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7)支持科室病历终末质控:科室质控组，对病历的终末质控，评分，申请归档；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bCs/>
                <w:kern w:val="0"/>
                <w:sz w:val="24"/>
                <w:szCs w:val="24"/>
              </w:rPr>
            </w:pPr>
            <w:r>
              <w:rPr>
                <w:rFonts w:ascii="宋体" w:hAnsi="宋体" w:cs="宋体"/>
                <w:bCs/>
                <w:kern w:val="0"/>
                <w:sz w:val="24"/>
                <w:szCs w:val="24"/>
              </w:rPr>
              <w:t>16</w:t>
            </w:r>
          </w:p>
        </w:tc>
        <w:tc>
          <w:tcPr>
            <w:tcW w:w="855" w:type="pct"/>
            <w:vMerge w:val="restart"/>
            <w:noWrap w:val="0"/>
            <w:vAlign w:val="center"/>
          </w:tcPr>
          <w:p>
            <w:pPr>
              <w:jc w:val="left"/>
              <w:rPr>
                <w:rFonts w:hint="default" w:ascii="宋体" w:hAnsi="宋体" w:cs="宋体"/>
                <w:bCs/>
                <w:kern w:val="0"/>
                <w:sz w:val="24"/>
                <w:szCs w:val="24"/>
              </w:rPr>
            </w:pPr>
            <w:r>
              <w:rPr>
                <w:rFonts w:ascii="宋体" w:hAnsi="宋体" w:cs="宋体"/>
                <w:bCs/>
                <w:kern w:val="0"/>
                <w:sz w:val="24"/>
                <w:szCs w:val="24"/>
              </w:rPr>
              <w:t>专项质控</w:t>
            </w: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支持质控科、病案室针对特殊标注患者的专项质控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17</w:t>
            </w:r>
          </w:p>
        </w:tc>
        <w:tc>
          <w:tcPr>
            <w:tcW w:w="855" w:type="pct"/>
            <w:vMerge w:val="continue"/>
            <w:noWrap w:val="0"/>
            <w:vAlign w:val="center"/>
          </w:tcPr>
          <w:p>
            <w:pPr>
              <w:jc w:val="left"/>
              <w:rPr>
                <w:rFonts w:hint="default" w:ascii="宋体" w:hAnsi="宋体" w:cs="宋体"/>
                <w:b/>
                <w:bCs/>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支持质控科、病案室针对危重患者患者的专项质控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18</w:t>
            </w:r>
          </w:p>
        </w:tc>
        <w:tc>
          <w:tcPr>
            <w:tcW w:w="855" w:type="pct"/>
            <w:vMerge w:val="continue"/>
            <w:noWrap w:val="0"/>
            <w:vAlign w:val="center"/>
          </w:tcPr>
          <w:p>
            <w:pPr>
              <w:jc w:val="left"/>
              <w:rPr>
                <w:rFonts w:hint="default" w:ascii="宋体" w:hAnsi="宋体" w:cs="宋体"/>
                <w:b/>
                <w:bCs/>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支持质控科、病案室针对手术患者的专项质控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19</w:t>
            </w:r>
          </w:p>
        </w:tc>
        <w:tc>
          <w:tcPr>
            <w:tcW w:w="855" w:type="pct"/>
            <w:vMerge w:val="continue"/>
            <w:noWrap w:val="0"/>
            <w:vAlign w:val="center"/>
          </w:tcPr>
          <w:p>
            <w:pPr>
              <w:jc w:val="left"/>
              <w:rPr>
                <w:rFonts w:hint="default" w:ascii="宋体" w:hAnsi="宋体" w:cs="宋体"/>
                <w:b/>
                <w:bCs/>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支持质控科、病案室针对死亡患者的专项质控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20</w:t>
            </w:r>
          </w:p>
        </w:tc>
        <w:tc>
          <w:tcPr>
            <w:tcW w:w="855" w:type="pct"/>
            <w:vMerge w:val="continue"/>
            <w:noWrap w:val="0"/>
            <w:vAlign w:val="center"/>
          </w:tcPr>
          <w:p>
            <w:pPr>
              <w:jc w:val="left"/>
              <w:rPr>
                <w:rFonts w:hint="default" w:ascii="宋体" w:hAnsi="宋体" w:cs="宋体"/>
                <w:b/>
                <w:bCs/>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支持质控科、病案室针对特定病种患者的专项质控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21</w:t>
            </w:r>
          </w:p>
        </w:tc>
        <w:tc>
          <w:tcPr>
            <w:tcW w:w="855" w:type="pct"/>
            <w:vMerge w:val="continue"/>
            <w:noWrap w:val="0"/>
            <w:vAlign w:val="center"/>
          </w:tcPr>
          <w:p>
            <w:pPr>
              <w:jc w:val="left"/>
              <w:rPr>
                <w:rFonts w:hint="default" w:ascii="宋体" w:hAnsi="宋体" w:cs="宋体"/>
                <w:b/>
                <w:bCs/>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支持质控科、病案室针对会诊患者的专项质控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22</w:t>
            </w:r>
          </w:p>
        </w:tc>
        <w:tc>
          <w:tcPr>
            <w:tcW w:w="855" w:type="pct"/>
            <w:vMerge w:val="continue"/>
            <w:noWrap w:val="0"/>
            <w:vAlign w:val="center"/>
          </w:tcPr>
          <w:p>
            <w:pPr>
              <w:jc w:val="left"/>
              <w:rPr>
                <w:rFonts w:hint="default" w:ascii="宋体" w:hAnsi="宋体" w:cs="宋体"/>
                <w:b/>
                <w:bCs/>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支持质控科、病案室针对输血患者的专项质控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23</w:t>
            </w:r>
          </w:p>
        </w:tc>
        <w:tc>
          <w:tcPr>
            <w:tcW w:w="855" w:type="pct"/>
            <w:vMerge w:val="continue"/>
            <w:noWrap w:val="0"/>
            <w:vAlign w:val="center"/>
          </w:tcPr>
          <w:p>
            <w:pPr>
              <w:jc w:val="left"/>
              <w:rPr>
                <w:rFonts w:hint="default" w:ascii="宋体" w:hAnsi="宋体" w:cs="宋体"/>
                <w:b/>
                <w:bCs/>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支持质控科、病案室针对转科患者的专项质控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24</w:t>
            </w:r>
          </w:p>
        </w:tc>
        <w:tc>
          <w:tcPr>
            <w:tcW w:w="855" w:type="pct"/>
            <w:vMerge w:val="continue"/>
            <w:noWrap w:val="0"/>
            <w:vAlign w:val="center"/>
          </w:tcPr>
          <w:p>
            <w:pPr>
              <w:jc w:val="left"/>
              <w:rPr>
                <w:rFonts w:hint="default" w:ascii="宋体" w:hAnsi="宋体" w:cs="宋体"/>
                <w:b/>
                <w:bCs/>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支持质控科、病案室针对感染患者的专项质控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25</w:t>
            </w:r>
          </w:p>
        </w:tc>
        <w:tc>
          <w:tcPr>
            <w:tcW w:w="855" w:type="pct"/>
            <w:vMerge w:val="continue"/>
            <w:noWrap w:val="0"/>
            <w:vAlign w:val="center"/>
          </w:tcPr>
          <w:p>
            <w:pPr>
              <w:jc w:val="left"/>
              <w:rPr>
                <w:rFonts w:hint="default" w:ascii="宋体" w:hAnsi="宋体" w:cs="宋体"/>
                <w:b/>
                <w:bCs/>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支持质控科、病案室针对传染患者的专项质控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26</w:t>
            </w:r>
          </w:p>
        </w:tc>
        <w:tc>
          <w:tcPr>
            <w:tcW w:w="855" w:type="pct"/>
            <w:vMerge w:val="continue"/>
            <w:noWrap w:val="0"/>
            <w:vAlign w:val="center"/>
          </w:tcPr>
          <w:p>
            <w:pPr>
              <w:jc w:val="left"/>
              <w:rPr>
                <w:rFonts w:hint="default" w:ascii="宋体" w:hAnsi="宋体" w:cs="宋体"/>
                <w:b/>
                <w:bCs/>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支持质控科、病案室针对住院时间较长患者的专项质控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27</w:t>
            </w:r>
          </w:p>
        </w:tc>
        <w:tc>
          <w:tcPr>
            <w:tcW w:w="8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综合质控</w:t>
            </w: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支持病历质控总览：病历质控总体情况的浏览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28</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支持病历综合质控：质控科，针对病历的抽检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29</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支持病案室抽检质控：病案室，对病历的抽检质控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30</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支持病案室病案评分：病案室，对病历的终末质控，评分，归档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31</w:t>
            </w:r>
          </w:p>
        </w:tc>
        <w:tc>
          <w:tcPr>
            <w:tcW w:w="8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质控报表</w:t>
            </w: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支持运行病历缺陷统计：统计运行病历不同病历类型不同缺陷出现的次数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32</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支持终末病历缺陷统计：统计终未病历不同病历类型不同缺陷出现的次数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33</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支持运行病历质控汇总：统计对运行病历的反馈问题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34</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支持终末病历质控汇总：统计对终未病历的反馈问题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35</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支持超时完成病历统计：统计全院指定时间段内运行病历超时完成病历数量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36</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支持运行病历完成时间统计：按科室和时间段统计运行病历实际完成时间统计表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37</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支持质控月报：按报表类型和时间段统计各级病历数量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38</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支持病历召回统计：按科室、医生、时间段统计病历召回科室情况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39</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支持质控工作量统计：按病案等级和科室查询医生反馈问题工作量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40</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支持环节质控工作量统计：按病案等级和科室查询医生反馈问题工作量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41</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支持病案质控趋势分析 ：按阶段、科室、时间段统计病案质量趋势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42</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支持单项否决病案统计：按阶段、科室、时间段统计单项否决病案情况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4" w:type="pct"/>
            <w:noWrap w:val="0"/>
            <w:vAlign w:val="center"/>
          </w:tcPr>
          <w:p>
            <w:pPr>
              <w:jc w:val="center"/>
              <w:rPr>
                <w:rFonts w:hint="default" w:ascii="宋体" w:hAnsi="宋体" w:cs="宋体"/>
                <w:kern w:val="0"/>
                <w:sz w:val="24"/>
                <w:szCs w:val="24"/>
              </w:rPr>
            </w:pPr>
            <w:r>
              <w:rPr>
                <w:rFonts w:ascii="宋体" w:hAnsi="宋体" w:cs="宋体"/>
                <w:kern w:val="0"/>
                <w:sz w:val="24"/>
                <w:szCs w:val="24"/>
              </w:rPr>
              <w:t>43</w:t>
            </w:r>
          </w:p>
        </w:tc>
        <w:tc>
          <w:tcPr>
            <w:tcW w:w="855" w:type="pct"/>
            <w:vMerge w:val="continue"/>
            <w:noWrap w:val="0"/>
            <w:vAlign w:val="center"/>
          </w:tcPr>
          <w:p>
            <w:pPr>
              <w:jc w:val="left"/>
              <w:rPr>
                <w:rFonts w:hint="default" w:ascii="宋体" w:hAnsi="宋体" w:cs="宋体"/>
                <w:kern w:val="0"/>
                <w:sz w:val="24"/>
                <w:szCs w:val="24"/>
              </w:rPr>
            </w:pPr>
          </w:p>
        </w:tc>
        <w:tc>
          <w:tcPr>
            <w:tcW w:w="372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支持病历修改次数统计：按科室和时间段统计病历修改次数</w:t>
            </w:r>
          </w:p>
        </w:tc>
      </w:tr>
    </w:tbl>
    <w:p>
      <w:pPr>
        <w:pStyle w:val="5"/>
        <w:numPr>
          <w:ilvl w:val="2"/>
          <w:numId w:val="5"/>
        </w:numPr>
        <w:spacing w:before="0" w:after="0" w:line="360" w:lineRule="auto"/>
        <w:rPr>
          <w:rFonts w:ascii="宋体" w:hAnsi="宋体"/>
        </w:rPr>
      </w:pPr>
      <w:r>
        <w:rPr>
          <w:rFonts w:hint="eastAsia" w:ascii="宋体" w:hAnsi="宋体"/>
        </w:rPr>
        <w:t>检验信息系统（LIS）</w:t>
      </w:r>
    </w:p>
    <w:tbl>
      <w:tblPr>
        <w:tblStyle w:val="51"/>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62"/>
        <w:gridCol w:w="1449"/>
        <w:gridCol w:w="631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0" w:hRule="atLeast"/>
          <w:tblHeader/>
          <w:jc w:val="center"/>
        </w:trPr>
        <w:tc>
          <w:tcPr>
            <w:tcW w:w="447" w:type="pct"/>
            <w:noWrap w:val="0"/>
            <w:vAlign w:val="center"/>
          </w:tcPr>
          <w:p>
            <w:pPr>
              <w:jc w:val="center"/>
              <w:rPr>
                <w:rFonts w:hint="default" w:ascii="宋体" w:hAnsi="宋体" w:cs="等线"/>
                <w:b/>
              </w:rPr>
            </w:pPr>
            <w:r>
              <w:rPr>
                <w:rFonts w:ascii="宋体" w:hAnsi="宋体" w:cs="宋体"/>
                <w:b/>
                <w:bCs/>
                <w:kern w:val="0"/>
                <w:sz w:val="24"/>
                <w:szCs w:val="24"/>
              </w:rPr>
              <w:t>序号</w:t>
            </w:r>
          </w:p>
        </w:tc>
        <w:tc>
          <w:tcPr>
            <w:tcW w:w="850" w:type="pct"/>
            <w:noWrap w:val="0"/>
            <w:vAlign w:val="center"/>
          </w:tcPr>
          <w:p>
            <w:pPr>
              <w:jc w:val="center"/>
              <w:rPr>
                <w:rFonts w:hint="default" w:ascii="宋体" w:hAnsi="宋体" w:cs="等线"/>
                <w:b/>
              </w:rPr>
            </w:pPr>
            <w:r>
              <w:rPr>
                <w:rFonts w:ascii="宋体" w:hAnsi="宋体" w:cs="宋体"/>
                <w:b/>
                <w:bCs/>
                <w:kern w:val="0"/>
                <w:sz w:val="24"/>
                <w:szCs w:val="24"/>
              </w:rPr>
              <w:t>功能模块</w:t>
            </w:r>
          </w:p>
        </w:tc>
        <w:tc>
          <w:tcPr>
            <w:tcW w:w="3703" w:type="pct"/>
            <w:noWrap w:val="0"/>
            <w:vAlign w:val="center"/>
          </w:tcPr>
          <w:p>
            <w:pPr>
              <w:jc w:val="center"/>
              <w:rPr>
                <w:rFonts w:hint="default" w:ascii="宋体" w:hAnsi="宋体" w:cs="等线"/>
                <w:b/>
              </w:rPr>
            </w:pPr>
            <w:r>
              <w:rPr>
                <w:rFonts w:ascii="宋体" w:hAnsi="宋体" w:cs="宋体"/>
                <w:b/>
                <w:bCs/>
                <w:kern w:val="0"/>
                <w:sz w:val="24"/>
                <w:szCs w:val="24"/>
              </w:rPr>
              <w:t>技术参数要求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50" w:hRule="atLeast"/>
          <w:jc w:val="center"/>
        </w:trPr>
        <w:tc>
          <w:tcPr>
            <w:tcW w:w="447" w:type="pct"/>
            <w:noWrap w:val="0"/>
            <w:vAlign w:val="center"/>
          </w:tcPr>
          <w:p>
            <w:pPr>
              <w:jc w:val="center"/>
              <w:rPr>
                <w:rFonts w:hint="default" w:ascii="宋体" w:hAnsi="宋体" w:cs="等线"/>
              </w:rPr>
            </w:pPr>
            <w:r>
              <w:rPr>
                <w:rFonts w:ascii="宋体" w:hAnsi="宋体" w:cs="等线"/>
                <w:lang w:bidi="ar"/>
              </w:rPr>
              <w:t>1</w:t>
            </w:r>
          </w:p>
        </w:tc>
        <w:tc>
          <w:tcPr>
            <w:tcW w:w="850" w:type="pct"/>
            <w:noWrap w:val="0"/>
            <w:vAlign w:val="center"/>
          </w:tcPr>
          <w:p>
            <w:pPr>
              <w:jc w:val="left"/>
              <w:rPr>
                <w:rFonts w:hint="default" w:ascii="宋体" w:hAnsi="宋体" w:cs="宋体"/>
                <w:kern w:val="0"/>
                <w:sz w:val="24"/>
                <w:szCs w:val="24"/>
              </w:rPr>
            </w:pPr>
            <w:r>
              <w:rPr>
                <w:rFonts w:ascii="宋体" w:hAnsi="宋体" w:cs="宋体"/>
                <w:kern w:val="0"/>
                <w:sz w:val="24"/>
                <w:szCs w:val="24"/>
              </w:rPr>
              <w:t>实验室信息系统</w:t>
            </w:r>
          </w:p>
        </w:tc>
        <w:tc>
          <w:tcPr>
            <w:tcW w:w="3703" w:type="pct"/>
            <w:noWrap w:val="0"/>
            <w:vAlign w:val="top"/>
          </w:tcPr>
          <w:p>
            <w:pPr>
              <w:rPr>
                <w:rFonts w:hint="default" w:ascii="宋体" w:hAnsi="宋体" w:cs="宋体"/>
                <w:sz w:val="24"/>
                <w:szCs w:val="24"/>
              </w:rPr>
            </w:pPr>
            <w:r>
              <w:rPr>
                <w:rFonts w:ascii="宋体" w:hAnsi="宋体" w:cs="宋体"/>
                <w:sz w:val="24"/>
                <w:szCs w:val="24"/>
                <w:lang w:bidi="ar"/>
              </w:rPr>
              <w:t>常规检验管理、基础数据维护、基础报表管理、基础权限管理、基础质控管理系统选项设置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447" w:type="pct"/>
            <w:vMerge w:val="restart"/>
            <w:noWrap w:val="0"/>
            <w:vAlign w:val="center"/>
          </w:tcPr>
          <w:p>
            <w:pPr>
              <w:jc w:val="center"/>
              <w:rPr>
                <w:rFonts w:hint="default" w:ascii="宋体" w:hAnsi="宋体" w:cs="等线"/>
              </w:rPr>
            </w:pPr>
            <w:r>
              <w:rPr>
                <w:rFonts w:ascii="宋体" w:hAnsi="宋体" w:cs="等线"/>
                <w:lang w:bidi="ar"/>
              </w:rPr>
              <w:t>2</w:t>
            </w:r>
          </w:p>
        </w:tc>
        <w:tc>
          <w:tcPr>
            <w:tcW w:w="850"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检验仪器通讯接口</w:t>
            </w:r>
          </w:p>
        </w:tc>
        <w:tc>
          <w:tcPr>
            <w:tcW w:w="3703" w:type="pct"/>
            <w:noWrap w:val="0"/>
            <w:vAlign w:val="top"/>
          </w:tcPr>
          <w:p>
            <w:pPr>
              <w:pStyle w:val="45"/>
              <w:rPr>
                <w:rFonts w:hint="eastAsia" w:ascii="宋体" w:hAnsi="宋体" w:eastAsia="Arial Unicode MS" w:cs="宋体"/>
                <w:color w:val="000000"/>
                <w:kern w:val="2"/>
                <w:sz w:val="24"/>
                <w:szCs w:val="24"/>
                <w:lang w:val="zh-TW" w:eastAsia="zh-TW" w:bidi="ar"/>
              </w:rPr>
            </w:pPr>
            <w:r>
              <w:rPr>
                <w:rFonts w:hint="eastAsia" w:ascii="宋体" w:hAnsi="宋体" w:eastAsia="Arial Unicode MS" w:cs="宋体"/>
                <w:color w:val="000000"/>
                <w:kern w:val="2"/>
                <w:sz w:val="24"/>
                <w:szCs w:val="24"/>
                <w:lang w:val="zh-TW" w:eastAsia="zh-TW" w:bidi="ar"/>
              </w:rPr>
              <w:t>单向仪器通讯接口：实现检验仪器和中文电脑连接，单向采集仪器检验数据，生成检验结果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447" w:type="pct"/>
            <w:vMerge w:val="continue"/>
            <w:noWrap w:val="0"/>
            <w:vAlign w:val="center"/>
          </w:tcPr>
          <w:p>
            <w:pPr>
              <w:rPr>
                <w:rFonts w:hint="default" w:cs="Calibri"/>
                <w:sz w:val="20"/>
                <w:szCs w:val="20"/>
              </w:rPr>
            </w:pPr>
          </w:p>
        </w:tc>
        <w:tc>
          <w:tcPr>
            <w:tcW w:w="850" w:type="pct"/>
            <w:vMerge w:val="continue"/>
            <w:noWrap w:val="0"/>
            <w:vAlign w:val="center"/>
          </w:tcPr>
          <w:p>
            <w:pPr>
              <w:rPr>
                <w:rFonts w:hint="default" w:ascii="宋体" w:hAnsi="宋体" w:cs="宋体"/>
                <w:kern w:val="0"/>
                <w:sz w:val="24"/>
                <w:szCs w:val="24"/>
              </w:rPr>
            </w:pPr>
          </w:p>
        </w:tc>
        <w:tc>
          <w:tcPr>
            <w:tcW w:w="3703" w:type="pct"/>
            <w:noWrap w:val="0"/>
            <w:vAlign w:val="top"/>
          </w:tcPr>
          <w:p>
            <w:pPr>
              <w:pStyle w:val="45"/>
              <w:rPr>
                <w:rFonts w:hint="eastAsia" w:ascii="宋体" w:hAnsi="宋体" w:eastAsia="Arial Unicode MS" w:cs="宋体"/>
                <w:color w:val="000000"/>
                <w:kern w:val="2"/>
                <w:sz w:val="24"/>
                <w:szCs w:val="24"/>
                <w:lang w:val="zh-TW" w:eastAsia="zh-TW" w:bidi="ar"/>
              </w:rPr>
            </w:pPr>
            <w:r>
              <w:rPr>
                <w:rFonts w:hint="eastAsia" w:ascii="宋体" w:hAnsi="宋体" w:eastAsia="Arial Unicode MS" w:cs="宋体"/>
                <w:color w:val="000000"/>
                <w:kern w:val="2"/>
                <w:sz w:val="24"/>
                <w:szCs w:val="24"/>
                <w:lang w:val="zh-TW" w:eastAsia="zh-TW" w:bidi="ar"/>
              </w:rPr>
              <w:t>双向仪器通讯接口：仪器自动识别条形码，可实现检验申请自动传输仪器、仪器自动进样、自动检验、自动结果的无人化自动检验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447" w:type="pct"/>
            <w:vMerge w:val="continue"/>
            <w:noWrap w:val="0"/>
            <w:vAlign w:val="center"/>
          </w:tcPr>
          <w:p>
            <w:pPr>
              <w:rPr>
                <w:rFonts w:hint="default" w:cs="Calibri"/>
                <w:sz w:val="20"/>
                <w:szCs w:val="20"/>
              </w:rPr>
            </w:pPr>
          </w:p>
        </w:tc>
        <w:tc>
          <w:tcPr>
            <w:tcW w:w="850" w:type="pct"/>
            <w:vMerge w:val="continue"/>
            <w:noWrap w:val="0"/>
            <w:vAlign w:val="center"/>
          </w:tcPr>
          <w:p>
            <w:pPr>
              <w:rPr>
                <w:rFonts w:hint="default" w:ascii="宋体" w:hAnsi="宋体" w:cs="宋体"/>
                <w:kern w:val="0"/>
                <w:sz w:val="24"/>
                <w:szCs w:val="24"/>
              </w:rPr>
            </w:pPr>
          </w:p>
        </w:tc>
        <w:tc>
          <w:tcPr>
            <w:tcW w:w="3703" w:type="pct"/>
            <w:noWrap w:val="0"/>
            <w:vAlign w:val="top"/>
          </w:tcPr>
          <w:p>
            <w:pPr>
              <w:pStyle w:val="45"/>
              <w:rPr>
                <w:rFonts w:hint="eastAsia" w:ascii="宋体" w:hAnsi="宋体" w:eastAsia="Arial Unicode MS" w:cs="宋体"/>
                <w:color w:val="000000"/>
                <w:kern w:val="2"/>
                <w:sz w:val="24"/>
                <w:szCs w:val="24"/>
                <w:lang w:val="zh-TW" w:eastAsia="zh-TW" w:bidi="ar"/>
              </w:rPr>
            </w:pPr>
            <w:r>
              <w:rPr>
                <w:rFonts w:hint="eastAsia" w:ascii="宋体" w:hAnsi="宋体" w:eastAsia="Arial Unicode MS" w:cs="宋体"/>
                <w:color w:val="000000"/>
                <w:kern w:val="2"/>
                <w:sz w:val="24"/>
                <w:szCs w:val="24"/>
                <w:lang w:val="zh-TW" w:eastAsia="zh-TW" w:bidi="ar"/>
              </w:rPr>
              <w:t>酶标仪全控制双向：支持全酶标板控制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447" w:type="pct"/>
            <w:noWrap w:val="0"/>
            <w:vAlign w:val="center"/>
          </w:tcPr>
          <w:p>
            <w:pPr>
              <w:jc w:val="center"/>
              <w:rPr>
                <w:rFonts w:hint="default" w:ascii="宋体" w:hAnsi="宋体" w:cs="等线"/>
              </w:rPr>
            </w:pPr>
            <w:r>
              <w:rPr>
                <w:rFonts w:ascii="宋体" w:hAnsi="宋体" w:cs="等线"/>
                <w:lang w:bidi="ar"/>
              </w:rPr>
              <w:t>3</w:t>
            </w:r>
          </w:p>
        </w:tc>
        <w:tc>
          <w:tcPr>
            <w:tcW w:w="850" w:type="pct"/>
            <w:noWrap w:val="0"/>
            <w:vAlign w:val="center"/>
          </w:tcPr>
          <w:p>
            <w:pPr>
              <w:jc w:val="left"/>
              <w:rPr>
                <w:rFonts w:hint="default" w:ascii="宋体" w:hAnsi="宋体" w:cs="宋体"/>
                <w:kern w:val="0"/>
                <w:sz w:val="24"/>
                <w:szCs w:val="24"/>
              </w:rPr>
            </w:pPr>
            <w:r>
              <w:rPr>
                <w:rFonts w:ascii="宋体" w:hAnsi="宋体" w:cs="宋体"/>
                <w:kern w:val="0"/>
                <w:sz w:val="24"/>
                <w:szCs w:val="24"/>
              </w:rPr>
              <w:t>流水线接口的集成</w:t>
            </w:r>
          </w:p>
        </w:tc>
        <w:tc>
          <w:tcPr>
            <w:tcW w:w="3703" w:type="pct"/>
            <w:noWrap w:val="0"/>
            <w:vAlign w:val="top"/>
          </w:tcPr>
          <w:p>
            <w:pPr>
              <w:pStyle w:val="45"/>
              <w:rPr>
                <w:rFonts w:ascii="宋体" w:hAnsi="宋体" w:cs="宋体"/>
              </w:rPr>
            </w:pPr>
            <w:r>
              <w:rPr>
                <w:rFonts w:hint="eastAsia" w:ascii="宋体" w:hAnsi="宋体" w:eastAsia="Arial Unicode MS" w:cs="宋体"/>
                <w:color w:val="000000"/>
                <w:kern w:val="2"/>
                <w:sz w:val="24"/>
                <w:szCs w:val="24"/>
                <w:lang w:val="zh-TW" w:eastAsia="zh-TW" w:bidi="ar"/>
              </w:rPr>
              <w:t>支持与安图A1、X1等主流流水线深度对接，包括双向通讯、自动质控、复查管理、样本拍照、耗材余量监控、仪器故障监控等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447" w:type="pct"/>
            <w:vMerge w:val="restart"/>
            <w:noWrap w:val="0"/>
            <w:vAlign w:val="center"/>
          </w:tcPr>
          <w:p>
            <w:pPr>
              <w:jc w:val="center"/>
              <w:rPr>
                <w:rFonts w:hint="default" w:ascii="宋体" w:hAnsi="宋体" w:cs="等线"/>
              </w:rPr>
            </w:pPr>
            <w:r>
              <w:rPr>
                <w:rFonts w:ascii="宋体" w:hAnsi="宋体" w:cs="等线"/>
                <w:lang w:bidi="ar"/>
              </w:rPr>
              <w:t>4</w:t>
            </w:r>
          </w:p>
        </w:tc>
        <w:tc>
          <w:tcPr>
            <w:tcW w:w="850"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条码管理系统</w:t>
            </w:r>
          </w:p>
        </w:tc>
        <w:tc>
          <w:tcPr>
            <w:tcW w:w="3703" w:type="pct"/>
            <w:noWrap w:val="0"/>
            <w:vAlign w:val="top"/>
          </w:tcPr>
          <w:p>
            <w:pPr>
              <w:jc w:val="left"/>
              <w:rPr>
                <w:rFonts w:hint="default" w:ascii="宋体" w:hAnsi="宋体" w:cs="宋体"/>
                <w:sz w:val="24"/>
                <w:szCs w:val="24"/>
              </w:rPr>
            </w:pPr>
            <w:r>
              <w:rPr>
                <w:rFonts w:ascii="宋体" w:hAnsi="宋体" w:cs="宋体"/>
                <w:sz w:val="24"/>
                <w:szCs w:val="24"/>
                <w:lang w:bidi="ar"/>
              </w:rPr>
              <w:t>门诊条码的管理：门急诊条码采血输入病人号提取HIS已经收费检验项目，根据LIS分单类别自动分单后打印出条码标签贴在试管上进行采血，支持采集患者采集图片留档，支持回执单模块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447" w:type="pct"/>
            <w:vMerge w:val="continue"/>
            <w:noWrap w:val="0"/>
            <w:vAlign w:val="center"/>
          </w:tcPr>
          <w:p>
            <w:pPr>
              <w:rPr>
                <w:rFonts w:hint="default" w:cs="Calibri"/>
                <w:sz w:val="20"/>
                <w:szCs w:val="20"/>
              </w:rPr>
            </w:pPr>
          </w:p>
        </w:tc>
        <w:tc>
          <w:tcPr>
            <w:tcW w:w="850" w:type="pct"/>
            <w:vMerge w:val="continue"/>
            <w:noWrap w:val="0"/>
            <w:vAlign w:val="center"/>
          </w:tcPr>
          <w:p>
            <w:pPr>
              <w:rPr>
                <w:rFonts w:hint="default" w:ascii="宋体" w:hAnsi="宋体" w:cs="宋体"/>
                <w:kern w:val="0"/>
                <w:sz w:val="24"/>
                <w:szCs w:val="24"/>
              </w:rPr>
            </w:pPr>
          </w:p>
        </w:tc>
        <w:tc>
          <w:tcPr>
            <w:tcW w:w="3703" w:type="pct"/>
            <w:noWrap w:val="0"/>
            <w:vAlign w:val="top"/>
          </w:tcPr>
          <w:p>
            <w:pPr>
              <w:rPr>
                <w:rFonts w:hint="default" w:ascii="宋体" w:hAnsi="宋体" w:cs="宋体"/>
                <w:sz w:val="24"/>
                <w:szCs w:val="24"/>
              </w:rPr>
            </w:pPr>
            <w:r>
              <w:rPr>
                <w:rFonts w:ascii="宋体" w:hAnsi="宋体" w:cs="宋体"/>
                <w:sz w:val="24"/>
                <w:szCs w:val="24"/>
                <w:lang w:bidi="ar"/>
              </w:rPr>
              <w:t>住院条码的管理：区条码总体采用B/S程序支持条码打印—采样确认—条码送出流程。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37" w:hRule="atLeast"/>
          <w:jc w:val="center"/>
        </w:trPr>
        <w:tc>
          <w:tcPr>
            <w:tcW w:w="447" w:type="pct"/>
            <w:noWrap w:val="0"/>
            <w:vAlign w:val="center"/>
          </w:tcPr>
          <w:p>
            <w:pPr>
              <w:jc w:val="center"/>
              <w:rPr>
                <w:rFonts w:hint="default" w:ascii="宋体" w:hAnsi="宋体" w:cs="等线"/>
              </w:rPr>
            </w:pPr>
            <w:r>
              <w:rPr>
                <w:rFonts w:ascii="宋体" w:hAnsi="宋体" w:cs="等线"/>
                <w:lang w:bidi="ar"/>
              </w:rPr>
              <w:t>5</w:t>
            </w:r>
          </w:p>
        </w:tc>
        <w:tc>
          <w:tcPr>
            <w:tcW w:w="850" w:type="pct"/>
            <w:noWrap w:val="0"/>
            <w:vAlign w:val="center"/>
          </w:tcPr>
          <w:p>
            <w:pPr>
              <w:jc w:val="left"/>
              <w:rPr>
                <w:rFonts w:hint="default" w:ascii="宋体" w:hAnsi="宋体" w:cs="宋体"/>
                <w:kern w:val="0"/>
                <w:sz w:val="24"/>
                <w:szCs w:val="24"/>
              </w:rPr>
            </w:pPr>
            <w:r>
              <w:rPr>
                <w:rFonts w:ascii="宋体" w:hAnsi="宋体" w:cs="宋体"/>
                <w:kern w:val="0"/>
                <w:sz w:val="24"/>
                <w:szCs w:val="24"/>
              </w:rPr>
              <w:t>普通报告管理系统</w:t>
            </w:r>
          </w:p>
        </w:tc>
        <w:tc>
          <w:tcPr>
            <w:tcW w:w="3703" w:type="pct"/>
            <w:noWrap w:val="0"/>
            <w:vAlign w:val="top"/>
          </w:tcPr>
          <w:p>
            <w:pPr>
              <w:rPr>
                <w:rFonts w:hint="default" w:ascii="宋体" w:hAnsi="宋体" w:cs="宋体"/>
                <w:sz w:val="24"/>
                <w:szCs w:val="24"/>
              </w:rPr>
            </w:pPr>
            <w:r>
              <w:rPr>
                <w:rFonts w:ascii="宋体" w:hAnsi="宋体" w:cs="宋体"/>
                <w:sz w:val="24"/>
                <w:szCs w:val="24"/>
                <w:lang w:bidi="ar"/>
              </w:rPr>
              <w:t>一般检验报告管理、图文报告、骨髓报告、微生物报告、染色体报告、形态学报告子系统等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2" w:hRule="atLeast"/>
          <w:jc w:val="center"/>
        </w:trPr>
        <w:tc>
          <w:tcPr>
            <w:tcW w:w="447" w:type="pct"/>
            <w:noWrap w:val="0"/>
            <w:vAlign w:val="center"/>
          </w:tcPr>
          <w:p>
            <w:pPr>
              <w:jc w:val="center"/>
              <w:rPr>
                <w:rFonts w:hint="default" w:ascii="宋体" w:hAnsi="宋体" w:cs="等线"/>
              </w:rPr>
            </w:pPr>
            <w:r>
              <w:rPr>
                <w:rFonts w:ascii="宋体" w:hAnsi="宋体" w:cs="等线"/>
                <w:lang w:bidi="ar"/>
              </w:rPr>
              <w:t>6</w:t>
            </w:r>
          </w:p>
        </w:tc>
        <w:tc>
          <w:tcPr>
            <w:tcW w:w="850" w:type="pct"/>
            <w:noWrap w:val="0"/>
            <w:vAlign w:val="center"/>
          </w:tcPr>
          <w:p>
            <w:pPr>
              <w:jc w:val="left"/>
              <w:rPr>
                <w:rFonts w:hint="default" w:ascii="宋体" w:hAnsi="宋体" w:cs="宋体"/>
                <w:kern w:val="0"/>
                <w:sz w:val="24"/>
                <w:szCs w:val="24"/>
              </w:rPr>
            </w:pPr>
            <w:r>
              <w:rPr>
                <w:rFonts w:ascii="宋体" w:hAnsi="宋体" w:cs="宋体"/>
                <w:kern w:val="0"/>
                <w:sz w:val="24"/>
                <w:szCs w:val="24"/>
              </w:rPr>
              <w:t>图文报告管理系统</w:t>
            </w:r>
          </w:p>
        </w:tc>
        <w:tc>
          <w:tcPr>
            <w:tcW w:w="3703" w:type="pct"/>
            <w:noWrap w:val="0"/>
            <w:vAlign w:val="top"/>
          </w:tcPr>
          <w:p>
            <w:pPr>
              <w:rPr>
                <w:rFonts w:hint="default" w:ascii="宋体" w:hAnsi="宋体" w:cs="宋体"/>
                <w:sz w:val="24"/>
                <w:szCs w:val="24"/>
              </w:rPr>
            </w:pPr>
            <w:r>
              <w:rPr>
                <w:rFonts w:ascii="宋体" w:hAnsi="宋体" w:cs="宋体"/>
                <w:sz w:val="24"/>
                <w:szCs w:val="24"/>
                <w:lang w:bidi="ar"/>
              </w:rPr>
              <w:t>检验中带描述性内容的检验报告、多种报告格式图文并茂、规范美观、齐全的专业图谱资料及在线帮助资料、血流变血曲线图、蛋白电泳图形---曲线图以及部分仪器的电泳图、尿沉渣分析仪图谱、显微镜图谱</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28" w:hRule="atLeast"/>
          <w:jc w:val="center"/>
        </w:trPr>
        <w:tc>
          <w:tcPr>
            <w:tcW w:w="447" w:type="pct"/>
            <w:noWrap w:val="0"/>
            <w:vAlign w:val="center"/>
          </w:tcPr>
          <w:p>
            <w:pPr>
              <w:jc w:val="center"/>
              <w:rPr>
                <w:rFonts w:hint="default" w:ascii="宋体" w:hAnsi="宋体" w:cs="等线"/>
              </w:rPr>
            </w:pPr>
            <w:r>
              <w:rPr>
                <w:rFonts w:ascii="宋体" w:hAnsi="宋体" w:cs="等线"/>
                <w:lang w:bidi="ar"/>
              </w:rPr>
              <w:t>7</w:t>
            </w:r>
          </w:p>
        </w:tc>
        <w:tc>
          <w:tcPr>
            <w:tcW w:w="850" w:type="pct"/>
            <w:noWrap w:val="0"/>
            <w:vAlign w:val="center"/>
          </w:tcPr>
          <w:p>
            <w:pPr>
              <w:jc w:val="left"/>
              <w:rPr>
                <w:rFonts w:hint="default" w:ascii="宋体" w:hAnsi="宋体" w:cs="宋体"/>
                <w:kern w:val="0"/>
                <w:sz w:val="24"/>
                <w:szCs w:val="24"/>
              </w:rPr>
            </w:pPr>
            <w:r>
              <w:rPr>
                <w:rFonts w:ascii="宋体" w:hAnsi="宋体" w:cs="宋体"/>
                <w:kern w:val="0"/>
                <w:sz w:val="24"/>
                <w:szCs w:val="24"/>
              </w:rPr>
              <w:t>临床报告打印系统</w:t>
            </w:r>
          </w:p>
        </w:tc>
        <w:tc>
          <w:tcPr>
            <w:tcW w:w="3703" w:type="pct"/>
            <w:noWrap w:val="0"/>
            <w:vAlign w:val="top"/>
          </w:tcPr>
          <w:p>
            <w:pPr>
              <w:rPr>
                <w:rFonts w:hint="default" w:ascii="宋体" w:hAnsi="宋体" w:cs="宋体"/>
                <w:sz w:val="24"/>
                <w:szCs w:val="24"/>
              </w:rPr>
            </w:pPr>
            <w:r>
              <w:rPr>
                <w:rFonts w:ascii="宋体" w:hAnsi="宋体" w:cs="宋体"/>
                <w:sz w:val="24"/>
                <w:szCs w:val="24"/>
                <w:lang w:bidi="ar"/>
              </w:rPr>
              <w:t>可在院内任何地方打开网页查看报告、报告查看支持查看临床意义、报告查看自动对同一病人多次结果进行比较，支持报告合并打印，支持按科室集中打印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447" w:type="pct"/>
            <w:noWrap w:val="0"/>
            <w:vAlign w:val="center"/>
          </w:tcPr>
          <w:p>
            <w:pPr>
              <w:jc w:val="center"/>
              <w:rPr>
                <w:rFonts w:hint="default" w:ascii="宋体" w:hAnsi="宋体" w:cs="等线"/>
              </w:rPr>
            </w:pPr>
            <w:r>
              <w:rPr>
                <w:rFonts w:ascii="宋体" w:hAnsi="宋体" w:cs="等线"/>
                <w:lang w:bidi="ar"/>
              </w:rPr>
              <w:t>8</w:t>
            </w:r>
          </w:p>
        </w:tc>
        <w:tc>
          <w:tcPr>
            <w:tcW w:w="850" w:type="pct"/>
            <w:noWrap w:val="0"/>
            <w:vAlign w:val="center"/>
          </w:tcPr>
          <w:p>
            <w:pPr>
              <w:jc w:val="left"/>
              <w:rPr>
                <w:rFonts w:hint="default" w:ascii="宋体" w:hAnsi="宋体" w:cs="宋体"/>
                <w:kern w:val="0"/>
                <w:sz w:val="24"/>
                <w:szCs w:val="24"/>
              </w:rPr>
            </w:pPr>
            <w:r>
              <w:rPr>
                <w:rFonts w:ascii="宋体" w:hAnsi="宋体" w:cs="宋体"/>
                <w:kern w:val="0"/>
                <w:sz w:val="24"/>
                <w:szCs w:val="24"/>
              </w:rPr>
              <w:t>TAT专业管理</w:t>
            </w:r>
          </w:p>
        </w:tc>
        <w:tc>
          <w:tcPr>
            <w:tcW w:w="3703" w:type="pct"/>
            <w:noWrap w:val="0"/>
            <w:vAlign w:val="top"/>
          </w:tcPr>
          <w:p>
            <w:pPr>
              <w:pStyle w:val="45"/>
              <w:rPr>
                <w:rFonts w:ascii="宋体" w:hAnsi="宋体" w:cs="宋体"/>
              </w:rPr>
            </w:pPr>
            <w:r>
              <w:rPr>
                <w:rFonts w:hint="eastAsia" w:ascii="宋体" w:hAnsi="宋体" w:cs="宋体"/>
              </w:rPr>
              <w:t>T</w:t>
            </w:r>
            <w:r>
              <w:rPr>
                <w:rFonts w:hint="eastAsia" w:ascii="宋体" w:hAnsi="宋体" w:eastAsia="Arial Unicode MS" w:cs="宋体"/>
                <w:color w:val="000000"/>
                <w:kern w:val="2"/>
                <w:sz w:val="24"/>
                <w:szCs w:val="24"/>
                <w:lang w:val="zh-TW" w:eastAsia="zh-TW" w:bidi="ar"/>
              </w:rPr>
              <w:t>AT合格率分析、TAT不合格标本流转的每个时间节点的有效控制、TAT时间的分析、TAT流转周期的报表管理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6" w:hRule="atLeast"/>
          <w:jc w:val="center"/>
        </w:trPr>
        <w:tc>
          <w:tcPr>
            <w:tcW w:w="447" w:type="pct"/>
            <w:noWrap w:val="0"/>
            <w:vAlign w:val="center"/>
          </w:tcPr>
          <w:p>
            <w:pPr>
              <w:jc w:val="center"/>
              <w:rPr>
                <w:rFonts w:hint="default" w:ascii="宋体" w:hAnsi="宋体" w:cs="等线"/>
              </w:rPr>
            </w:pPr>
            <w:r>
              <w:rPr>
                <w:rFonts w:ascii="宋体" w:hAnsi="宋体" w:cs="等线"/>
                <w:lang w:bidi="ar"/>
              </w:rPr>
              <w:t>9</w:t>
            </w:r>
          </w:p>
        </w:tc>
        <w:tc>
          <w:tcPr>
            <w:tcW w:w="850" w:type="pct"/>
            <w:noWrap w:val="0"/>
            <w:vAlign w:val="center"/>
          </w:tcPr>
          <w:p>
            <w:pPr>
              <w:jc w:val="left"/>
              <w:rPr>
                <w:rFonts w:hint="default" w:ascii="宋体" w:hAnsi="宋体" w:cs="宋体"/>
                <w:kern w:val="0"/>
                <w:sz w:val="24"/>
                <w:szCs w:val="24"/>
              </w:rPr>
            </w:pPr>
            <w:r>
              <w:rPr>
                <w:rFonts w:ascii="宋体" w:hAnsi="宋体" w:cs="宋体"/>
                <w:kern w:val="0"/>
                <w:sz w:val="24"/>
                <w:szCs w:val="24"/>
              </w:rPr>
              <w:t>危急值闭环管理</w:t>
            </w:r>
          </w:p>
        </w:tc>
        <w:tc>
          <w:tcPr>
            <w:tcW w:w="3703" w:type="pct"/>
            <w:noWrap w:val="0"/>
            <w:vAlign w:val="top"/>
          </w:tcPr>
          <w:p>
            <w:pPr>
              <w:rPr>
                <w:rFonts w:hint="default" w:ascii="宋体" w:hAnsi="宋体" w:cs="宋体"/>
                <w:sz w:val="24"/>
                <w:szCs w:val="24"/>
              </w:rPr>
            </w:pPr>
            <w:r>
              <w:rPr>
                <w:rFonts w:ascii="宋体" w:hAnsi="宋体" w:cs="宋体"/>
                <w:sz w:val="24"/>
                <w:szCs w:val="24"/>
                <w:lang w:bidi="ar"/>
              </w:rPr>
              <w:t>危急值检验科内预警、临床护士站、医生站危急值的确认、未确认超时报警提醒、未处理超时报警提醒、报告超时报警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447" w:type="pct"/>
            <w:noWrap w:val="0"/>
            <w:vAlign w:val="center"/>
          </w:tcPr>
          <w:p>
            <w:pPr>
              <w:jc w:val="center"/>
              <w:rPr>
                <w:rFonts w:hint="default" w:ascii="宋体" w:hAnsi="宋体" w:cs="等线"/>
              </w:rPr>
            </w:pPr>
            <w:r>
              <w:rPr>
                <w:rFonts w:ascii="宋体" w:hAnsi="宋体" w:cs="等线"/>
                <w:lang w:bidi="ar"/>
              </w:rPr>
              <w:t>10</w:t>
            </w:r>
          </w:p>
        </w:tc>
        <w:tc>
          <w:tcPr>
            <w:tcW w:w="850" w:type="pct"/>
            <w:noWrap w:val="0"/>
            <w:vAlign w:val="center"/>
          </w:tcPr>
          <w:p>
            <w:pPr>
              <w:jc w:val="left"/>
              <w:rPr>
                <w:rFonts w:hint="default" w:ascii="宋体" w:hAnsi="宋体" w:cs="宋体"/>
                <w:kern w:val="0"/>
                <w:sz w:val="24"/>
                <w:szCs w:val="24"/>
              </w:rPr>
            </w:pPr>
            <w:r>
              <w:rPr>
                <w:rFonts w:ascii="宋体" w:hAnsi="宋体" w:cs="宋体"/>
                <w:kern w:val="0"/>
                <w:sz w:val="24"/>
                <w:szCs w:val="24"/>
              </w:rPr>
              <w:t>统计查询管理</w:t>
            </w:r>
          </w:p>
        </w:tc>
        <w:tc>
          <w:tcPr>
            <w:tcW w:w="3703" w:type="pct"/>
            <w:noWrap w:val="0"/>
            <w:vAlign w:val="top"/>
          </w:tcPr>
          <w:p>
            <w:pPr>
              <w:rPr>
                <w:rFonts w:hint="default" w:ascii="宋体" w:hAnsi="宋体" w:cs="宋体"/>
                <w:sz w:val="24"/>
                <w:szCs w:val="24"/>
              </w:rPr>
            </w:pPr>
            <w:r>
              <w:rPr>
                <w:rFonts w:ascii="宋体" w:hAnsi="宋体" w:cs="宋体"/>
                <w:sz w:val="24"/>
                <w:szCs w:val="24"/>
                <w:lang w:bidi="ar"/>
              </w:rPr>
              <w:t>有多种细化的业务统计、符合WHO标准的细菌数据统计分析系统、为流行疾病的监测统计提供分析依据、一般性学术统计、综合性学术统计、国家卫计委质量控制管理的统计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447" w:type="pct"/>
            <w:noWrap w:val="0"/>
            <w:vAlign w:val="center"/>
          </w:tcPr>
          <w:p>
            <w:pPr>
              <w:jc w:val="center"/>
              <w:rPr>
                <w:rFonts w:hint="default" w:ascii="宋体" w:hAnsi="宋体" w:cs="等线"/>
              </w:rPr>
            </w:pPr>
            <w:r>
              <w:rPr>
                <w:rFonts w:ascii="宋体" w:hAnsi="宋体" w:cs="等线"/>
                <w:lang w:bidi="ar"/>
              </w:rPr>
              <w:t>11</w:t>
            </w:r>
          </w:p>
        </w:tc>
        <w:tc>
          <w:tcPr>
            <w:tcW w:w="850" w:type="pct"/>
            <w:noWrap w:val="0"/>
            <w:vAlign w:val="center"/>
          </w:tcPr>
          <w:p>
            <w:pPr>
              <w:jc w:val="left"/>
              <w:rPr>
                <w:rFonts w:hint="default" w:ascii="宋体" w:hAnsi="宋体" w:cs="宋体"/>
                <w:kern w:val="0"/>
                <w:sz w:val="24"/>
                <w:szCs w:val="24"/>
              </w:rPr>
            </w:pPr>
            <w:r>
              <w:rPr>
                <w:rFonts w:ascii="宋体" w:hAnsi="宋体" w:cs="宋体"/>
                <w:kern w:val="0"/>
                <w:sz w:val="24"/>
                <w:szCs w:val="24"/>
              </w:rPr>
              <w:t>专家知识库</w:t>
            </w:r>
          </w:p>
        </w:tc>
        <w:tc>
          <w:tcPr>
            <w:tcW w:w="3703" w:type="pct"/>
            <w:noWrap w:val="0"/>
            <w:vAlign w:val="top"/>
          </w:tcPr>
          <w:p>
            <w:pPr>
              <w:rPr>
                <w:rFonts w:hint="default" w:ascii="宋体" w:hAnsi="宋体" w:cs="宋体"/>
                <w:sz w:val="24"/>
                <w:szCs w:val="24"/>
              </w:rPr>
            </w:pPr>
            <w:r>
              <w:rPr>
                <w:rFonts w:ascii="宋体" w:hAnsi="宋体" w:cs="宋体"/>
                <w:sz w:val="24"/>
                <w:szCs w:val="24"/>
                <w:lang w:bidi="ar"/>
              </w:rPr>
              <w:t>支持结构化数据展示：临床意义、注意事项、参考范围等电子病历等级评审要求字段，满足四级以上电子病历评审要求，检验知识库可以采用标准的接口提供第三方调用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447" w:type="pct"/>
            <w:noWrap w:val="0"/>
            <w:vAlign w:val="center"/>
          </w:tcPr>
          <w:p>
            <w:pPr>
              <w:jc w:val="center"/>
              <w:rPr>
                <w:rFonts w:hint="default" w:ascii="宋体" w:hAnsi="宋体" w:cs="等线"/>
              </w:rPr>
            </w:pPr>
            <w:r>
              <w:rPr>
                <w:rFonts w:ascii="宋体" w:hAnsi="宋体" w:cs="等线"/>
                <w:lang w:bidi="ar"/>
              </w:rPr>
              <w:t>12</w:t>
            </w:r>
          </w:p>
        </w:tc>
        <w:tc>
          <w:tcPr>
            <w:tcW w:w="850" w:type="pct"/>
            <w:noWrap w:val="0"/>
            <w:vAlign w:val="center"/>
          </w:tcPr>
          <w:p>
            <w:pPr>
              <w:jc w:val="left"/>
              <w:rPr>
                <w:rFonts w:hint="default" w:ascii="宋体" w:hAnsi="宋体" w:cs="宋体"/>
                <w:kern w:val="0"/>
                <w:sz w:val="24"/>
                <w:szCs w:val="24"/>
              </w:rPr>
            </w:pPr>
            <w:r>
              <w:rPr>
                <w:rFonts w:ascii="宋体" w:hAnsi="宋体" w:cs="宋体"/>
                <w:kern w:val="0"/>
                <w:sz w:val="24"/>
                <w:szCs w:val="24"/>
              </w:rPr>
              <w:t>第三方接口</w:t>
            </w:r>
          </w:p>
        </w:tc>
        <w:tc>
          <w:tcPr>
            <w:tcW w:w="3703" w:type="pct"/>
            <w:noWrap w:val="0"/>
            <w:vAlign w:val="top"/>
          </w:tcPr>
          <w:p>
            <w:pPr>
              <w:rPr>
                <w:rFonts w:hint="default" w:ascii="宋体" w:hAnsi="宋体" w:cs="宋体"/>
                <w:sz w:val="24"/>
                <w:szCs w:val="24"/>
              </w:rPr>
            </w:pPr>
            <w:r>
              <w:rPr>
                <w:rFonts w:ascii="宋体" w:hAnsi="宋体" w:cs="宋体"/>
                <w:sz w:val="24"/>
                <w:szCs w:val="24"/>
                <w:lang w:bidi="ar"/>
              </w:rPr>
              <w:t>HIS，体检，电子病历，院感，集成平台，短信平台，医院微信等第三方接口</w:t>
            </w:r>
          </w:p>
        </w:tc>
      </w:tr>
    </w:tbl>
    <w:p>
      <w:pPr>
        <w:pStyle w:val="5"/>
        <w:numPr>
          <w:ilvl w:val="2"/>
          <w:numId w:val="5"/>
        </w:numPr>
        <w:spacing w:before="0" w:after="0" w:line="360" w:lineRule="auto"/>
        <w:rPr>
          <w:rFonts w:ascii="宋体" w:hAnsi="宋体"/>
        </w:rPr>
      </w:pPr>
      <w:r>
        <w:rPr>
          <w:rFonts w:hint="eastAsia" w:ascii="宋体" w:hAnsi="宋体"/>
        </w:rPr>
        <w:t>影像信息系统（PACS）</w:t>
      </w:r>
    </w:p>
    <w:p>
      <w:pPr>
        <w:pStyle w:val="6"/>
        <w:ind w:firstLine="0"/>
        <w:rPr>
          <w:rFonts w:ascii="宋体" w:hAnsi="宋体" w:cs="Times New Roman"/>
        </w:rPr>
      </w:pPr>
      <w:r>
        <w:rPr>
          <w:rFonts w:hint="eastAsia" w:cs="Calibri"/>
        </w:rPr>
        <w:t>(</w:t>
      </w:r>
      <w:r>
        <w:rPr>
          <w:rFonts w:cs="Calibri"/>
        </w:rPr>
        <w:t>1</w:t>
      </w:r>
      <w:r>
        <w:rPr>
          <w:rFonts w:hint="eastAsia" w:cs="Calibri"/>
        </w:rPr>
        <w:t xml:space="preserve">) </w:t>
      </w:r>
      <w:r>
        <w:rPr>
          <w:rFonts w:hint="eastAsia" w:ascii="宋体" w:hAnsi="宋体" w:cs="Times New Roman"/>
        </w:rPr>
        <w:t>PACS系统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461"/>
        <w:gridCol w:w="1517"/>
        <w:gridCol w:w="48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blHeader/>
        </w:trPr>
        <w:tc>
          <w:tcPr>
            <w:tcW w:w="41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857"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一级功能模块</w:t>
            </w:r>
          </w:p>
        </w:tc>
        <w:tc>
          <w:tcPr>
            <w:tcW w:w="890"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二级功能模块</w:t>
            </w:r>
          </w:p>
        </w:tc>
        <w:tc>
          <w:tcPr>
            <w:tcW w:w="283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857" w:type="pct"/>
            <w:vMerge w:val="restar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PACS服务器软件</w:t>
            </w:r>
          </w:p>
        </w:tc>
        <w:tc>
          <w:tcPr>
            <w:tcW w:w="890"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DICOM传输</w:t>
            </w: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同时支持多个DICOM影像设备的图像接收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可根据不同的影像设备配置接收的优先级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支持最多20个不同IP段的影像设备，无需统一IP</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支持有条件的Q/R操作我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具备DICOM网段和图像处理终端物理隔离设计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在线数据存储功能</w:t>
            </w: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支持存储同步转发到后备存储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支持JPEG2000的灰度图像无损压缩和解压功能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支持有条件的数据迁移，方便存储的扩展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支持跨物理磁盘，在一个磁盘上跨目录的图像文件存储，确保文件系统的高效率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支持每日自动数据打包和刻录光盘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光盘带有在任意Windows系统中浏览图像和报告的软件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可支持将超过水线的图像自动迁移到近线存储管理中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支持自动将从近线存储回溯的图像在超过时限的情况下从在线存储移除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近线存储管理</w:t>
            </w: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支持通过DICOM Q/R或者内部协议访问将长期打包的数据拆解到在线存储管理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近线存储使用独立的数据库，每个Study仅占用一条记录，全部图像打包存储，并从在线系统中移除，使在线系统始终保持高效率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857" w:type="pct"/>
            <w:vMerge w:val="restar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图像浏览终端</w:t>
            </w:r>
          </w:p>
        </w:tc>
        <w:tc>
          <w:tcPr>
            <w:tcW w:w="890"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基本图像处理</w:t>
            </w: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支持每秒200-300张小图标的传输和显示，显示任意CT图像的时间不超过3秒，降低等待时间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支持DICOM Gray Scale Presentation Status浏览状态的保存和传输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支持DICOM OVERLAY信息的表达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支持各类无损压缩格式的减压功能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支持从设备上传出的DICOM SR信息的表达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窗宽、窗位调整、放大、漫游、图像翻转和负片操作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各种面积、直方图、长度和角度测量工具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针对不同类型的图像，屏幕提现不同的工具栏和右键功能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伪彩功能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局部放大镜和自动窗位显示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根据圈定区域自动设定窗宽、窗位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图像显示区域四角标注可定制中文显示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和影像设备类型有关的图像处理功能</w:t>
            </w:r>
          </w:p>
        </w:tc>
        <w:tc>
          <w:tcPr>
            <w:tcW w:w="2834" w:type="pct"/>
            <w:noWrap w:val="0"/>
            <w:vAlign w:val="center"/>
          </w:tcPr>
          <w:p>
            <w:pPr>
              <w:jc w:val="left"/>
              <w:rPr>
                <w:rFonts w:hint="default" w:ascii="宋体" w:hAnsi="宋体" w:cs="宋体"/>
                <w:b/>
                <w:bCs/>
                <w:kern w:val="0"/>
                <w:sz w:val="24"/>
                <w:szCs w:val="24"/>
              </w:rPr>
            </w:pPr>
            <w:r>
              <w:rPr>
                <w:rFonts w:ascii="宋体" w:hAnsi="宋体" w:cs="宋体"/>
                <w:b/>
                <w:bCs/>
                <w:kern w:val="0"/>
                <w:sz w:val="24"/>
                <w:szCs w:val="24"/>
              </w:rPr>
              <w:t>针对CR/DR图像</w:t>
            </w:r>
            <w:r>
              <w:rPr>
                <w:rFonts w:ascii="宋体" w:hAnsi="宋体" w:cs="宋体"/>
                <w:kern w:val="0"/>
                <w:sz w:val="24"/>
                <w:szCs w:val="24"/>
              </w:rPr>
              <w:t>，提供长骨多付图像的无缝拼接功能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提供组织均衡化图像增强功能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b/>
                <w:bCs/>
                <w:kern w:val="0"/>
                <w:sz w:val="24"/>
                <w:szCs w:val="24"/>
              </w:rPr>
            </w:pPr>
            <w:r>
              <w:rPr>
                <w:rFonts w:ascii="宋体" w:hAnsi="宋体" w:cs="宋体"/>
                <w:b/>
                <w:bCs/>
                <w:kern w:val="0"/>
                <w:sz w:val="24"/>
                <w:szCs w:val="24"/>
              </w:rPr>
              <w:t>针对CT/MR图像</w:t>
            </w:r>
            <w:r>
              <w:rPr>
                <w:rFonts w:ascii="宋体" w:hAnsi="宋体" w:cs="宋体"/>
                <w:kern w:val="0"/>
                <w:sz w:val="24"/>
                <w:szCs w:val="24"/>
              </w:rPr>
              <w:t>，自动计算定位线，并可选取定位线来选取图像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支持组对比和成组图像的操作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按扫描周期来进行序列的自动拆分和显示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CT图像的椎体自动定位功能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MR图像的交叉定位功能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MPR和MIP功能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MPR下的直接切割功能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b/>
                <w:bCs/>
                <w:kern w:val="0"/>
                <w:sz w:val="24"/>
                <w:szCs w:val="24"/>
              </w:rPr>
            </w:pPr>
            <w:r>
              <w:rPr>
                <w:rFonts w:ascii="宋体" w:hAnsi="宋体" w:cs="宋体"/>
                <w:b/>
                <w:bCs/>
                <w:kern w:val="0"/>
                <w:sz w:val="24"/>
                <w:szCs w:val="24"/>
              </w:rPr>
              <w:t>针对DSA图像</w:t>
            </w:r>
            <w:r>
              <w:rPr>
                <w:rFonts w:ascii="宋体" w:hAnsi="宋体" w:cs="宋体"/>
                <w:kern w:val="0"/>
                <w:sz w:val="24"/>
                <w:szCs w:val="24"/>
              </w:rPr>
              <w:t>，3种减影模式的减影功能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电影播放最快到每秒60帧，满足高心率的播放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序列拆解到单帧或者组成新电影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导管定标和血管狭窄测量功能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左心功能分析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b/>
                <w:bCs/>
                <w:kern w:val="0"/>
                <w:sz w:val="24"/>
                <w:szCs w:val="24"/>
              </w:rPr>
            </w:pPr>
            <w:r>
              <w:rPr>
                <w:rFonts w:ascii="宋体" w:hAnsi="宋体" w:cs="宋体"/>
                <w:b/>
                <w:bCs/>
                <w:kern w:val="0"/>
                <w:sz w:val="24"/>
                <w:szCs w:val="24"/>
              </w:rPr>
              <w:t>针对乳腺图像</w:t>
            </w:r>
            <w:r>
              <w:rPr>
                <w:rFonts w:ascii="宋体" w:hAnsi="宋体" w:cs="宋体"/>
                <w:kern w:val="0"/>
                <w:sz w:val="24"/>
                <w:szCs w:val="24"/>
              </w:rPr>
              <w:t>，自动钙化点寻找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既有的多种挂片协议，并一键在预设的协议间切换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照相操作</w:t>
            </w: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支持在图像处理窗口和照相窗口间拖拽图像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支持在照相窗口中通过拖拽调整图像的顺序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在照相窗口中进行缩放、漫游和调窗的处理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支持多个患者在一张胶片上的排版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方便地选择胶片模式和目标激光相机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胶片信息全中文显示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可在胶片上打印含有患者信息的条码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可将患者照相的状态记录下来发给RIS系统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857" w:type="pct"/>
            <w:vMerge w:val="restar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Web浏览端</w:t>
            </w:r>
          </w:p>
        </w:tc>
        <w:tc>
          <w:tcPr>
            <w:tcW w:w="890" w:type="pct"/>
            <w:noWrap w:val="0"/>
            <w:vAlign w:val="center"/>
          </w:tcPr>
          <w:p>
            <w:pPr>
              <w:jc w:val="center"/>
              <w:rPr>
                <w:rFonts w:hint="default" w:ascii="宋体" w:hAnsi="宋体" w:cs="宋体"/>
                <w:kern w:val="0"/>
                <w:sz w:val="24"/>
                <w:szCs w:val="24"/>
              </w:rPr>
            </w:pPr>
            <w:r>
              <w:rPr>
                <w:rFonts w:ascii="宋体" w:hAnsi="宋体" w:cs="宋体"/>
                <w:kern w:val="0"/>
                <w:sz w:val="24"/>
                <w:szCs w:val="24"/>
              </w:rPr>
              <w:t>HIS/EMR整合</w:t>
            </w: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可通过PID等参数调用直接打开患者的图像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基本浏览功能</w:t>
            </w: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自适应临床终端的显示屏类型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b/>
                <w:bCs/>
                <w:kern w:val="0"/>
                <w:sz w:val="24"/>
                <w:szCs w:val="24"/>
              </w:rPr>
            </w:pPr>
          </w:p>
        </w:tc>
        <w:tc>
          <w:tcPr>
            <w:tcW w:w="890"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基本的浏览操作，调窗、缩放、翻页、测量等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857" w:type="pct"/>
            <w:vMerge w:val="continue"/>
            <w:noWrap w:val="0"/>
            <w:vAlign w:val="center"/>
          </w:tcPr>
          <w:p>
            <w:pPr>
              <w:jc w:val="left"/>
              <w:rPr>
                <w:rFonts w:hint="default" w:ascii="宋体" w:hAnsi="宋体" w:cs="宋体"/>
                <w:b/>
                <w:bCs/>
                <w:kern w:val="0"/>
                <w:sz w:val="24"/>
                <w:szCs w:val="24"/>
              </w:rPr>
            </w:pPr>
          </w:p>
        </w:tc>
        <w:tc>
          <w:tcPr>
            <w:tcW w:w="890" w:type="pct"/>
            <w:noWrap w:val="0"/>
            <w:vAlign w:val="center"/>
          </w:tcPr>
          <w:p>
            <w:pPr>
              <w:jc w:val="center"/>
              <w:rPr>
                <w:rFonts w:hint="default" w:ascii="宋体" w:hAnsi="宋体" w:cs="宋体"/>
                <w:kern w:val="0"/>
                <w:sz w:val="24"/>
                <w:szCs w:val="24"/>
              </w:rPr>
            </w:pPr>
            <w:r>
              <w:rPr>
                <w:rFonts w:ascii="宋体" w:hAnsi="宋体" w:cs="宋体"/>
                <w:kern w:val="0"/>
                <w:sz w:val="24"/>
                <w:szCs w:val="24"/>
              </w:rPr>
              <w:t>关键图像浏览功能</w:t>
            </w:r>
          </w:p>
        </w:tc>
        <w:tc>
          <w:tcPr>
            <w:tcW w:w="2834" w:type="pct"/>
            <w:noWrap w:val="0"/>
            <w:vAlign w:val="center"/>
          </w:tcPr>
          <w:p>
            <w:pPr>
              <w:jc w:val="left"/>
              <w:rPr>
                <w:rFonts w:hint="default" w:ascii="宋体" w:hAnsi="宋体" w:cs="宋体"/>
                <w:kern w:val="0"/>
                <w:sz w:val="24"/>
                <w:szCs w:val="24"/>
              </w:rPr>
            </w:pPr>
            <w:r>
              <w:rPr>
                <w:rFonts w:ascii="宋体" w:hAnsi="宋体" w:cs="宋体"/>
                <w:kern w:val="0"/>
                <w:sz w:val="24"/>
                <w:szCs w:val="24"/>
              </w:rPr>
              <w:t>可指定浏览带有GSPS信息的关键图像</w:t>
            </w:r>
          </w:p>
        </w:tc>
      </w:tr>
    </w:tbl>
    <w:p>
      <w:pPr>
        <w:pStyle w:val="6"/>
        <w:ind w:firstLine="0"/>
        <w:rPr>
          <w:rFonts w:cs="Calibri"/>
        </w:rPr>
      </w:pPr>
      <w:r>
        <w:rPr>
          <w:rFonts w:hint="eastAsia" w:cs="Calibri"/>
        </w:rPr>
        <w:t>(2) RIS系统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4"/>
        <w:gridCol w:w="1488"/>
        <w:gridCol w:w="1490"/>
        <w:gridCol w:w="312"/>
        <w:gridCol w:w="4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blHeader/>
        </w:trPr>
        <w:tc>
          <w:tcPr>
            <w:tcW w:w="41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873"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一级功能模块</w:t>
            </w:r>
          </w:p>
        </w:tc>
        <w:tc>
          <w:tcPr>
            <w:tcW w:w="87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二级功能模块</w:t>
            </w:r>
          </w:p>
        </w:tc>
        <w:tc>
          <w:tcPr>
            <w:tcW w:w="2834" w:type="pct"/>
            <w:gridSpan w:val="2"/>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873"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登记和预约</w:t>
            </w: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患者信息的快速录入</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在HIS系统配合开发的情况下，支持通过扫描医保卡、门诊卡、一卡通等硬件身份识别物品直接获取患者的检查信息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在HIS系统配合开发的情况下，支持扫描带有条码的申请单直接获取患者的检查申请信息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在HIS系统配合开发的情况下，支持从HIS系统的电子申请列表中直接查询和提取相关检查申请信息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支持“老数据”的使用，简单地通过老号码、姓名等从外部库中提取患者信息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自动搜索重名患者，并给出相关提示和相关患者列表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支持患者姓名（多音字）自动转换为拼音模式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对VIP患者，支持患者名称中使用匿名，后期修改名字或始终保持匿名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可使用“年月天”等多种患者年龄计量单位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可选择保持外部系统的患者ID，或者必要时建立新的患者ID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自动生成STUDY ID、PATIENT ID，无需人工干预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对不同的影像类型可指定不同的PATIENT ID段，便于识别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对特殊病例，可强行指定STUDY ID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对不同的影像设备可指定不同的STUDY ID段，便于识别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支持纯键盘操作方式录入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支持预约患者批量进行登记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873" w:type="pct"/>
            <w:vMerge w:val="continue"/>
            <w:noWrap w:val="0"/>
            <w:vAlign w:val="center"/>
          </w:tcPr>
          <w:p>
            <w:pPr>
              <w:jc w:val="left"/>
              <w:rPr>
                <w:rFonts w:hint="default" w:ascii="宋体" w:hAnsi="宋体" w:cs="宋体"/>
                <w:kern w:val="0"/>
                <w:sz w:val="24"/>
                <w:szCs w:val="24"/>
              </w:rPr>
            </w:pP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检查项目和流程安排</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根据申请单的不同，自动确定平诊、急诊，以及住院/门诊/体检等流程方案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可以手工选择绿色通道，方便VIP患者和领导就诊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支持登记站点和影像设备一对多和多对多的服务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支持一个患者多个检查项目或者多个检查部位连续录入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支持“设备-检查项目-检查费用”字典的逻辑，支持拼音字头录入检查项目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支持树型字典跟随鼠标展开，可一击完成树型数据的完全录入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根据机房、检查部位、检查时间等项目打印个性化取片单，并进行个性化的语音呼叫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可自动生成检查排队序号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873" w:type="pct"/>
            <w:vMerge w:val="continue"/>
            <w:noWrap w:val="0"/>
            <w:vAlign w:val="center"/>
          </w:tcPr>
          <w:p>
            <w:pPr>
              <w:jc w:val="left"/>
              <w:rPr>
                <w:rFonts w:hint="default" w:ascii="宋体" w:hAnsi="宋体" w:cs="宋体"/>
                <w:kern w:val="0"/>
                <w:sz w:val="24"/>
                <w:szCs w:val="24"/>
              </w:rPr>
            </w:pP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申请单的处理</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可扫描患者的纸质申请单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在HIS系统配合开发的情况下，可将电子申请单提取到系统中，并以规范格式显示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873" w:type="pct"/>
            <w:vMerge w:val="continue"/>
            <w:noWrap w:val="0"/>
            <w:vAlign w:val="center"/>
          </w:tcPr>
          <w:p>
            <w:pPr>
              <w:jc w:val="left"/>
              <w:rPr>
                <w:rFonts w:hint="default" w:ascii="宋体" w:hAnsi="宋体" w:cs="宋体"/>
                <w:kern w:val="0"/>
                <w:sz w:val="24"/>
                <w:szCs w:val="24"/>
              </w:rPr>
            </w:pP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处理患者检查费用的增减</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在HIS系统配合开发的情况下，根据电子申请中的检查项目直接计算费用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可以登记界面直接手工添加检查上的附加费用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在HIS系统配合开发的情况下，后期可根据检查情况直接增加费用，针对门诊患者可打印收费单据或退款单据；对住院患者直接记账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873" w:type="pct"/>
            <w:vMerge w:val="continue"/>
            <w:noWrap w:val="0"/>
            <w:vAlign w:val="center"/>
          </w:tcPr>
          <w:p>
            <w:pPr>
              <w:jc w:val="left"/>
              <w:rPr>
                <w:rFonts w:hint="default" w:ascii="宋体" w:hAnsi="宋体" w:cs="宋体"/>
                <w:kern w:val="0"/>
                <w:sz w:val="24"/>
                <w:szCs w:val="24"/>
              </w:rPr>
            </w:pP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预约功能</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可选择指定的日期、时间段和检查设备进行预约，支持拖拽操作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预约的时间间隔可以自由调整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支持从预约直接将检查信息转入登记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支持将暂时不适宜检查的患者转入预约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873" w:type="pct"/>
            <w:vMerge w:val="continue"/>
            <w:noWrap w:val="0"/>
            <w:vAlign w:val="center"/>
          </w:tcPr>
          <w:p>
            <w:pPr>
              <w:jc w:val="left"/>
              <w:rPr>
                <w:rFonts w:hint="default" w:ascii="宋体" w:hAnsi="宋体" w:cs="宋体"/>
                <w:kern w:val="0"/>
                <w:sz w:val="24"/>
                <w:szCs w:val="24"/>
              </w:rPr>
            </w:pP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其他管理功能</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支持打印每日的不同设备的登记列表和预约列表，取消手工记录本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方便地对登记和预约信息进行快速查询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接收和执行后续流程提交的差错处理解决方案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在不更改HIS电子申请和患者信息的前提下，更在这些信息在影像科室的备份，以便更符合实际情况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873"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检查机房功能</w:t>
            </w: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患者的一般性排程管理</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大屏幕显示机房的患者队列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针对急诊和绿色通道患者，在显示队列上给出明显标志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根据优先顺序语音呼叫患者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根据不同的检查项目，语音提示个性化的注意事项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可以手工调整队列顺序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患者过号的处理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同一机房，姓名拼音相同的患者提示功能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可支持患者身份验证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可支持Worklist锁定当前患者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可支持多个项目在不同设备（DR）上做检查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通过关闭检查或者切换下一个患者，仿真MPPS功能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873" w:type="pct"/>
            <w:vMerge w:val="continue"/>
            <w:noWrap w:val="0"/>
            <w:vAlign w:val="center"/>
          </w:tcPr>
          <w:p>
            <w:pPr>
              <w:jc w:val="left"/>
              <w:rPr>
                <w:rFonts w:hint="default" w:ascii="宋体" w:hAnsi="宋体" w:cs="宋体"/>
                <w:kern w:val="0"/>
                <w:sz w:val="24"/>
                <w:szCs w:val="24"/>
              </w:rPr>
            </w:pP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处理检查费用的增减</w:t>
            </w:r>
          </w:p>
        </w:tc>
        <w:tc>
          <w:tcPr>
            <w:tcW w:w="2834" w:type="pct"/>
            <w:gridSpan w:val="2"/>
            <w:vMerge w:val="restart"/>
            <w:noWrap w:val="0"/>
            <w:vAlign w:val="center"/>
          </w:tcPr>
          <w:p>
            <w:pPr>
              <w:rPr>
                <w:rFonts w:hint="default" w:ascii="宋体" w:hAnsi="宋体" w:cs="宋体"/>
                <w:kern w:val="0"/>
                <w:sz w:val="24"/>
                <w:szCs w:val="24"/>
              </w:rPr>
            </w:pPr>
            <w:r>
              <w:rPr>
                <w:rFonts w:ascii="宋体" w:hAnsi="宋体" w:cs="宋体"/>
                <w:kern w:val="0"/>
                <w:sz w:val="24"/>
                <w:szCs w:val="24"/>
              </w:rPr>
              <w:t>在HIS系统配合开发的情况下，对于需要增减费用的检查，可以直接进行增减费用的操作：门诊患者打印缴费单或者退费单；住院患者直接记账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vMerge w:val="continue"/>
            <w:noWrap w:val="0"/>
            <w:vAlign w:val="center"/>
          </w:tcPr>
          <w:p>
            <w:pPr>
              <w:jc w:val="left"/>
              <w:rPr>
                <w:rFonts w:hint="default"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873" w:type="pct"/>
            <w:vMerge w:val="continue"/>
            <w:noWrap w:val="0"/>
            <w:vAlign w:val="center"/>
          </w:tcPr>
          <w:p>
            <w:pPr>
              <w:jc w:val="left"/>
              <w:rPr>
                <w:rFonts w:hint="default" w:ascii="宋体" w:hAnsi="宋体" w:cs="宋体"/>
                <w:kern w:val="0"/>
                <w:sz w:val="24"/>
                <w:szCs w:val="24"/>
              </w:rPr>
            </w:pP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耗材的管理</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通过条码识别或者下拉菜单选择，记录检查使用的耗材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可对耗材的使用进行统计和查询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873" w:type="pct"/>
            <w:vMerge w:val="continue"/>
            <w:noWrap w:val="0"/>
            <w:vAlign w:val="center"/>
          </w:tcPr>
          <w:p>
            <w:pPr>
              <w:jc w:val="left"/>
              <w:rPr>
                <w:rFonts w:hint="default" w:ascii="宋体" w:hAnsi="宋体" w:cs="宋体"/>
                <w:kern w:val="0"/>
                <w:sz w:val="24"/>
                <w:szCs w:val="24"/>
              </w:rPr>
            </w:pP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个性化的质量处理模块</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支持检查部位差错等质量问题的处理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支持取消检查和终止检查流程的处理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支持暂停检查的处理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针对患者信息或者申请的错误，提交登记处理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支持患者重拍补拍的流程管理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图像评级管理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辅助技师录入、统计功能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图像合并操作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支持设备状态记录，提供正常描述、故障提交、故障确认和维修流程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873"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报告和审核功能</w:t>
            </w: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登录管理</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支持电子签名的硬加密射频卡、U卡等身份识别和登录方式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支持用户名、密码组合的登录方式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873" w:type="pct"/>
            <w:vMerge w:val="continue"/>
            <w:noWrap w:val="0"/>
            <w:vAlign w:val="center"/>
          </w:tcPr>
          <w:p>
            <w:pPr>
              <w:jc w:val="left"/>
              <w:rPr>
                <w:rFonts w:hint="default" w:ascii="宋体" w:hAnsi="宋体" w:cs="宋体"/>
                <w:kern w:val="0"/>
                <w:sz w:val="24"/>
                <w:szCs w:val="24"/>
              </w:rPr>
            </w:pP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工作角色管理</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在视角中的患者根据不同状态，用不同的图标表示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可以按照设备、学组、物理地点等设置“角色”的岗位内容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根据排班表自动切换岗位的“角色”视角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对于一定级别的专家教授，给予固定的视角，不跟随岗位变化而变化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公共的、可按照检查和诊断类型进行查询的视角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个人的学术资料收集、工作记录查询视角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可支持诊断结果以全文检索的方式来查询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支持报告自定义贴图功能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支持自动判断危急值功能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支持报告内容的明显错误提示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支持系统自动判断阴阳性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873" w:type="pct"/>
            <w:vMerge w:val="continue"/>
            <w:noWrap w:val="0"/>
            <w:vAlign w:val="center"/>
          </w:tcPr>
          <w:p>
            <w:pPr>
              <w:jc w:val="left"/>
              <w:rPr>
                <w:rFonts w:hint="default" w:ascii="宋体" w:hAnsi="宋体" w:cs="宋体"/>
                <w:kern w:val="0"/>
                <w:sz w:val="24"/>
                <w:szCs w:val="24"/>
              </w:rPr>
            </w:pP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患者其他信息的交叉浏览</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在HIS系统配合开发的情况下，可直接浏览患者的电子病历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可浏览患者在放射科的历史检查报告和图像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在其他影像系统配合开发的情况下，可浏览其他影像科室的图像和报告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14</w:t>
            </w:r>
          </w:p>
        </w:tc>
        <w:tc>
          <w:tcPr>
            <w:tcW w:w="873" w:type="pct"/>
            <w:vMerge w:val="continue"/>
            <w:noWrap w:val="0"/>
            <w:vAlign w:val="center"/>
          </w:tcPr>
          <w:p>
            <w:pPr>
              <w:jc w:val="left"/>
              <w:rPr>
                <w:rFonts w:hint="default" w:ascii="宋体" w:hAnsi="宋体" w:cs="宋体"/>
                <w:kern w:val="0"/>
                <w:sz w:val="24"/>
                <w:szCs w:val="24"/>
              </w:rPr>
            </w:pP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模板的管理</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可根据需要随时创建任意形式的报告格式，所见所得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可在使用中根据情况切换多种不同的报告格式，报告内容不丢失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模板的建立符合“检查设备-部位-疾病”逻辑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可根据患者的检查类型自动进行模板的范围限定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可根据权限定义公共模板和私有模板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模板定义随定随用，无需退出软件重新进入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支持下拉列表型模板，关键疾病表现可下拉选择，一个模板覆盖广泛的应用范围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可将模板导出备份，也可将外部模板导入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完整的RTF格式支持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可在报告界面直接选择切换输入法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可进行报告的模拟显示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支持词库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支持阴阳性输入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15</w:t>
            </w:r>
          </w:p>
        </w:tc>
        <w:tc>
          <w:tcPr>
            <w:tcW w:w="873" w:type="pct"/>
            <w:vMerge w:val="continue"/>
            <w:noWrap w:val="0"/>
            <w:vAlign w:val="center"/>
          </w:tcPr>
          <w:p>
            <w:pPr>
              <w:jc w:val="left"/>
              <w:rPr>
                <w:rFonts w:hint="default" w:ascii="宋体" w:hAnsi="宋体" w:cs="宋体"/>
                <w:kern w:val="0"/>
                <w:sz w:val="24"/>
                <w:szCs w:val="24"/>
              </w:rPr>
            </w:pP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审核流程</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支持初步报告、报告审核和复审流程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支持授权的高级诊断人员无需审核直接打印报告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支持急诊的初步印象打印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对于体检人员的报告无需审核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支持驳回操作和修改通过审核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历次报告修改的记录和痕迹对比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16</w:t>
            </w:r>
          </w:p>
        </w:tc>
        <w:tc>
          <w:tcPr>
            <w:tcW w:w="873" w:type="pct"/>
            <w:vMerge w:val="continue"/>
            <w:noWrap w:val="0"/>
            <w:vAlign w:val="center"/>
          </w:tcPr>
          <w:p>
            <w:pPr>
              <w:jc w:val="left"/>
              <w:rPr>
                <w:rFonts w:hint="default" w:ascii="宋体" w:hAnsi="宋体" w:cs="宋体"/>
                <w:kern w:val="0"/>
                <w:sz w:val="24"/>
                <w:szCs w:val="24"/>
              </w:rPr>
            </w:pPr>
          </w:p>
        </w:tc>
        <w:tc>
          <w:tcPr>
            <w:tcW w:w="874"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报告输出</w:t>
            </w: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可预设打印的份数和根据纸张大小的缩放比例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可将报告打印成DICOM图像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874" w:type="pct"/>
            <w:vMerge w:val="continue"/>
            <w:noWrap w:val="0"/>
            <w:vAlign w:val="center"/>
          </w:tcPr>
          <w:p>
            <w:pPr>
              <w:jc w:val="left"/>
              <w:rPr>
                <w:rFonts w:hint="default" w:ascii="宋体" w:hAnsi="宋体" w:cs="宋体"/>
                <w:kern w:val="0"/>
                <w:sz w:val="24"/>
                <w:szCs w:val="24"/>
              </w:rPr>
            </w:pPr>
          </w:p>
        </w:tc>
        <w:tc>
          <w:tcPr>
            <w:tcW w:w="2834" w:type="pct"/>
            <w:gridSpan w:val="2"/>
            <w:noWrap w:val="0"/>
            <w:vAlign w:val="center"/>
          </w:tcPr>
          <w:p>
            <w:pPr>
              <w:rPr>
                <w:rFonts w:hint="default" w:ascii="宋体" w:hAnsi="宋体" w:cs="宋体"/>
                <w:kern w:val="0"/>
                <w:sz w:val="24"/>
                <w:szCs w:val="24"/>
              </w:rPr>
            </w:pPr>
            <w:r>
              <w:rPr>
                <w:rFonts w:ascii="宋体" w:hAnsi="宋体" w:cs="宋体"/>
                <w:kern w:val="0"/>
                <w:sz w:val="24"/>
                <w:szCs w:val="24"/>
              </w:rPr>
              <w:t>可保存成Structure Report格式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noWrap/>
            <w:vAlign w:val="center"/>
          </w:tcPr>
          <w:p>
            <w:pPr>
              <w:jc w:val="center"/>
              <w:rPr>
                <w:rFonts w:hint="default" w:ascii="宋体" w:hAnsi="宋体" w:cs="宋体"/>
                <w:kern w:val="0"/>
                <w:sz w:val="24"/>
                <w:szCs w:val="24"/>
              </w:rPr>
            </w:pPr>
            <w:r>
              <w:rPr>
                <w:rFonts w:ascii="宋体" w:hAnsi="宋体" w:cs="宋体"/>
                <w:kern w:val="0"/>
                <w:sz w:val="24"/>
                <w:szCs w:val="24"/>
              </w:rPr>
              <w:t>17</w:t>
            </w:r>
          </w:p>
        </w:tc>
        <w:tc>
          <w:tcPr>
            <w:tcW w:w="873"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临床医生工作站端的整合</w:t>
            </w:r>
          </w:p>
        </w:tc>
        <w:tc>
          <w:tcPr>
            <w:tcW w:w="3708" w:type="pct"/>
            <w:gridSpan w:val="3"/>
            <w:noWrap w:val="0"/>
            <w:vAlign w:val="center"/>
          </w:tcPr>
          <w:p>
            <w:pPr>
              <w:rPr>
                <w:rFonts w:hint="default" w:ascii="宋体" w:hAnsi="宋体" w:cs="宋体"/>
                <w:kern w:val="0"/>
                <w:sz w:val="24"/>
                <w:szCs w:val="24"/>
              </w:rPr>
            </w:pPr>
            <w:r>
              <w:rPr>
                <w:rFonts w:ascii="宋体" w:hAnsi="宋体" w:cs="宋体"/>
                <w:kern w:val="0"/>
                <w:sz w:val="24"/>
                <w:szCs w:val="24"/>
              </w:rPr>
              <w:t>与HIS系统对接，报告在审核之后回插到HIS的数据库的相应记录中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noWrap/>
            <w:vAlign w:val="center"/>
          </w:tcPr>
          <w:p>
            <w:pPr>
              <w:jc w:val="center"/>
              <w:rPr>
                <w:rFonts w:hint="default" w:ascii="宋体" w:hAnsi="宋体" w:cs="宋体"/>
                <w:kern w:val="0"/>
                <w:sz w:val="24"/>
                <w:szCs w:val="24"/>
              </w:rPr>
            </w:pPr>
            <w:r>
              <w:rPr>
                <w:rFonts w:ascii="宋体" w:hAnsi="宋体" w:cs="宋体"/>
                <w:kern w:val="0"/>
                <w:sz w:val="24"/>
                <w:szCs w:val="24"/>
              </w:rPr>
              <w:t>18</w:t>
            </w:r>
          </w:p>
        </w:tc>
        <w:tc>
          <w:tcPr>
            <w:tcW w:w="873" w:type="pct"/>
            <w:vMerge w:val="continue"/>
            <w:noWrap w:val="0"/>
            <w:vAlign w:val="center"/>
          </w:tcPr>
          <w:p>
            <w:pPr>
              <w:jc w:val="left"/>
              <w:rPr>
                <w:rFonts w:hint="default" w:ascii="宋体" w:hAnsi="宋体" w:cs="宋体"/>
                <w:kern w:val="0"/>
                <w:sz w:val="24"/>
                <w:szCs w:val="24"/>
              </w:rPr>
            </w:pPr>
          </w:p>
        </w:tc>
        <w:tc>
          <w:tcPr>
            <w:tcW w:w="3708" w:type="pct"/>
            <w:gridSpan w:val="3"/>
            <w:noWrap w:val="0"/>
            <w:vAlign w:val="center"/>
          </w:tcPr>
          <w:p>
            <w:pPr>
              <w:rPr>
                <w:rFonts w:hint="default" w:ascii="宋体" w:hAnsi="宋体" w:cs="宋体"/>
                <w:kern w:val="0"/>
                <w:sz w:val="24"/>
                <w:szCs w:val="24"/>
              </w:rPr>
            </w:pPr>
            <w:r>
              <w:rPr>
                <w:rFonts w:ascii="宋体" w:hAnsi="宋体" w:cs="宋体"/>
                <w:kern w:val="0"/>
                <w:sz w:val="24"/>
                <w:szCs w:val="24"/>
              </w:rPr>
              <w:t>与HIS系统对接，在临床医生工作站上整合基于Web方式的报告和图像浏览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noWrap/>
            <w:vAlign w:val="center"/>
          </w:tcPr>
          <w:p>
            <w:pPr>
              <w:jc w:val="center"/>
              <w:rPr>
                <w:rFonts w:hint="default" w:ascii="宋体" w:hAnsi="宋体" w:cs="宋体"/>
                <w:kern w:val="0"/>
                <w:sz w:val="24"/>
                <w:szCs w:val="24"/>
              </w:rPr>
            </w:pPr>
            <w:r>
              <w:rPr>
                <w:rFonts w:ascii="宋体" w:hAnsi="宋体" w:cs="宋体"/>
                <w:kern w:val="0"/>
                <w:sz w:val="24"/>
                <w:szCs w:val="24"/>
              </w:rPr>
              <w:t>19</w:t>
            </w:r>
          </w:p>
        </w:tc>
        <w:tc>
          <w:tcPr>
            <w:tcW w:w="873" w:type="pct"/>
            <w:vMerge w:val="continue"/>
            <w:noWrap w:val="0"/>
            <w:vAlign w:val="center"/>
          </w:tcPr>
          <w:p>
            <w:pPr>
              <w:jc w:val="left"/>
              <w:rPr>
                <w:rFonts w:hint="default" w:ascii="宋体" w:hAnsi="宋体" w:cs="宋体"/>
                <w:kern w:val="0"/>
                <w:sz w:val="24"/>
                <w:szCs w:val="24"/>
              </w:rPr>
            </w:pPr>
          </w:p>
        </w:tc>
        <w:tc>
          <w:tcPr>
            <w:tcW w:w="3708" w:type="pct"/>
            <w:gridSpan w:val="3"/>
            <w:noWrap w:val="0"/>
            <w:vAlign w:val="center"/>
          </w:tcPr>
          <w:p>
            <w:pPr>
              <w:rPr>
                <w:rFonts w:hint="default" w:ascii="宋体" w:hAnsi="宋体" w:cs="宋体"/>
                <w:kern w:val="0"/>
                <w:sz w:val="24"/>
                <w:szCs w:val="24"/>
              </w:rPr>
            </w:pPr>
            <w:r>
              <w:rPr>
                <w:rFonts w:ascii="宋体" w:hAnsi="宋体" w:cs="宋体"/>
                <w:kern w:val="0"/>
                <w:sz w:val="24"/>
                <w:szCs w:val="24"/>
              </w:rPr>
              <w:t>与HIS系统对接，在医生工作站上提供对电子胶片的浏览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noWrap/>
            <w:vAlign w:val="center"/>
          </w:tcPr>
          <w:p>
            <w:pPr>
              <w:jc w:val="center"/>
              <w:rPr>
                <w:rFonts w:hint="default" w:ascii="宋体" w:hAnsi="宋体" w:cs="宋体"/>
                <w:kern w:val="0"/>
                <w:sz w:val="24"/>
                <w:szCs w:val="24"/>
              </w:rPr>
            </w:pPr>
            <w:r>
              <w:rPr>
                <w:rFonts w:ascii="宋体" w:hAnsi="宋体" w:cs="宋体"/>
                <w:kern w:val="0"/>
                <w:sz w:val="24"/>
                <w:szCs w:val="24"/>
              </w:rPr>
              <w:t>20</w:t>
            </w:r>
          </w:p>
        </w:tc>
        <w:tc>
          <w:tcPr>
            <w:tcW w:w="873" w:type="pct"/>
            <w:vMerge w:val="continue"/>
            <w:noWrap w:val="0"/>
            <w:vAlign w:val="center"/>
          </w:tcPr>
          <w:p>
            <w:pPr>
              <w:jc w:val="left"/>
              <w:rPr>
                <w:rFonts w:hint="default" w:ascii="宋体" w:hAnsi="宋体" w:cs="宋体"/>
                <w:kern w:val="0"/>
                <w:sz w:val="24"/>
                <w:szCs w:val="24"/>
              </w:rPr>
            </w:pPr>
          </w:p>
        </w:tc>
        <w:tc>
          <w:tcPr>
            <w:tcW w:w="3708" w:type="pct"/>
            <w:gridSpan w:val="3"/>
            <w:noWrap w:val="0"/>
            <w:vAlign w:val="center"/>
          </w:tcPr>
          <w:p>
            <w:pPr>
              <w:rPr>
                <w:rFonts w:hint="default" w:ascii="宋体" w:hAnsi="宋体" w:cs="宋体"/>
                <w:kern w:val="0"/>
                <w:sz w:val="24"/>
                <w:szCs w:val="24"/>
              </w:rPr>
            </w:pPr>
            <w:r>
              <w:rPr>
                <w:rFonts w:ascii="宋体" w:hAnsi="宋体" w:cs="宋体"/>
                <w:kern w:val="0"/>
                <w:sz w:val="24"/>
                <w:szCs w:val="24"/>
              </w:rPr>
              <w:t>与HIS系统对接，在医生工作站上提供对指定放射检查的状态查询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21</w:t>
            </w:r>
          </w:p>
        </w:tc>
        <w:tc>
          <w:tcPr>
            <w:tcW w:w="873"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科研和教学管理</w:t>
            </w:r>
          </w:p>
        </w:tc>
        <w:tc>
          <w:tcPr>
            <w:tcW w:w="1057" w:type="pct"/>
            <w:gridSpan w:val="2"/>
            <w:vMerge w:val="restart"/>
            <w:noWrap w:val="0"/>
            <w:vAlign w:val="center"/>
          </w:tcPr>
          <w:p>
            <w:pPr>
              <w:rPr>
                <w:rFonts w:hint="default" w:ascii="宋体" w:hAnsi="宋体" w:cs="宋体"/>
                <w:kern w:val="0"/>
                <w:sz w:val="24"/>
                <w:szCs w:val="24"/>
              </w:rPr>
            </w:pPr>
            <w:r>
              <w:rPr>
                <w:rFonts w:ascii="宋体" w:hAnsi="宋体" w:cs="宋体"/>
                <w:kern w:val="0"/>
                <w:sz w:val="24"/>
                <w:szCs w:val="24"/>
              </w:rPr>
              <w:t>日常检查的分类管理</w:t>
            </w: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支持ACR-INDEX和ICD10的分类标记和分类检索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1057" w:type="pct"/>
            <w:gridSpan w:val="2"/>
            <w:vMerge w:val="continue"/>
            <w:noWrap w:val="0"/>
            <w:vAlign w:val="center"/>
          </w:tcPr>
          <w:p>
            <w:pPr>
              <w:jc w:val="left"/>
              <w:rPr>
                <w:rFonts w:hint="default" w:ascii="宋体" w:hAnsi="宋体" w:cs="宋体"/>
                <w:kern w:val="0"/>
                <w:sz w:val="24"/>
                <w:szCs w:val="24"/>
              </w:rPr>
            </w:pP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支持“早会”、“典型病例”等对检查的学术分类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1057" w:type="pct"/>
            <w:gridSpan w:val="2"/>
            <w:vMerge w:val="continue"/>
            <w:noWrap w:val="0"/>
            <w:vAlign w:val="center"/>
          </w:tcPr>
          <w:p>
            <w:pPr>
              <w:jc w:val="left"/>
              <w:rPr>
                <w:rFonts w:hint="default" w:ascii="宋体" w:hAnsi="宋体" w:cs="宋体"/>
                <w:kern w:val="0"/>
                <w:sz w:val="24"/>
                <w:szCs w:val="24"/>
              </w:rPr>
            </w:pP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可自定义其他分类方法，并进行分类查询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22</w:t>
            </w:r>
          </w:p>
        </w:tc>
        <w:tc>
          <w:tcPr>
            <w:tcW w:w="873"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统计功能</w:t>
            </w:r>
          </w:p>
        </w:tc>
        <w:tc>
          <w:tcPr>
            <w:tcW w:w="1057" w:type="pct"/>
            <w:gridSpan w:val="2"/>
            <w:vMerge w:val="restart"/>
            <w:noWrap w:val="0"/>
            <w:vAlign w:val="center"/>
          </w:tcPr>
          <w:p>
            <w:pPr>
              <w:rPr>
                <w:rFonts w:hint="default" w:ascii="宋体" w:hAnsi="宋体" w:cs="宋体"/>
                <w:kern w:val="0"/>
                <w:sz w:val="24"/>
                <w:szCs w:val="24"/>
              </w:rPr>
            </w:pPr>
            <w:r>
              <w:rPr>
                <w:rFonts w:ascii="宋体" w:hAnsi="宋体" w:cs="宋体"/>
                <w:kern w:val="0"/>
                <w:sz w:val="24"/>
                <w:szCs w:val="24"/>
              </w:rPr>
              <w:t>常规统计</w:t>
            </w: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登记、机房、报告、审核等岗位的工作量统计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1057" w:type="pct"/>
            <w:gridSpan w:val="2"/>
            <w:vMerge w:val="continue"/>
            <w:noWrap w:val="0"/>
            <w:vAlign w:val="center"/>
          </w:tcPr>
          <w:p>
            <w:pPr>
              <w:jc w:val="left"/>
              <w:rPr>
                <w:rFonts w:hint="default" w:ascii="宋体" w:hAnsi="宋体" w:cs="宋体"/>
                <w:kern w:val="0"/>
                <w:sz w:val="24"/>
                <w:szCs w:val="24"/>
              </w:rPr>
            </w:pP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各类设备的收入统计汇总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1057" w:type="pct"/>
            <w:gridSpan w:val="2"/>
            <w:vMerge w:val="continue"/>
            <w:noWrap w:val="0"/>
            <w:vAlign w:val="center"/>
          </w:tcPr>
          <w:p>
            <w:pPr>
              <w:jc w:val="left"/>
              <w:rPr>
                <w:rFonts w:hint="default" w:ascii="宋体" w:hAnsi="宋体" w:cs="宋体"/>
                <w:kern w:val="0"/>
                <w:sz w:val="24"/>
                <w:szCs w:val="24"/>
              </w:rPr>
            </w:pP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胶片、造影剂等常规耗材的统计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1057" w:type="pct"/>
            <w:gridSpan w:val="2"/>
            <w:vMerge w:val="continue"/>
            <w:noWrap w:val="0"/>
            <w:vAlign w:val="center"/>
          </w:tcPr>
          <w:p>
            <w:pPr>
              <w:jc w:val="left"/>
              <w:rPr>
                <w:rFonts w:hint="default" w:ascii="宋体" w:hAnsi="宋体" w:cs="宋体"/>
                <w:kern w:val="0"/>
                <w:sz w:val="24"/>
                <w:szCs w:val="24"/>
              </w:rPr>
            </w:pP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各工作环节的差错和效率统计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23</w:t>
            </w:r>
          </w:p>
        </w:tc>
        <w:tc>
          <w:tcPr>
            <w:tcW w:w="873" w:type="pct"/>
            <w:vMerge w:val="continue"/>
            <w:noWrap w:val="0"/>
            <w:vAlign w:val="center"/>
          </w:tcPr>
          <w:p>
            <w:pPr>
              <w:jc w:val="left"/>
              <w:rPr>
                <w:rFonts w:hint="default" w:ascii="宋体" w:hAnsi="宋体" w:cs="宋体"/>
                <w:kern w:val="0"/>
                <w:sz w:val="24"/>
                <w:szCs w:val="24"/>
              </w:rPr>
            </w:pPr>
          </w:p>
        </w:tc>
        <w:tc>
          <w:tcPr>
            <w:tcW w:w="1057" w:type="pct"/>
            <w:gridSpan w:val="2"/>
            <w:vMerge w:val="restart"/>
            <w:noWrap w:val="0"/>
            <w:vAlign w:val="center"/>
          </w:tcPr>
          <w:p>
            <w:pPr>
              <w:rPr>
                <w:rFonts w:hint="default" w:ascii="宋体" w:hAnsi="宋体" w:cs="宋体"/>
                <w:kern w:val="0"/>
                <w:sz w:val="24"/>
                <w:szCs w:val="24"/>
              </w:rPr>
            </w:pPr>
            <w:r>
              <w:rPr>
                <w:rFonts w:ascii="宋体" w:hAnsi="宋体" w:cs="宋体"/>
                <w:kern w:val="0"/>
                <w:sz w:val="24"/>
                <w:szCs w:val="24"/>
              </w:rPr>
              <w:t>查询功能</w:t>
            </w: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可以选择设备、时间等各类条件进行复杂逻辑运算查询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1057" w:type="pct"/>
            <w:gridSpan w:val="2"/>
            <w:vMerge w:val="continue"/>
            <w:noWrap w:val="0"/>
            <w:vAlign w:val="center"/>
          </w:tcPr>
          <w:p>
            <w:pPr>
              <w:jc w:val="left"/>
              <w:rPr>
                <w:rFonts w:hint="default" w:ascii="宋体" w:hAnsi="宋体" w:cs="宋体"/>
                <w:kern w:val="0"/>
                <w:sz w:val="24"/>
                <w:szCs w:val="24"/>
              </w:rPr>
            </w:pP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支持将常用的查询固定成“宏”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1057" w:type="pct"/>
            <w:gridSpan w:val="2"/>
            <w:vMerge w:val="continue"/>
            <w:noWrap w:val="0"/>
            <w:vAlign w:val="center"/>
          </w:tcPr>
          <w:p>
            <w:pPr>
              <w:jc w:val="left"/>
              <w:rPr>
                <w:rFonts w:hint="default" w:ascii="宋体" w:hAnsi="宋体" w:cs="宋体"/>
                <w:kern w:val="0"/>
                <w:sz w:val="24"/>
                <w:szCs w:val="24"/>
              </w:rPr>
            </w:pP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支持对“宏”的获取权限管理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24</w:t>
            </w:r>
          </w:p>
        </w:tc>
        <w:tc>
          <w:tcPr>
            <w:tcW w:w="873" w:type="pct"/>
            <w:vMerge w:val="continue"/>
            <w:noWrap w:val="0"/>
            <w:vAlign w:val="center"/>
          </w:tcPr>
          <w:p>
            <w:pPr>
              <w:jc w:val="left"/>
              <w:rPr>
                <w:rFonts w:hint="default" w:ascii="宋体" w:hAnsi="宋体" w:cs="宋体"/>
                <w:kern w:val="0"/>
                <w:sz w:val="24"/>
                <w:szCs w:val="24"/>
              </w:rPr>
            </w:pPr>
          </w:p>
        </w:tc>
        <w:tc>
          <w:tcPr>
            <w:tcW w:w="1057" w:type="pct"/>
            <w:gridSpan w:val="2"/>
            <w:noWrap w:val="0"/>
            <w:vAlign w:val="center"/>
          </w:tcPr>
          <w:p>
            <w:pPr>
              <w:rPr>
                <w:rFonts w:hint="default" w:ascii="宋体" w:hAnsi="宋体" w:cs="宋体"/>
                <w:kern w:val="0"/>
                <w:sz w:val="24"/>
                <w:szCs w:val="24"/>
              </w:rPr>
            </w:pPr>
            <w:r>
              <w:rPr>
                <w:rFonts w:ascii="宋体" w:hAnsi="宋体" w:cs="宋体"/>
                <w:kern w:val="0"/>
                <w:sz w:val="24"/>
                <w:szCs w:val="24"/>
              </w:rPr>
              <w:t>趋势对比</w:t>
            </w: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按月就特定的统计进行趋势对比显示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25</w:t>
            </w:r>
          </w:p>
        </w:tc>
        <w:tc>
          <w:tcPr>
            <w:tcW w:w="873" w:type="pct"/>
            <w:vMerge w:val="continue"/>
            <w:noWrap w:val="0"/>
            <w:vAlign w:val="center"/>
          </w:tcPr>
          <w:p>
            <w:pPr>
              <w:jc w:val="left"/>
              <w:rPr>
                <w:rFonts w:hint="default" w:ascii="宋体" w:hAnsi="宋体" w:cs="宋体"/>
                <w:kern w:val="0"/>
                <w:sz w:val="24"/>
                <w:szCs w:val="24"/>
              </w:rPr>
            </w:pPr>
          </w:p>
        </w:tc>
        <w:tc>
          <w:tcPr>
            <w:tcW w:w="1057" w:type="pct"/>
            <w:gridSpan w:val="2"/>
            <w:vMerge w:val="restart"/>
            <w:noWrap w:val="0"/>
            <w:vAlign w:val="center"/>
          </w:tcPr>
          <w:p>
            <w:pPr>
              <w:rPr>
                <w:rFonts w:hint="default" w:ascii="宋体" w:hAnsi="宋体" w:cs="宋体"/>
                <w:kern w:val="0"/>
                <w:sz w:val="24"/>
                <w:szCs w:val="24"/>
              </w:rPr>
            </w:pPr>
            <w:r>
              <w:rPr>
                <w:rFonts w:ascii="宋体" w:hAnsi="宋体" w:cs="宋体"/>
                <w:kern w:val="0"/>
                <w:sz w:val="24"/>
                <w:szCs w:val="24"/>
              </w:rPr>
              <w:t>统计输出</w:t>
            </w: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已柱状图、饼图等各类图像进行统计报表的显示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1057" w:type="pct"/>
            <w:gridSpan w:val="2"/>
            <w:vMerge w:val="continue"/>
            <w:noWrap w:val="0"/>
            <w:vAlign w:val="center"/>
          </w:tcPr>
          <w:p>
            <w:pPr>
              <w:jc w:val="left"/>
              <w:rPr>
                <w:rFonts w:hint="default" w:ascii="宋体" w:hAnsi="宋体" w:cs="宋体"/>
                <w:kern w:val="0"/>
                <w:sz w:val="24"/>
                <w:szCs w:val="24"/>
              </w:rPr>
            </w:pP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导出文件格式支持EXCEL、JPG、PDF、BMP、WORD、HTML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873" w:type="pct"/>
            <w:vMerge w:val="continue"/>
            <w:noWrap w:val="0"/>
            <w:vAlign w:val="center"/>
          </w:tcPr>
          <w:p>
            <w:pPr>
              <w:jc w:val="left"/>
              <w:rPr>
                <w:rFonts w:hint="default" w:ascii="宋体" w:hAnsi="宋体" w:cs="宋体"/>
                <w:kern w:val="0"/>
                <w:sz w:val="24"/>
                <w:szCs w:val="24"/>
              </w:rPr>
            </w:pPr>
          </w:p>
        </w:tc>
        <w:tc>
          <w:tcPr>
            <w:tcW w:w="1057" w:type="pct"/>
            <w:gridSpan w:val="2"/>
            <w:vMerge w:val="continue"/>
            <w:noWrap w:val="0"/>
            <w:vAlign w:val="center"/>
          </w:tcPr>
          <w:p>
            <w:pPr>
              <w:jc w:val="left"/>
              <w:rPr>
                <w:rFonts w:hint="default" w:ascii="宋体" w:hAnsi="宋体" w:cs="宋体"/>
                <w:kern w:val="0"/>
                <w:sz w:val="24"/>
                <w:szCs w:val="24"/>
              </w:rPr>
            </w:pPr>
          </w:p>
        </w:tc>
        <w:tc>
          <w:tcPr>
            <w:tcW w:w="2651" w:type="pct"/>
            <w:noWrap w:val="0"/>
            <w:vAlign w:val="center"/>
          </w:tcPr>
          <w:p>
            <w:pPr>
              <w:rPr>
                <w:rFonts w:hint="default" w:ascii="宋体" w:hAnsi="宋体" w:cs="宋体"/>
                <w:kern w:val="0"/>
                <w:sz w:val="24"/>
                <w:szCs w:val="24"/>
              </w:rPr>
            </w:pPr>
            <w:r>
              <w:rPr>
                <w:rFonts w:ascii="宋体" w:hAnsi="宋体" w:cs="宋体"/>
                <w:kern w:val="0"/>
                <w:sz w:val="24"/>
                <w:szCs w:val="24"/>
              </w:rPr>
              <w:t>支持统计图形的导出</w:t>
            </w:r>
          </w:p>
        </w:tc>
      </w:tr>
    </w:tbl>
    <w:p>
      <w:pPr>
        <w:pStyle w:val="6"/>
        <w:ind w:firstLine="0"/>
        <w:rPr>
          <w:rFonts w:cs="Calibri"/>
        </w:rPr>
      </w:pPr>
      <w:r>
        <w:rPr>
          <w:rFonts w:hint="eastAsia" w:cs="Calibri"/>
        </w:rPr>
        <w:t>(3) 超声系统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60"/>
        <w:gridCol w:w="1656"/>
        <w:gridCol w:w="1541"/>
        <w:gridCol w:w="4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blHeader/>
        </w:trPr>
        <w:tc>
          <w:tcPr>
            <w:tcW w:w="367"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857"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一级功能模块</w:t>
            </w:r>
          </w:p>
        </w:tc>
        <w:tc>
          <w:tcPr>
            <w:tcW w:w="942"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二级功能模块</w:t>
            </w:r>
          </w:p>
        </w:tc>
        <w:tc>
          <w:tcPr>
            <w:tcW w:w="2834"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857"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图像采集</w:t>
            </w:r>
          </w:p>
        </w:tc>
        <w:tc>
          <w:tcPr>
            <w:tcW w:w="942"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采集卡模式</w:t>
            </w: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可在不关闭上一个患者的情况下，直接采集下一个患者，等上一个患者回来后继续采集图像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支持多种采集卡型号，如OK卡、维真等系列采集卡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静态图像采集数量无限制。同时支持动态采集，动态采集图像数量仅受本地硬盘空间限制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支持键盘快捷键采集、鼠标采集、门铃采集、脚踏采集和采集器采集等多种方式触发采集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图像导入导出功能，方便进行纠错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在患者管理、报告编辑、打印界面下均可以采集图像，无需到特定的窗口采集图像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857" w:type="pct"/>
            <w:vMerge w:val="continue"/>
            <w:noWrap w:val="0"/>
            <w:vAlign w:val="center"/>
          </w:tcPr>
          <w:p>
            <w:pPr>
              <w:jc w:val="left"/>
              <w:rPr>
                <w:rFonts w:hint="default" w:ascii="宋体" w:hAnsi="宋体" w:cs="宋体"/>
                <w:kern w:val="0"/>
                <w:sz w:val="24"/>
                <w:szCs w:val="24"/>
              </w:rPr>
            </w:pPr>
          </w:p>
        </w:tc>
        <w:tc>
          <w:tcPr>
            <w:tcW w:w="942"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DICOM传输模式</w:t>
            </w: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收到图像后的声音提示，避免了采集图像的丢失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新收到的图像可自动添加到打印区域，减少医生操作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图像收到后即时显示在界面中，直观明了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857"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文图报告</w:t>
            </w:r>
          </w:p>
        </w:tc>
        <w:tc>
          <w:tcPr>
            <w:tcW w:w="942"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管理功能</w:t>
            </w: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视角、报告编辑、登记、叫号在一个模块中直接完成操作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可定义“未写报告”，“未审核报告”，“已完成报告”等视角快速查找患者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在“视角”中根据患者的不同流程状态，用不同图标进行标记。比如已检查、报告、急诊等状态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点击列表患者，实时显示报告和图像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必要情况下可调出高级检索界面进行细致、精确的搜索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同一份报告多次修改的痕迹对比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同一份报告历次修改的日志显示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857" w:type="pct"/>
            <w:vMerge w:val="continue"/>
            <w:noWrap w:val="0"/>
            <w:vAlign w:val="center"/>
          </w:tcPr>
          <w:p>
            <w:pPr>
              <w:jc w:val="left"/>
              <w:rPr>
                <w:rFonts w:hint="default" w:ascii="宋体" w:hAnsi="宋体" w:cs="宋体"/>
                <w:kern w:val="0"/>
                <w:sz w:val="24"/>
                <w:szCs w:val="24"/>
              </w:rPr>
            </w:pPr>
          </w:p>
        </w:tc>
        <w:tc>
          <w:tcPr>
            <w:tcW w:w="942"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交叉浏览</w:t>
            </w: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可整合HIS接口，直接获取患者的电子病历和其他信息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通过外部调用，以WEB形式浏览其他影像科室历史检查及报告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查看历史检查图像和报告，查看检查状态变迁过程并编辑本次检查的标签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857" w:type="pct"/>
            <w:vMerge w:val="continue"/>
            <w:noWrap w:val="0"/>
            <w:vAlign w:val="center"/>
          </w:tcPr>
          <w:p>
            <w:pPr>
              <w:jc w:val="left"/>
              <w:rPr>
                <w:rFonts w:hint="default" w:ascii="宋体" w:hAnsi="宋体" w:cs="宋体"/>
                <w:kern w:val="0"/>
                <w:sz w:val="24"/>
                <w:szCs w:val="24"/>
              </w:rPr>
            </w:pPr>
          </w:p>
        </w:tc>
        <w:tc>
          <w:tcPr>
            <w:tcW w:w="942"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排班管理</w:t>
            </w: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拥有诊室内分诊模块、对本诊室的多患者有序检查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直接点击下一个按钮进行顺序检查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857" w:type="pct"/>
            <w:vMerge w:val="continue"/>
            <w:noWrap w:val="0"/>
            <w:vAlign w:val="center"/>
          </w:tcPr>
          <w:p>
            <w:pPr>
              <w:jc w:val="left"/>
              <w:rPr>
                <w:rFonts w:hint="default" w:ascii="宋体" w:hAnsi="宋体" w:cs="宋体"/>
                <w:kern w:val="0"/>
                <w:sz w:val="24"/>
                <w:szCs w:val="24"/>
              </w:rPr>
            </w:pPr>
          </w:p>
        </w:tc>
        <w:tc>
          <w:tcPr>
            <w:tcW w:w="942"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报告界面和模板管理</w:t>
            </w: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报告模板树形管理结构，根据检查项目自动锁定兴趣模板范围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按检查项目、录入项目进行树形结构管理词库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根据检查项目添加测量参数编辑，打印时亦可自动生成为表格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词库和模板拥有个人和公共两种管理模式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支持多图打印，报告打印模板根据需要自由编辑，可进行多种自动化打印，例如：根据打印图像数量、检查项目、大部位、申请科室等不同自动调取相应的打印模板；在报告内容多时，自动生成多页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根据科室需要，定制对应的报告编辑界面，报告模板支持下拉菜单选择词语和填空的方式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报告预览界面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报告打印时可打印物流识别使用的条形码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支持ACR-INDEX、ICD-10根据部位和病理分类的查询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857" w:type="pct"/>
            <w:vMerge w:val="continue"/>
            <w:noWrap w:val="0"/>
            <w:vAlign w:val="center"/>
          </w:tcPr>
          <w:p>
            <w:pPr>
              <w:jc w:val="left"/>
              <w:rPr>
                <w:rFonts w:hint="default" w:ascii="宋体" w:hAnsi="宋体" w:cs="宋体"/>
                <w:kern w:val="0"/>
                <w:sz w:val="24"/>
                <w:szCs w:val="24"/>
              </w:rPr>
            </w:pPr>
          </w:p>
        </w:tc>
        <w:tc>
          <w:tcPr>
            <w:tcW w:w="942"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图像的处理</w:t>
            </w: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缩放、色彩调节操作，删除操作，自动存盘功能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可对图片或视频可以进行标注，并成为搜索关键字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支持体位图片显示，图片采集位置定义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可转换为DICOM格式发送到其他DICOM设备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857"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分诊管理模块</w:t>
            </w:r>
          </w:p>
        </w:tc>
        <w:tc>
          <w:tcPr>
            <w:tcW w:w="942"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检查安排</w:t>
            </w: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界面清晰明了，左边设备列表和已分诊患者，右边为未分诊患者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时时显示登记分配的未检查患者及数量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对急诊、特殊患者采用特殊标记，进行优先处理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当设备故障时，可转移患者到其他机房检查，同时通过LED大屏显示告知患者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按照登记时自动分配的顺序号进行检查，更容易维持患者秩序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对已经在检查中的患者，重新安排时会警告提示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857" w:type="pct"/>
            <w:vMerge w:val="continue"/>
            <w:noWrap w:val="0"/>
            <w:vAlign w:val="center"/>
          </w:tcPr>
          <w:p>
            <w:pPr>
              <w:jc w:val="left"/>
              <w:rPr>
                <w:rFonts w:hint="default" w:ascii="宋体" w:hAnsi="宋体" w:cs="宋体"/>
                <w:kern w:val="0"/>
                <w:sz w:val="24"/>
                <w:szCs w:val="24"/>
              </w:rPr>
            </w:pPr>
          </w:p>
        </w:tc>
        <w:tc>
          <w:tcPr>
            <w:tcW w:w="942"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排队叫号</w:t>
            </w: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支持多个机房使用一个LED大屏显示，或一个机房对应一个LED屏幕显示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支持同步语音叫号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屏幕的显示和格式可以随意设置，叫号内容可以随意设置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可对患者可以进行重复叫号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支持系统自动分诊，无需人工干预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6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857" w:type="pct"/>
            <w:vMerge w:val="continue"/>
            <w:noWrap w:val="0"/>
            <w:vAlign w:val="center"/>
          </w:tcPr>
          <w:p>
            <w:pPr>
              <w:jc w:val="left"/>
              <w:rPr>
                <w:rFonts w:hint="default" w:ascii="宋体" w:hAnsi="宋体" w:cs="宋体"/>
                <w:kern w:val="0"/>
                <w:sz w:val="24"/>
                <w:szCs w:val="24"/>
              </w:rPr>
            </w:pPr>
          </w:p>
        </w:tc>
        <w:tc>
          <w:tcPr>
            <w:tcW w:w="942"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HIS接口</w:t>
            </w: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可做到与HIS的紧密连接，包括登记提取信息、费用的确认、状态的反馈、费用的改变、报告的反馈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支持采集工作站电子病历浏览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center"/>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支持报告回插和临床Web浏览超声图像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857" w:type="pct"/>
            <w:vMerge w:val="continue"/>
            <w:noWrap w:val="0"/>
            <w:vAlign w:val="center"/>
          </w:tcPr>
          <w:p>
            <w:pPr>
              <w:jc w:val="left"/>
              <w:rPr>
                <w:rFonts w:hint="default" w:ascii="宋体" w:hAnsi="宋体" w:cs="宋体"/>
                <w:kern w:val="0"/>
                <w:sz w:val="24"/>
                <w:szCs w:val="24"/>
              </w:rPr>
            </w:pPr>
          </w:p>
        </w:tc>
        <w:tc>
          <w:tcPr>
            <w:tcW w:w="942"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其他</w:t>
            </w: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用户与用户组的权限管理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7" w:type="pct"/>
            <w:vMerge w:val="continue"/>
            <w:noWrap w:val="0"/>
            <w:vAlign w:val="center"/>
          </w:tcPr>
          <w:p>
            <w:pPr>
              <w:jc w:val="left"/>
              <w:rPr>
                <w:rFonts w:hint="default" w:ascii="宋体" w:hAnsi="宋体" w:cs="宋体"/>
                <w:kern w:val="0"/>
                <w:sz w:val="24"/>
                <w:szCs w:val="24"/>
              </w:rPr>
            </w:pPr>
          </w:p>
        </w:tc>
        <w:tc>
          <w:tcPr>
            <w:tcW w:w="857" w:type="pct"/>
            <w:vMerge w:val="continue"/>
            <w:noWrap w:val="0"/>
            <w:vAlign w:val="center"/>
          </w:tcPr>
          <w:p>
            <w:pPr>
              <w:jc w:val="left"/>
              <w:rPr>
                <w:rFonts w:hint="default" w:ascii="宋体" w:hAnsi="宋体" w:cs="宋体"/>
                <w:kern w:val="0"/>
                <w:sz w:val="24"/>
                <w:szCs w:val="24"/>
              </w:rPr>
            </w:pPr>
          </w:p>
        </w:tc>
        <w:tc>
          <w:tcPr>
            <w:tcW w:w="942" w:type="pct"/>
            <w:vMerge w:val="continue"/>
            <w:noWrap w:val="0"/>
            <w:vAlign w:val="center"/>
          </w:tcPr>
          <w:p>
            <w:pPr>
              <w:jc w:val="left"/>
              <w:rPr>
                <w:rFonts w:hint="default" w:ascii="宋体" w:hAnsi="宋体" w:cs="宋体"/>
                <w:kern w:val="0"/>
                <w:sz w:val="24"/>
                <w:szCs w:val="24"/>
              </w:rPr>
            </w:pPr>
          </w:p>
        </w:tc>
        <w:tc>
          <w:tcPr>
            <w:tcW w:w="2834" w:type="pct"/>
            <w:noWrap w:val="0"/>
            <w:vAlign w:val="center"/>
          </w:tcPr>
          <w:p>
            <w:pPr>
              <w:rPr>
                <w:rFonts w:hint="default" w:ascii="宋体" w:hAnsi="宋体" w:cs="宋体"/>
                <w:kern w:val="0"/>
                <w:sz w:val="24"/>
                <w:szCs w:val="24"/>
              </w:rPr>
            </w:pPr>
            <w:r>
              <w:rPr>
                <w:rFonts w:ascii="宋体" w:hAnsi="宋体" w:cs="宋体"/>
                <w:kern w:val="0"/>
                <w:sz w:val="24"/>
                <w:szCs w:val="24"/>
              </w:rPr>
              <w:t>高级的查询、浏览和编辑权限划分</w:t>
            </w:r>
          </w:p>
        </w:tc>
      </w:tr>
    </w:tbl>
    <w:p>
      <w:pPr>
        <w:rPr>
          <w:rFonts w:hint="default"/>
        </w:rPr>
      </w:pPr>
    </w:p>
    <w:p>
      <w:pPr>
        <w:pStyle w:val="6"/>
        <w:ind w:firstLine="0"/>
        <w:rPr>
          <w:rFonts w:cs="Calibri"/>
        </w:rPr>
      </w:pPr>
      <w:r>
        <w:rPr>
          <w:rFonts w:hint="eastAsia" w:cs="Calibri"/>
        </w:rPr>
        <w:t>(4) 临床浏览（WEB）系统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9"/>
        <w:gridCol w:w="1485"/>
        <w:gridCol w:w="6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blHeader/>
        </w:trPr>
        <w:tc>
          <w:tcPr>
            <w:tcW w:w="422" w:type="pct"/>
            <w:noWrap w:val="0"/>
            <w:vAlign w:val="center"/>
          </w:tcPr>
          <w:p>
            <w:pPr>
              <w:jc w:val="center"/>
              <w:rPr>
                <w:rFonts w:hint="default" w:ascii="宋体" w:hAnsi="宋体"/>
                <w:b/>
                <w:sz w:val="24"/>
                <w:szCs w:val="24"/>
              </w:rPr>
            </w:pPr>
            <w:r>
              <w:rPr>
                <w:rFonts w:ascii="宋体" w:hAnsi="宋体"/>
                <w:b/>
                <w:sz w:val="24"/>
                <w:szCs w:val="24"/>
              </w:rPr>
              <w:t>序号</w:t>
            </w:r>
          </w:p>
        </w:tc>
        <w:tc>
          <w:tcPr>
            <w:tcW w:w="871" w:type="pct"/>
            <w:noWrap w:val="0"/>
            <w:vAlign w:val="center"/>
          </w:tcPr>
          <w:p>
            <w:pPr>
              <w:jc w:val="center"/>
              <w:rPr>
                <w:rFonts w:hint="default" w:ascii="宋体" w:hAnsi="宋体"/>
                <w:b/>
                <w:sz w:val="24"/>
                <w:szCs w:val="24"/>
              </w:rPr>
            </w:pPr>
            <w:r>
              <w:rPr>
                <w:rFonts w:ascii="宋体" w:hAnsi="宋体"/>
                <w:b/>
                <w:sz w:val="24"/>
                <w:szCs w:val="24"/>
              </w:rPr>
              <w:t>功能模块</w:t>
            </w:r>
          </w:p>
        </w:tc>
        <w:tc>
          <w:tcPr>
            <w:tcW w:w="3707" w:type="pct"/>
            <w:noWrap w:val="0"/>
            <w:vAlign w:val="center"/>
          </w:tcPr>
          <w:p>
            <w:pPr>
              <w:jc w:val="center"/>
              <w:rPr>
                <w:rFonts w:hint="default" w:ascii="宋体" w:hAnsi="宋体"/>
                <w:b/>
                <w:sz w:val="24"/>
                <w:szCs w:val="24"/>
              </w:rPr>
            </w:pPr>
            <w:r>
              <w:rPr>
                <w:rFonts w:ascii="宋体" w:hAnsi="宋体"/>
                <w:b/>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2" w:type="pct"/>
            <w:noWrap w:val="0"/>
            <w:vAlign w:val="center"/>
          </w:tcPr>
          <w:p>
            <w:pPr>
              <w:jc w:val="center"/>
              <w:rPr>
                <w:rFonts w:hint="default" w:ascii="宋体" w:hAnsi="宋体"/>
                <w:sz w:val="24"/>
                <w:szCs w:val="24"/>
              </w:rPr>
            </w:pPr>
            <w:r>
              <w:rPr>
                <w:rFonts w:ascii="宋体" w:hAnsi="宋体"/>
                <w:sz w:val="24"/>
                <w:szCs w:val="24"/>
              </w:rPr>
              <w:t>1</w:t>
            </w:r>
          </w:p>
        </w:tc>
        <w:tc>
          <w:tcPr>
            <w:tcW w:w="871" w:type="pct"/>
            <w:noWrap w:val="0"/>
            <w:vAlign w:val="center"/>
          </w:tcPr>
          <w:p>
            <w:pPr>
              <w:rPr>
                <w:rFonts w:hint="default" w:ascii="宋体" w:hAnsi="宋体"/>
                <w:sz w:val="24"/>
                <w:szCs w:val="24"/>
              </w:rPr>
            </w:pPr>
            <w:r>
              <w:rPr>
                <w:rFonts w:ascii="宋体" w:hAnsi="宋体"/>
                <w:sz w:val="24"/>
                <w:szCs w:val="24"/>
              </w:rPr>
              <w:t>HIS/EMR整合</w:t>
            </w:r>
          </w:p>
        </w:tc>
        <w:tc>
          <w:tcPr>
            <w:tcW w:w="3707" w:type="pct"/>
            <w:noWrap w:val="0"/>
            <w:vAlign w:val="top"/>
          </w:tcPr>
          <w:p>
            <w:pPr>
              <w:rPr>
                <w:rFonts w:hint="default" w:ascii="宋体" w:hAnsi="宋体"/>
                <w:sz w:val="24"/>
                <w:szCs w:val="24"/>
              </w:rPr>
            </w:pPr>
            <w:r>
              <w:rPr>
                <w:rFonts w:ascii="宋体" w:hAnsi="宋体"/>
                <w:sz w:val="24"/>
                <w:szCs w:val="24"/>
              </w:rPr>
              <w:t>可通过PID等参数调用以WEB的方式直接打开患者的图像和报告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2" w:type="pct"/>
            <w:vMerge w:val="restart"/>
            <w:noWrap w:val="0"/>
            <w:vAlign w:val="center"/>
          </w:tcPr>
          <w:p>
            <w:pPr>
              <w:jc w:val="center"/>
              <w:rPr>
                <w:rFonts w:hint="default" w:ascii="宋体" w:hAnsi="宋体"/>
                <w:sz w:val="24"/>
                <w:szCs w:val="24"/>
              </w:rPr>
            </w:pPr>
            <w:r>
              <w:rPr>
                <w:rFonts w:ascii="宋体" w:hAnsi="宋体"/>
                <w:sz w:val="24"/>
                <w:szCs w:val="24"/>
              </w:rPr>
              <w:t>2</w:t>
            </w:r>
          </w:p>
        </w:tc>
        <w:tc>
          <w:tcPr>
            <w:tcW w:w="871" w:type="pct"/>
            <w:vMerge w:val="restart"/>
            <w:noWrap w:val="0"/>
            <w:vAlign w:val="center"/>
          </w:tcPr>
          <w:p>
            <w:pPr>
              <w:rPr>
                <w:rFonts w:hint="default" w:ascii="宋体" w:hAnsi="宋体"/>
                <w:sz w:val="24"/>
                <w:szCs w:val="24"/>
              </w:rPr>
            </w:pPr>
            <w:r>
              <w:rPr>
                <w:rFonts w:ascii="宋体" w:hAnsi="宋体"/>
                <w:sz w:val="24"/>
                <w:szCs w:val="24"/>
              </w:rPr>
              <w:t>显示功能</w:t>
            </w:r>
          </w:p>
        </w:tc>
        <w:tc>
          <w:tcPr>
            <w:tcW w:w="3707" w:type="pct"/>
            <w:noWrap w:val="0"/>
            <w:vAlign w:val="top"/>
          </w:tcPr>
          <w:p>
            <w:pPr>
              <w:rPr>
                <w:rFonts w:hint="default" w:ascii="宋体" w:hAnsi="宋体"/>
                <w:sz w:val="24"/>
                <w:szCs w:val="24"/>
              </w:rPr>
            </w:pPr>
            <w:r>
              <w:rPr>
                <w:rFonts w:ascii="宋体" w:hAnsi="宋体"/>
                <w:sz w:val="24"/>
                <w:szCs w:val="24"/>
              </w:rPr>
              <w:t xml:space="preserve">可手动调节工具栏在屏幕中的显示位置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2" w:type="pct"/>
            <w:vMerge w:val="continue"/>
            <w:noWrap w:val="0"/>
            <w:vAlign w:val="center"/>
          </w:tcPr>
          <w:p>
            <w:pPr>
              <w:pStyle w:val="175"/>
              <w:numPr>
                <w:ilvl w:val="0"/>
                <w:numId w:val="9"/>
              </w:numPr>
              <w:ind w:left="845" w:firstLineChars="0"/>
              <w:jc w:val="center"/>
              <w:rPr>
                <w:rFonts w:hint="default" w:ascii="宋体" w:hAnsi="宋体"/>
                <w:sz w:val="24"/>
                <w:szCs w:val="24"/>
              </w:rPr>
            </w:pPr>
          </w:p>
        </w:tc>
        <w:tc>
          <w:tcPr>
            <w:tcW w:w="871" w:type="pct"/>
            <w:vMerge w:val="continue"/>
            <w:noWrap w:val="0"/>
            <w:vAlign w:val="center"/>
          </w:tcPr>
          <w:p>
            <w:pPr>
              <w:rPr>
                <w:rFonts w:hint="default" w:ascii="宋体" w:hAnsi="宋体"/>
                <w:sz w:val="24"/>
                <w:szCs w:val="24"/>
              </w:rPr>
            </w:pPr>
          </w:p>
        </w:tc>
        <w:tc>
          <w:tcPr>
            <w:tcW w:w="3707" w:type="pct"/>
            <w:noWrap w:val="0"/>
            <w:vAlign w:val="top"/>
          </w:tcPr>
          <w:p>
            <w:pPr>
              <w:rPr>
                <w:rFonts w:hint="default" w:ascii="宋体" w:hAnsi="宋体"/>
                <w:sz w:val="24"/>
                <w:szCs w:val="24"/>
              </w:rPr>
            </w:pPr>
            <w:r>
              <w:rPr>
                <w:rFonts w:ascii="宋体" w:hAnsi="宋体"/>
                <w:sz w:val="24"/>
                <w:szCs w:val="24"/>
              </w:rPr>
              <w:t>图像显示区域四角标注可定制中文显示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2" w:type="pct"/>
            <w:vMerge w:val="continue"/>
            <w:noWrap w:val="0"/>
            <w:vAlign w:val="center"/>
          </w:tcPr>
          <w:p>
            <w:pPr>
              <w:pStyle w:val="175"/>
              <w:numPr>
                <w:ilvl w:val="0"/>
                <w:numId w:val="9"/>
              </w:numPr>
              <w:ind w:left="845" w:firstLineChars="0"/>
              <w:jc w:val="center"/>
              <w:rPr>
                <w:rFonts w:hint="default" w:ascii="宋体" w:hAnsi="宋体"/>
                <w:sz w:val="24"/>
                <w:szCs w:val="24"/>
              </w:rPr>
            </w:pPr>
          </w:p>
        </w:tc>
        <w:tc>
          <w:tcPr>
            <w:tcW w:w="871" w:type="pct"/>
            <w:vMerge w:val="continue"/>
            <w:noWrap w:val="0"/>
            <w:vAlign w:val="center"/>
          </w:tcPr>
          <w:p>
            <w:pPr>
              <w:rPr>
                <w:rFonts w:hint="default" w:ascii="宋体" w:hAnsi="宋体"/>
                <w:sz w:val="24"/>
                <w:szCs w:val="24"/>
              </w:rPr>
            </w:pPr>
          </w:p>
        </w:tc>
        <w:tc>
          <w:tcPr>
            <w:tcW w:w="3707" w:type="pct"/>
            <w:noWrap w:val="0"/>
            <w:vAlign w:val="top"/>
          </w:tcPr>
          <w:p>
            <w:pPr>
              <w:rPr>
                <w:rFonts w:hint="default" w:ascii="宋体" w:hAnsi="宋体"/>
                <w:sz w:val="24"/>
                <w:szCs w:val="24"/>
              </w:rPr>
            </w:pPr>
            <w:r>
              <w:rPr>
                <w:rFonts w:ascii="宋体" w:hAnsi="宋体"/>
                <w:sz w:val="24"/>
                <w:szCs w:val="24"/>
              </w:rPr>
              <w:t>针对不同类型的图像，屏幕提现不同的工具栏和右键功能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2" w:type="pct"/>
            <w:vMerge w:val="restart"/>
            <w:noWrap w:val="0"/>
            <w:vAlign w:val="center"/>
          </w:tcPr>
          <w:p>
            <w:pPr>
              <w:jc w:val="center"/>
              <w:rPr>
                <w:rFonts w:hint="default" w:ascii="宋体" w:hAnsi="宋体"/>
                <w:sz w:val="24"/>
                <w:szCs w:val="24"/>
              </w:rPr>
            </w:pPr>
            <w:r>
              <w:rPr>
                <w:rFonts w:ascii="宋体" w:hAnsi="宋体"/>
                <w:sz w:val="24"/>
                <w:szCs w:val="24"/>
              </w:rPr>
              <w:t>3</w:t>
            </w:r>
          </w:p>
        </w:tc>
        <w:tc>
          <w:tcPr>
            <w:tcW w:w="871" w:type="pct"/>
            <w:vMerge w:val="restart"/>
            <w:noWrap w:val="0"/>
            <w:vAlign w:val="center"/>
          </w:tcPr>
          <w:p>
            <w:pPr>
              <w:jc w:val="left"/>
              <w:rPr>
                <w:rFonts w:hint="default" w:ascii="宋体" w:hAnsi="宋体"/>
                <w:sz w:val="24"/>
                <w:szCs w:val="24"/>
              </w:rPr>
            </w:pPr>
            <w:r>
              <w:rPr>
                <w:rFonts w:ascii="宋体" w:hAnsi="宋体"/>
                <w:sz w:val="24"/>
                <w:szCs w:val="24"/>
              </w:rPr>
              <w:t>关键图像浏览功能</w:t>
            </w:r>
          </w:p>
        </w:tc>
        <w:tc>
          <w:tcPr>
            <w:tcW w:w="3707" w:type="pct"/>
            <w:noWrap w:val="0"/>
            <w:vAlign w:val="top"/>
          </w:tcPr>
          <w:p>
            <w:pPr>
              <w:rPr>
                <w:rFonts w:hint="default" w:ascii="宋体" w:hAnsi="宋体"/>
                <w:sz w:val="24"/>
                <w:szCs w:val="24"/>
              </w:rPr>
            </w:pPr>
            <w:r>
              <w:rPr>
                <w:rFonts w:ascii="宋体" w:hAnsi="宋体"/>
                <w:sz w:val="24"/>
                <w:szCs w:val="24"/>
              </w:rPr>
              <w:t>可指定浏览带有GSPS信息的关键图像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2" w:type="pct"/>
            <w:vMerge w:val="continue"/>
            <w:noWrap w:val="0"/>
            <w:vAlign w:val="center"/>
          </w:tcPr>
          <w:p>
            <w:pPr>
              <w:pStyle w:val="175"/>
              <w:numPr>
                <w:ilvl w:val="0"/>
                <w:numId w:val="9"/>
              </w:numPr>
              <w:ind w:left="845" w:firstLineChars="0"/>
              <w:jc w:val="center"/>
              <w:rPr>
                <w:rFonts w:hint="default" w:ascii="宋体" w:hAnsi="宋体"/>
                <w:sz w:val="24"/>
                <w:szCs w:val="24"/>
              </w:rPr>
            </w:pPr>
          </w:p>
        </w:tc>
        <w:tc>
          <w:tcPr>
            <w:tcW w:w="871" w:type="pct"/>
            <w:vMerge w:val="continue"/>
            <w:noWrap w:val="0"/>
            <w:vAlign w:val="center"/>
          </w:tcPr>
          <w:p>
            <w:pPr>
              <w:jc w:val="left"/>
              <w:rPr>
                <w:rFonts w:hint="default" w:ascii="宋体" w:hAnsi="宋体"/>
                <w:sz w:val="24"/>
                <w:szCs w:val="24"/>
              </w:rPr>
            </w:pPr>
          </w:p>
        </w:tc>
        <w:tc>
          <w:tcPr>
            <w:tcW w:w="3707" w:type="pct"/>
            <w:noWrap w:val="0"/>
            <w:vAlign w:val="top"/>
          </w:tcPr>
          <w:p>
            <w:pPr>
              <w:rPr>
                <w:rFonts w:hint="default" w:ascii="宋体" w:hAnsi="宋体"/>
                <w:sz w:val="24"/>
                <w:szCs w:val="24"/>
              </w:rPr>
            </w:pPr>
            <w:r>
              <w:rPr>
                <w:rFonts w:ascii="宋体" w:hAnsi="宋体"/>
                <w:sz w:val="24"/>
                <w:szCs w:val="24"/>
              </w:rPr>
              <w:t>可浏览按需打印的电子胶片图像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2" w:type="pct"/>
            <w:noWrap w:val="0"/>
            <w:vAlign w:val="center"/>
          </w:tcPr>
          <w:p>
            <w:pPr>
              <w:jc w:val="center"/>
              <w:rPr>
                <w:rFonts w:hint="default" w:ascii="宋体" w:hAnsi="宋体"/>
                <w:sz w:val="24"/>
                <w:szCs w:val="24"/>
              </w:rPr>
            </w:pPr>
            <w:r>
              <w:rPr>
                <w:rFonts w:ascii="宋体" w:hAnsi="宋体"/>
                <w:sz w:val="24"/>
                <w:szCs w:val="24"/>
              </w:rPr>
              <w:t>4</w:t>
            </w:r>
          </w:p>
        </w:tc>
        <w:tc>
          <w:tcPr>
            <w:tcW w:w="871" w:type="pct"/>
            <w:noWrap w:val="0"/>
            <w:vAlign w:val="center"/>
          </w:tcPr>
          <w:p>
            <w:pPr>
              <w:jc w:val="left"/>
              <w:rPr>
                <w:rFonts w:hint="default" w:ascii="宋体" w:hAnsi="宋体"/>
                <w:sz w:val="24"/>
                <w:szCs w:val="24"/>
              </w:rPr>
            </w:pPr>
            <w:r>
              <w:rPr>
                <w:rFonts w:ascii="宋体" w:hAnsi="宋体"/>
                <w:sz w:val="24"/>
                <w:szCs w:val="24"/>
              </w:rPr>
              <w:t>报告打印功能</w:t>
            </w:r>
          </w:p>
        </w:tc>
        <w:tc>
          <w:tcPr>
            <w:tcW w:w="3707" w:type="pct"/>
            <w:noWrap w:val="0"/>
            <w:vAlign w:val="top"/>
          </w:tcPr>
          <w:p>
            <w:pPr>
              <w:rPr>
                <w:rFonts w:hint="default" w:ascii="宋体" w:hAnsi="宋体"/>
                <w:sz w:val="24"/>
                <w:szCs w:val="24"/>
              </w:rPr>
            </w:pPr>
            <w:r>
              <w:rPr>
                <w:rFonts w:ascii="宋体" w:hAnsi="宋体"/>
                <w:sz w:val="24"/>
                <w:szCs w:val="24"/>
              </w:rPr>
              <w:t>可在临床直接打印PDF格式的患者报告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2" w:type="pct"/>
            <w:vMerge w:val="restart"/>
            <w:noWrap w:val="0"/>
            <w:vAlign w:val="center"/>
          </w:tcPr>
          <w:p>
            <w:pPr>
              <w:jc w:val="center"/>
              <w:rPr>
                <w:rFonts w:hint="default" w:ascii="宋体" w:hAnsi="宋体"/>
                <w:sz w:val="24"/>
                <w:szCs w:val="24"/>
              </w:rPr>
            </w:pPr>
            <w:r>
              <w:rPr>
                <w:rFonts w:ascii="宋体" w:hAnsi="宋体"/>
                <w:sz w:val="24"/>
                <w:szCs w:val="24"/>
              </w:rPr>
              <w:t>5</w:t>
            </w:r>
          </w:p>
        </w:tc>
        <w:tc>
          <w:tcPr>
            <w:tcW w:w="871" w:type="pct"/>
            <w:vMerge w:val="restart"/>
            <w:noWrap w:val="0"/>
            <w:vAlign w:val="center"/>
          </w:tcPr>
          <w:p>
            <w:pPr>
              <w:rPr>
                <w:rFonts w:hint="default" w:ascii="宋体" w:hAnsi="宋体"/>
                <w:sz w:val="24"/>
                <w:szCs w:val="24"/>
              </w:rPr>
            </w:pPr>
            <w:r>
              <w:rPr>
                <w:rFonts w:ascii="宋体" w:hAnsi="宋体"/>
                <w:sz w:val="24"/>
                <w:szCs w:val="24"/>
              </w:rPr>
              <w:t>基本图像处理</w:t>
            </w:r>
          </w:p>
        </w:tc>
        <w:tc>
          <w:tcPr>
            <w:tcW w:w="3707" w:type="pct"/>
            <w:noWrap w:val="0"/>
            <w:vAlign w:val="top"/>
          </w:tcPr>
          <w:p>
            <w:pPr>
              <w:rPr>
                <w:rFonts w:hint="default" w:ascii="宋体" w:hAnsi="宋体"/>
                <w:sz w:val="24"/>
                <w:szCs w:val="24"/>
              </w:rPr>
            </w:pPr>
            <w:r>
              <w:rPr>
                <w:rFonts w:ascii="宋体" w:hAnsi="宋体"/>
                <w:sz w:val="24"/>
                <w:szCs w:val="24"/>
              </w:rPr>
              <w:t>窗宽、窗位调整、放大、漫游、图像翻转和负片操作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2" w:type="pct"/>
            <w:vMerge w:val="continue"/>
            <w:noWrap w:val="0"/>
            <w:vAlign w:val="top"/>
          </w:tcPr>
          <w:p>
            <w:pPr>
              <w:pStyle w:val="175"/>
              <w:numPr>
                <w:ilvl w:val="0"/>
                <w:numId w:val="9"/>
              </w:numPr>
              <w:ind w:left="845" w:firstLineChars="0"/>
              <w:jc w:val="right"/>
              <w:rPr>
                <w:rFonts w:hint="default" w:ascii="宋体" w:hAnsi="宋体"/>
                <w:sz w:val="24"/>
                <w:szCs w:val="24"/>
              </w:rPr>
            </w:pPr>
          </w:p>
        </w:tc>
        <w:tc>
          <w:tcPr>
            <w:tcW w:w="871" w:type="pct"/>
            <w:vMerge w:val="continue"/>
            <w:noWrap w:val="0"/>
            <w:vAlign w:val="center"/>
          </w:tcPr>
          <w:p>
            <w:pPr>
              <w:jc w:val="left"/>
              <w:rPr>
                <w:rFonts w:hint="default" w:ascii="宋体" w:hAnsi="宋体"/>
                <w:sz w:val="24"/>
                <w:szCs w:val="24"/>
              </w:rPr>
            </w:pPr>
          </w:p>
        </w:tc>
        <w:tc>
          <w:tcPr>
            <w:tcW w:w="3707" w:type="pct"/>
            <w:noWrap w:val="0"/>
            <w:vAlign w:val="top"/>
          </w:tcPr>
          <w:p>
            <w:pPr>
              <w:rPr>
                <w:rFonts w:hint="default" w:ascii="宋体" w:hAnsi="宋体"/>
                <w:sz w:val="24"/>
                <w:szCs w:val="24"/>
              </w:rPr>
            </w:pPr>
            <w:r>
              <w:rPr>
                <w:rFonts w:ascii="宋体" w:hAnsi="宋体"/>
                <w:sz w:val="24"/>
                <w:szCs w:val="24"/>
              </w:rPr>
              <w:t>各种面积、直方图、长度和角度测量工具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2" w:type="pct"/>
            <w:vMerge w:val="continue"/>
            <w:noWrap w:val="0"/>
            <w:vAlign w:val="top"/>
          </w:tcPr>
          <w:p>
            <w:pPr>
              <w:pStyle w:val="175"/>
              <w:numPr>
                <w:ilvl w:val="0"/>
                <w:numId w:val="9"/>
              </w:numPr>
              <w:ind w:left="845" w:firstLineChars="0"/>
              <w:jc w:val="right"/>
              <w:rPr>
                <w:rFonts w:hint="default" w:ascii="宋体" w:hAnsi="宋体"/>
                <w:sz w:val="24"/>
                <w:szCs w:val="24"/>
              </w:rPr>
            </w:pPr>
          </w:p>
        </w:tc>
        <w:tc>
          <w:tcPr>
            <w:tcW w:w="871" w:type="pct"/>
            <w:vMerge w:val="continue"/>
            <w:noWrap w:val="0"/>
            <w:vAlign w:val="center"/>
          </w:tcPr>
          <w:p>
            <w:pPr>
              <w:jc w:val="left"/>
              <w:rPr>
                <w:rFonts w:hint="default" w:ascii="宋体" w:hAnsi="宋体"/>
                <w:sz w:val="24"/>
                <w:szCs w:val="24"/>
              </w:rPr>
            </w:pPr>
          </w:p>
        </w:tc>
        <w:tc>
          <w:tcPr>
            <w:tcW w:w="3707" w:type="pct"/>
            <w:noWrap w:val="0"/>
            <w:vAlign w:val="top"/>
          </w:tcPr>
          <w:p>
            <w:pPr>
              <w:rPr>
                <w:rFonts w:hint="default" w:ascii="宋体" w:hAnsi="宋体"/>
                <w:sz w:val="24"/>
                <w:szCs w:val="24"/>
              </w:rPr>
            </w:pPr>
            <w:r>
              <w:rPr>
                <w:rFonts w:ascii="宋体" w:hAnsi="宋体"/>
                <w:sz w:val="24"/>
                <w:szCs w:val="24"/>
              </w:rPr>
              <w:t>伪彩功能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2" w:type="pct"/>
            <w:vMerge w:val="continue"/>
            <w:noWrap w:val="0"/>
            <w:vAlign w:val="top"/>
          </w:tcPr>
          <w:p>
            <w:pPr>
              <w:pStyle w:val="175"/>
              <w:numPr>
                <w:ilvl w:val="0"/>
                <w:numId w:val="9"/>
              </w:numPr>
              <w:ind w:left="845" w:firstLineChars="0"/>
              <w:jc w:val="right"/>
              <w:rPr>
                <w:rFonts w:hint="default" w:ascii="宋体" w:hAnsi="宋体"/>
                <w:sz w:val="24"/>
                <w:szCs w:val="24"/>
              </w:rPr>
            </w:pPr>
          </w:p>
        </w:tc>
        <w:tc>
          <w:tcPr>
            <w:tcW w:w="871" w:type="pct"/>
            <w:vMerge w:val="continue"/>
            <w:noWrap w:val="0"/>
            <w:vAlign w:val="center"/>
          </w:tcPr>
          <w:p>
            <w:pPr>
              <w:jc w:val="left"/>
              <w:rPr>
                <w:rFonts w:hint="default" w:ascii="宋体" w:hAnsi="宋体"/>
                <w:sz w:val="24"/>
                <w:szCs w:val="24"/>
              </w:rPr>
            </w:pPr>
          </w:p>
        </w:tc>
        <w:tc>
          <w:tcPr>
            <w:tcW w:w="3707" w:type="pct"/>
            <w:noWrap w:val="0"/>
            <w:vAlign w:val="top"/>
          </w:tcPr>
          <w:p>
            <w:pPr>
              <w:rPr>
                <w:rFonts w:hint="default" w:ascii="宋体" w:hAnsi="宋体"/>
                <w:sz w:val="24"/>
                <w:szCs w:val="24"/>
              </w:rPr>
            </w:pPr>
            <w:r>
              <w:rPr>
                <w:rFonts w:ascii="宋体" w:hAnsi="宋体"/>
                <w:sz w:val="24"/>
                <w:szCs w:val="24"/>
              </w:rPr>
              <w:t>局部放大镜和自动窗位显示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2" w:type="pct"/>
            <w:vMerge w:val="continue"/>
            <w:noWrap w:val="0"/>
            <w:vAlign w:val="top"/>
          </w:tcPr>
          <w:p>
            <w:pPr>
              <w:pStyle w:val="175"/>
              <w:numPr>
                <w:ilvl w:val="0"/>
                <w:numId w:val="9"/>
              </w:numPr>
              <w:ind w:left="845" w:firstLineChars="0"/>
              <w:jc w:val="right"/>
              <w:rPr>
                <w:rFonts w:hint="default" w:ascii="宋体" w:hAnsi="宋体"/>
                <w:sz w:val="24"/>
                <w:szCs w:val="24"/>
              </w:rPr>
            </w:pPr>
          </w:p>
        </w:tc>
        <w:tc>
          <w:tcPr>
            <w:tcW w:w="871" w:type="pct"/>
            <w:vMerge w:val="continue"/>
            <w:noWrap w:val="0"/>
            <w:vAlign w:val="center"/>
          </w:tcPr>
          <w:p>
            <w:pPr>
              <w:jc w:val="left"/>
              <w:rPr>
                <w:rFonts w:hint="default" w:ascii="宋体" w:hAnsi="宋体"/>
                <w:sz w:val="24"/>
                <w:szCs w:val="24"/>
              </w:rPr>
            </w:pPr>
          </w:p>
        </w:tc>
        <w:tc>
          <w:tcPr>
            <w:tcW w:w="3707" w:type="pct"/>
            <w:noWrap w:val="0"/>
            <w:vAlign w:val="top"/>
          </w:tcPr>
          <w:p>
            <w:pPr>
              <w:rPr>
                <w:rFonts w:hint="default" w:ascii="宋体" w:hAnsi="宋体"/>
                <w:sz w:val="24"/>
                <w:szCs w:val="24"/>
              </w:rPr>
            </w:pPr>
            <w:r>
              <w:rPr>
                <w:rFonts w:ascii="宋体" w:hAnsi="宋体"/>
                <w:sz w:val="24"/>
                <w:szCs w:val="24"/>
              </w:rPr>
              <w:t>根据圈定区域自动设定窗宽、窗位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2" w:type="pct"/>
            <w:vMerge w:val="continue"/>
            <w:noWrap w:val="0"/>
            <w:vAlign w:val="top"/>
          </w:tcPr>
          <w:p>
            <w:pPr>
              <w:pStyle w:val="175"/>
              <w:numPr>
                <w:ilvl w:val="0"/>
                <w:numId w:val="9"/>
              </w:numPr>
              <w:ind w:left="845" w:firstLineChars="0"/>
              <w:jc w:val="right"/>
              <w:rPr>
                <w:rFonts w:hint="default" w:ascii="宋体" w:hAnsi="宋体"/>
                <w:sz w:val="24"/>
                <w:szCs w:val="24"/>
              </w:rPr>
            </w:pPr>
          </w:p>
        </w:tc>
        <w:tc>
          <w:tcPr>
            <w:tcW w:w="871" w:type="pct"/>
            <w:vMerge w:val="continue"/>
            <w:noWrap w:val="0"/>
            <w:vAlign w:val="center"/>
          </w:tcPr>
          <w:p>
            <w:pPr>
              <w:jc w:val="left"/>
              <w:rPr>
                <w:rFonts w:hint="default" w:ascii="宋体" w:hAnsi="宋体"/>
                <w:sz w:val="24"/>
                <w:szCs w:val="24"/>
              </w:rPr>
            </w:pPr>
          </w:p>
        </w:tc>
        <w:tc>
          <w:tcPr>
            <w:tcW w:w="3707" w:type="pct"/>
            <w:noWrap w:val="0"/>
            <w:vAlign w:val="top"/>
          </w:tcPr>
          <w:p>
            <w:pPr>
              <w:rPr>
                <w:rFonts w:hint="default" w:ascii="宋体" w:hAnsi="宋体"/>
                <w:sz w:val="24"/>
                <w:szCs w:val="24"/>
              </w:rPr>
            </w:pPr>
            <w:r>
              <w:rPr>
                <w:rFonts w:ascii="宋体" w:hAnsi="宋体"/>
                <w:sz w:val="24"/>
                <w:szCs w:val="24"/>
              </w:rPr>
              <w:t>自动计算定位线，并可选取定位线来选取图像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2" w:type="pct"/>
            <w:vMerge w:val="continue"/>
            <w:noWrap w:val="0"/>
            <w:vAlign w:val="top"/>
          </w:tcPr>
          <w:p>
            <w:pPr>
              <w:pStyle w:val="175"/>
              <w:numPr>
                <w:ilvl w:val="0"/>
                <w:numId w:val="9"/>
              </w:numPr>
              <w:ind w:left="845" w:firstLineChars="0"/>
              <w:jc w:val="right"/>
              <w:rPr>
                <w:rFonts w:hint="default" w:ascii="宋体" w:hAnsi="宋体"/>
                <w:sz w:val="24"/>
                <w:szCs w:val="24"/>
              </w:rPr>
            </w:pPr>
          </w:p>
        </w:tc>
        <w:tc>
          <w:tcPr>
            <w:tcW w:w="871" w:type="pct"/>
            <w:vMerge w:val="continue"/>
            <w:noWrap w:val="0"/>
            <w:vAlign w:val="center"/>
          </w:tcPr>
          <w:p>
            <w:pPr>
              <w:jc w:val="left"/>
              <w:rPr>
                <w:rFonts w:hint="default" w:ascii="宋体" w:hAnsi="宋体"/>
                <w:sz w:val="24"/>
                <w:szCs w:val="24"/>
              </w:rPr>
            </w:pPr>
          </w:p>
        </w:tc>
        <w:tc>
          <w:tcPr>
            <w:tcW w:w="3707" w:type="pct"/>
            <w:noWrap w:val="0"/>
            <w:vAlign w:val="top"/>
          </w:tcPr>
          <w:p>
            <w:pPr>
              <w:rPr>
                <w:rFonts w:hint="default" w:ascii="宋体" w:hAnsi="宋体"/>
                <w:sz w:val="24"/>
                <w:szCs w:val="24"/>
              </w:rPr>
            </w:pPr>
            <w:r>
              <w:rPr>
                <w:rFonts w:ascii="宋体" w:hAnsi="宋体"/>
                <w:sz w:val="24"/>
                <w:szCs w:val="24"/>
              </w:rPr>
              <w:t>支持组对比和成组图像的操作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2" w:type="pct"/>
            <w:vMerge w:val="continue"/>
            <w:noWrap w:val="0"/>
            <w:vAlign w:val="top"/>
          </w:tcPr>
          <w:p>
            <w:pPr>
              <w:pStyle w:val="175"/>
              <w:numPr>
                <w:ilvl w:val="0"/>
                <w:numId w:val="9"/>
              </w:numPr>
              <w:ind w:left="845" w:firstLineChars="0"/>
              <w:jc w:val="right"/>
              <w:rPr>
                <w:rFonts w:hint="default" w:ascii="宋体" w:hAnsi="宋体"/>
                <w:sz w:val="24"/>
                <w:szCs w:val="24"/>
              </w:rPr>
            </w:pPr>
          </w:p>
        </w:tc>
        <w:tc>
          <w:tcPr>
            <w:tcW w:w="871" w:type="pct"/>
            <w:vMerge w:val="continue"/>
            <w:noWrap w:val="0"/>
            <w:vAlign w:val="center"/>
          </w:tcPr>
          <w:p>
            <w:pPr>
              <w:jc w:val="left"/>
              <w:rPr>
                <w:rFonts w:hint="default" w:ascii="宋体" w:hAnsi="宋体"/>
                <w:sz w:val="24"/>
                <w:szCs w:val="24"/>
              </w:rPr>
            </w:pPr>
          </w:p>
        </w:tc>
        <w:tc>
          <w:tcPr>
            <w:tcW w:w="3707" w:type="pct"/>
            <w:noWrap w:val="0"/>
            <w:vAlign w:val="top"/>
          </w:tcPr>
          <w:p>
            <w:pPr>
              <w:rPr>
                <w:rFonts w:hint="default" w:ascii="宋体" w:hAnsi="宋体"/>
                <w:sz w:val="24"/>
                <w:szCs w:val="24"/>
              </w:rPr>
            </w:pPr>
            <w:r>
              <w:rPr>
                <w:rFonts w:ascii="宋体" w:hAnsi="宋体"/>
                <w:sz w:val="24"/>
                <w:szCs w:val="24"/>
              </w:rPr>
              <w:t>按扫描周期来进行序列的自动拆分和显示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2" w:type="pct"/>
            <w:vMerge w:val="continue"/>
            <w:noWrap w:val="0"/>
            <w:vAlign w:val="top"/>
          </w:tcPr>
          <w:p>
            <w:pPr>
              <w:pStyle w:val="175"/>
              <w:numPr>
                <w:ilvl w:val="0"/>
                <w:numId w:val="9"/>
              </w:numPr>
              <w:ind w:left="845" w:firstLineChars="0"/>
              <w:jc w:val="right"/>
              <w:rPr>
                <w:rFonts w:hint="default" w:ascii="宋体" w:hAnsi="宋体"/>
                <w:sz w:val="24"/>
                <w:szCs w:val="24"/>
              </w:rPr>
            </w:pPr>
          </w:p>
        </w:tc>
        <w:tc>
          <w:tcPr>
            <w:tcW w:w="871" w:type="pct"/>
            <w:vMerge w:val="continue"/>
            <w:noWrap w:val="0"/>
            <w:vAlign w:val="center"/>
          </w:tcPr>
          <w:p>
            <w:pPr>
              <w:jc w:val="left"/>
              <w:rPr>
                <w:rFonts w:hint="default" w:ascii="宋体" w:hAnsi="宋体"/>
                <w:sz w:val="24"/>
                <w:szCs w:val="24"/>
              </w:rPr>
            </w:pPr>
          </w:p>
        </w:tc>
        <w:tc>
          <w:tcPr>
            <w:tcW w:w="3707" w:type="pct"/>
            <w:noWrap w:val="0"/>
            <w:vAlign w:val="top"/>
          </w:tcPr>
          <w:p>
            <w:pPr>
              <w:rPr>
                <w:rFonts w:hint="default" w:ascii="宋体" w:hAnsi="宋体"/>
                <w:sz w:val="24"/>
                <w:szCs w:val="24"/>
              </w:rPr>
            </w:pPr>
            <w:r>
              <w:rPr>
                <w:rFonts w:ascii="宋体" w:hAnsi="宋体"/>
                <w:sz w:val="24"/>
                <w:szCs w:val="24"/>
              </w:rPr>
              <w:t>CT图像的椎体自动定位功能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22" w:type="pct"/>
            <w:vMerge w:val="continue"/>
            <w:noWrap w:val="0"/>
            <w:vAlign w:val="top"/>
          </w:tcPr>
          <w:p>
            <w:pPr>
              <w:pStyle w:val="175"/>
              <w:numPr>
                <w:ilvl w:val="0"/>
                <w:numId w:val="9"/>
              </w:numPr>
              <w:ind w:left="845" w:firstLineChars="0"/>
              <w:jc w:val="right"/>
              <w:rPr>
                <w:rFonts w:hint="default" w:ascii="宋体" w:hAnsi="宋体"/>
                <w:sz w:val="24"/>
                <w:szCs w:val="24"/>
              </w:rPr>
            </w:pPr>
          </w:p>
        </w:tc>
        <w:tc>
          <w:tcPr>
            <w:tcW w:w="871" w:type="pct"/>
            <w:vMerge w:val="continue"/>
            <w:noWrap w:val="0"/>
            <w:vAlign w:val="center"/>
          </w:tcPr>
          <w:p>
            <w:pPr>
              <w:jc w:val="left"/>
              <w:rPr>
                <w:rFonts w:hint="default" w:ascii="宋体" w:hAnsi="宋体"/>
                <w:sz w:val="24"/>
                <w:szCs w:val="24"/>
              </w:rPr>
            </w:pPr>
          </w:p>
        </w:tc>
        <w:tc>
          <w:tcPr>
            <w:tcW w:w="3707" w:type="pct"/>
            <w:noWrap w:val="0"/>
            <w:vAlign w:val="top"/>
          </w:tcPr>
          <w:p>
            <w:pPr>
              <w:rPr>
                <w:rFonts w:hint="default" w:ascii="宋体" w:hAnsi="宋体"/>
                <w:sz w:val="24"/>
                <w:szCs w:val="24"/>
              </w:rPr>
            </w:pPr>
            <w:r>
              <w:rPr>
                <w:rFonts w:ascii="宋体" w:hAnsi="宋体"/>
                <w:sz w:val="24"/>
                <w:szCs w:val="24"/>
              </w:rPr>
              <w:t>MR图像的交叉定位功能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2" w:type="pct"/>
            <w:vMerge w:val="continue"/>
            <w:noWrap w:val="0"/>
            <w:vAlign w:val="top"/>
          </w:tcPr>
          <w:p>
            <w:pPr>
              <w:pStyle w:val="175"/>
              <w:numPr>
                <w:ilvl w:val="0"/>
                <w:numId w:val="9"/>
              </w:numPr>
              <w:ind w:left="845" w:firstLineChars="0"/>
              <w:jc w:val="right"/>
              <w:rPr>
                <w:rFonts w:hint="default" w:ascii="宋体" w:hAnsi="宋体"/>
                <w:sz w:val="24"/>
                <w:szCs w:val="24"/>
              </w:rPr>
            </w:pPr>
          </w:p>
        </w:tc>
        <w:tc>
          <w:tcPr>
            <w:tcW w:w="871" w:type="pct"/>
            <w:vMerge w:val="continue"/>
            <w:noWrap w:val="0"/>
            <w:vAlign w:val="center"/>
          </w:tcPr>
          <w:p>
            <w:pPr>
              <w:jc w:val="left"/>
              <w:rPr>
                <w:rFonts w:hint="default" w:ascii="宋体" w:hAnsi="宋体"/>
                <w:sz w:val="24"/>
                <w:szCs w:val="24"/>
              </w:rPr>
            </w:pPr>
          </w:p>
        </w:tc>
        <w:tc>
          <w:tcPr>
            <w:tcW w:w="3707" w:type="pct"/>
            <w:noWrap w:val="0"/>
            <w:vAlign w:val="top"/>
          </w:tcPr>
          <w:p>
            <w:pPr>
              <w:rPr>
                <w:rFonts w:hint="default" w:ascii="宋体" w:hAnsi="宋体"/>
                <w:sz w:val="24"/>
                <w:szCs w:val="24"/>
              </w:rPr>
            </w:pPr>
            <w:r>
              <w:rPr>
                <w:rFonts w:ascii="宋体" w:hAnsi="宋体"/>
                <w:sz w:val="24"/>
                <w:szCs w:val="24"/>
              </w:rPr>
              <w:t>MPR功能</w:t>
            </w:r>
          </w:p>
        </w:tc>
      </w:tr>
    </w:tbl>
    <w:p>
      <w:pPr>
        <w:pStyle w:val="14"/>
      </w:pPr>
    </w:p>
    <w:p>
      <w:pPr>
        <w:pStyle w:val="5"/>
        <w:numPr>
          <w:ilvl w:val="2"/>
          <w:numId w:val="5"/>
        </w:numPr>
        <w:spacing w:before="0" w:after="0" w:line="360" w:lineRule="auto"/>
        <w:rPr>
          <w:rFonts w:ascii="宋体" w:hAnsi="宋体"/>
        </w:rPr>
      </w:pPr>
      <w:r>
        <w:rPr>
          <w:rFonts w:hint="eastAsia" w:ascii="宋体" w:hAnsi="宋体"/>
        </w:rPr>
        <w:t>电生理系统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0"/>
        <w:gridCol w:w="1319"/>
        <w:gridCol w:w="6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446" w:type="pct"/>
            <w:noWrap w:val="0"/>
            <w:vAlign w:val="center"/>
          </w:tcPr>
          <w:p>
            <w:pPr>
              <w:jc w:val="center"/>
              <w:rPr>
                <w:rFonts w:hint="default" w:ascii="宋体" w:hAnsi="宋体" w:cs="宋体"/>
                <w:b/>
                <w:bCs/>
                <w:sz w:val="24"/>
                <w:szCs w:val="24"/>
              </w:rPr>
            </w:pPr>
            <w:r>
              <w:rPr>
                <w:rFonts w:ascii="宋体" w:hAnsi="宋体" w:cs="宋体"/>
                <w:b/>
                <w:bCs/>
                <w:sz w:val="24"/>
                <w:szCs w:val="24"/>
              </w:rPr>
              <w:t>序号</w:t>
            </w:r>
          </w:p>
        </w:tc>
        <w:tc>
          <w:tcPr>
            <w:tcW w:w="774" w:type="pct"/>
            <w:noWrap w:val="0"/>
            <w:vAlign w:val="center"/>
          </w:tcPr>
          <w:p>
            <w:pPr>
              <w:jc w:val="center"/>
              <w:rPr>
                <w:rFonts w:hint="default" w:ascii="宋体" w:hAnsi="宋体" w:cs="宋体"/>
                <w:b/>
                <w:bCs/>
                <w:sz w:val="24"/>
                <w:szCs w:val="24"/>
              </w:rPr>
            </w:pPr>
            <w:r>
              <w:rPr>
                <w:rFonts w:ascii="宋体" w:hAnsi="宋体" w:cs="宋体"/>
                <w:b/>
                <w:bCs/>
                <w:sz w:val="24"/>
                <w:szCs w:val="24"/>
              </w:rPr>
              <w:t>功能模块</w:t>
            </w:r>
          </w:p>
        </w:tc>
        <w:tc>
          <w:tcPr>
            <w:tcW w:w="3780" w:type="pct"/>
            <w:noWrap w:val="0"/>
            <w:vAlign w:val="center"/>
          </w:tcPr>
          <w:p>
            <w:pPr>
              <w:jc w:val="center"/>
              <w:rPr>
                <w:rFonts w:hint="default" w:ascii="宋体" w:hAnsi="宋体" w:cs="宋体"/>
                <w:b/>
                <w:bCs/>
                <w:sz w:val="24"/>
                <w:szCs w:val="24"/>
              </w:rPr>
            </w:pPr>
            <w:r>
              <w:rPr>
                <w:rFonts w:ascii="宋体" w:hAnsi="宋体" w:cs="宋体"/>
                <w:b/>
                <w:bCs/>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restart"/>
            <w:noWrap w:val="0"/>
            <w:vAlign w:val="center"/>
          </w:tcPr>
          <w:p>
            <w:pPr>
              <w:jc w:val="center"/>
              <w:rPr>
                <w:rFonts w:hint="default" w:ascii="宋体" w:hAnsi="宋体" w:cs="宋体"/>
                <w:sz w:val="24"/>
                <w:szCs w:val="24"/>
              </w:rPr>
            </w:pPr>
            <w:r>
              <w:rPr>
                <w:rFonts w:ascii="宋体" w:hAnsi="宋体" w:cs="宋体"/>
                <w:sz w:val="24"/>
                <w:szCs w:val="24"/>
              </w:rPr>
              <w:t>1</w:t>
            </w:r>
          </w:p>
        </w:tc>
        <w:tc>
          <w:tcPr>
            <w:tcW w:w="774" w:type="pct"/>
            <w:vMerge w:val="restart"/>
            <w:noWrap w:val="0"/>
            <w:vAlign w:val="center"/>
          </w:tcPr>
          <w:p>
            <w:pPr>
              <w:jc w:val="center"/>
              <w:rPr>
                <w:rFonts w:hint="default" w:ascii="宋体" w:hAnsi="宋体" w:cs="宋体"/>
                <w:sz w:val="24"/>
                <w:szCs w:val="24"/>
              </w:rPr>
            </w:pPr>
            <w:r>
              <w:rPr>
                <w:rFonts w:ascii="宋体" w:hAnsi="宋体" w:cs="宋体"/>
                <w:sz w:val="24"/>
                <w:szCs w:val="24"/>
              </w:rPr>
              <w:t>系统架构</w:t>
            </w:r>
          </w:p>
        </w:tc>
        <w:tc>
          <w:tcPr>
            <w:tcW w:w="3780" w:type="pct"/>
            <w:noWrap w:val="0"/>
            <w:vAlign w:val="top"/>
          </w:tcPr>
          <w:p>
            <w:pPr>
              <w:rPr>
                <w:rFonts w:hint="default" w:ascii="宋体" w:hAnsi="宋体" w:cs="宋体"/>
                <w:b/>
                <w:sz w:val="24"/>
                <w:szCs w:val="24"/>
              </w:rPr>
            </w:pPr>
            <w:r>
              <w:rPr>
                <w:rFonts w:ascii="宋体" w:hAnsi="宋体" w:cs="宋体"/>
                <w:sz w:val="24"/>
                <w:szCs w:val="24"/>
              </w:rPr>
              <w:t>扩展性好，性能稳定、高效，采用成熟软件开发技术。采用符合国际标准的系统架构、计算机技术和网络技术，以保证系统的先进性。顾及信息技术的发展趋势，注重系统的未来扩展功能。系统的数据传输全面支持（FDA）所制定的XML格式为架构心电图传输标准，HL7标准的集成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rPr>
                <w:rFonts w:hint="default" w:ascii="宋体" w:hAnsi="宋体" w:cs="宋体"/>
                <w:b/>
                <w:sz w:val="24"/>
                <w:szCs w:val="24"/>
              </w:rPr>
            </w:pPr>
            <w:r>
              <w:rPr>
                <w:rFonts w:ascii="宋体" w:hAnsi="宋体" w:cs="宋体"/>
                <w:sz w:val="24"/>
                <w:szCs w:val="24"/>
              </w:rPr>
              <w:t>接口必须满足招标方设备品牌的全覆盖，能够支持现有各种心电设备信息的数字化采集、统一存储、管理，不接纳第三方接口的方式；并能保证今后扩增引进心电仪器的有效接入，接口程序支持检查病人基本信息的自动获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rPr>
                <w:rFonts w:hint="default" w:ascii="宋体" w:hAnsi="宋体" w:cs="宋体"/>
                <w:b/>
                <w:sz w:val="24"/>
                <w:szCs w:val="24"/>
              </w:rPr>
            </w:pPr>
            <w:r>
              <w:rPr>
                <w:rFonts w:ascii="宋体" w:hAnsi="宋体" w:cs="宋体"/>
                <w:sz w:val="24"/>
                <w:szCs w:val="24"/>
              </w:rPr>
              <w:t>要求实现病房心电图机通过有线、无线、3G、USB传输等模式，将病房心电图数据传输给门诊医生远程分析。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rPr>
                <w:rFonts w:hint="default" w:ascii="宋体" w:hAnsi="宋体" w:cs="宋体"/>
                <w:b/>
                <w:sz w:val="24"/>
                <w:szCs w:val="24"/>
              </w:rPr>
            </w:pPr>
            <w:r>
              <w:rPr>
                <w:rFonts w:ascii="宋体" w:hAnsi="宋体" w:cs="宋体"/>
                <w:sz w:val="24"/>
                <w:szCs w:val="24"/>
              </w:rPr>
              <w:t>功能齐全，流程规范，优化管理；严格权限设置，高度安全保密；数据准确，图形保真；易学易用，操作简便。系统要有检查工作站，方便医生核对病人基本信息系统资料，以防出错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rPr>
                <w:rFonts w:hint="default" w:ascii="宋体" w:hAnsi="宋体" w:cs="宋体"/>
                <w:sz w:val="24"/>
                <w:szCs w:val="24"/>
              </w:rPr>
            </w:pPr>
            <w:r>
              <w:rPr>
                <w:rFonts w:ascii="宋体" w:hAnsi="宋体" w:cs="宋体"/>
                <w:sz w:val="24"/>
                <w:szCs w:val="24"/>
              </w:rPr>
              <w:t>支持安卓系统、IOS系统智能手机浏览图形，分析图形并发报告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rPr>
                <w:rFonts w:hint="default" w:ascii="宋体" w:hAnsi="宋体" w:cs="宋体"/>
                <w:sz w:val="24"/>
                <w:szCs w:val="24"/>
              </w:rPr>
            </w:pPr>
            <w:r>
              <w:rPr>
                <w:rFonts w:ascii="宋体" w:hAnsi="宋体" w:cs="宋体"/>
                <w:sz w:val="24"/>
                <w:szCs w:val="24"/>
              </w:rPr>
              <w:t>网络出现问题，可以单机版操作，并在网络恢复后可以直接上传。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40" w:hRule="atLeast"/>
        </w:trPr>
        <w:tc>
          <w:tcPr>
            <w:tcW w:w="446" w:type="pct"/>
            <w:vMerge w:val="restart"/>
            <w:noWrap w:val="0"/>
            <w:vAlign w:val="center"/>
          </w:tcPr>
          <w:p>
            <w:pPr>
              <w:jc w:val="center"/>
              <w:rPr>
                <w:rFonts w:hint="default" w:ascii="宋体" w:hAnsi="宋体" w:cs="宋体"/>
                <w:sz w:val="24"/>
                <w:szCs w:val="24"/>
              </w:rPr>
            </w:pPr>
            <w:r>
              <w:rPr>
                <w:rFonts w:ascii="宋体" w:hAnsi="宋体" w:cs="宋体"/>
                <w:sz w:val="24"/>
                <w:szCs w:val="24"/>
              </w:rPr>
              <w:t>2</w:t>
            </w:r>
          </w:p>
        </w:tc>
        <w:tc>
          <w:tcPr>
            <w:tcW w:w="774" w:type="pct"/>
            <w:vMerge w:val="restart"/>
            <w:noWrap w:val="0"/>
            <w:vAlign w:val="center"/>
          </w:tcPr>
          <w:p>
            <w:pPr>
              <w:jc w:val="center"/>
              <w:rPr>
                <w:rFonts w:hint="default" w:ascii="宋体" w:hAnsi="宋体" w:cs="宋体"/>
                <w:sz w:val="24"/>
                <w:szCs w:val="24"/>
              </w:rPr>
            </w:pPr>
            <w:r>
              <w:rPr>
                <w:rFonts w:ascii="宋体" w:hAnsi="宋体" w:cs="宋体"/>
                <w:sz w:val="24"/>
                <w:szCs w:val="24"/>
              </w:rPr>
              <w:t>预约登记</w:t>
            </w:r>
          </w:p>
        </w:tc>
        <w:tc>
          <w:tcPr>
            <w:tcW w:w="3780" w:type="pct"/>
            <w:noWrap w:val="0"/>
            <w:vAlign w:val="top"/>
          </w:tcPr>
          <w:p>
            <w:pPr>
              <w:jc w:val="left"/>
              <w:rPr>
                <w:rFonts w:hint="default" w:ascii="宋体" w:hAnsi="宋体" w:cs="宋体"/>
                <w:sz w:val="24"/>
                <w:szCs w:val="24"/>
              </w:rPr>
            </w:pPr>
            <w:r>
              <w:rPr>
                <w:rFonts w:ascii="宋体" w:hAnsi="宋体" w:cs="宋体"/>
                <w:sz w:val="24"/>
                <w:szCs w:val="24"/>
              </w:rPr>
              <w:t>用于门诊心电图检查。提取门诊医生站检查申请信息进行预约安排，实现分诊。系统支持检查病人基本信息的HIS自动获取。支持HL7标准的集成技术，中间数据库的集成技术，DICOM标准的集成技术。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能够直接从HIS系统获得病人ID、基本信息、交费信息、诊断信息、检查要求等。在数据库中建立病人唯一ID，方便管理。自动产生发放心电图病人检查号，可提供集中登记、分部门登记两种登记方式。预约登记列表中显示不同颜色来区分患者当前的状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根据登记先后顺序自动排队叫号，可急诊优先和人工干预。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提示患者排队时需要等待的人数，可以让70岁以上的高龄病人，危重病人和军人优先检查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restart"/>
            <w:noWrap w:val="0"/>
            <w:vAlign w:val="center"/>
          </w:tcPr>
          <w:p>
            <w:pPr>
              <w:jc w:val="center"/>
              <w:rPr>
                <w:rFonts w:hint="default" w:ascii="宋体" w:hAnsi="宋体" w:cs="宋体"/>
                <w:sz w:val="24"/>
                <w:szCs w:val="24"/>
              </w:rPr>
            </w:pPr>
            <w:r>
              <w:rPr>
                <w:rFonts w:ascii="宋体" w:hAnsi="宋体" w:cs="宋体"/>
                <w:sz w:val="24"/>
                <w:szCs w:val="24"/>
              </w:rPr>
              <w:t>3</w:t>
            </w:r>
          </w:p>
        </w:tc>
        <w:tc>
          <w:tcPr>
            <w:tcW w:w="774" w:type="pct"/>
            <w:vMerge w:val="restart"/>
            <w:noWrap w:val="0"/>
            <w:vAlign w:val="center"/>
          </w:tcPr>
          <w:p>
            <w:pPr>
              <w:jc w:val="center"/>
              <w:rPr>
                <w:rFonts w:hint="default" w:ascii="宋体" w:hAnsi="宋体" w:cs="宋体"/>
                <w:sz w:val="24"/>
                <w:szCs w:val="24"/>
              </w:rPr>
            </w:pPr>
            <w:r>
              <w:rPr>
                <w:rFonts w:ascii="宋体" w:hAnsi="宋体" w:cs="宋体"/>
                <w:sz w:val="24"/>
                <w:szCs w:val="24"/>
              </w:rPr>
              <w:t>分诊叫号</w:t>
            </w:r>
          </w:p>
        </w:tc>
        <w:tc>
          <w:tcPr>
            <w:tcW w:w="3780" w:type="pct"/>
            <w:noWrap w:val="0"/>
            <w:vAlign w:val="top"/>
          </w:tcPr>
          <w:p>
            <w:pPr>
              <w:jc w:val="left"/>
              <w:rPr>
                <w:rFonts w:hint="default" w:ascii="宋体" w:hAnsi="宋体" w:cs="宋体"/>
                <w:sz w:val="24"/>
                <w:szCs w:val="24"/>
              </w:rPr>
            </w:pPr>
            <w:r>
              <w:rPr>
                <w:rFonts w:ascii="宋体" w:hAnsi="宋体" w:cs="宋体"/>
                <w:sz w:val="24"/>
                <w:szCs w:val="24"/>
              </w:rPr>
              <w:t>支持供医生呼叫病人的大屏幕显示，系统会自动语音呼叫,同时在大屏幕显示将要做检查的病人基本信息，提醒病人做好准备，同时节省医生与病人的时间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支持一级和二级叫号模式。支持与医院现有分诊叫号系统联网使用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显示屏可以设定动画播报，支持科教视频宣传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restart"/>
            <w:noWrap w:val="0"/>
            <w:vAlign w:val="center"/>
          </w:tcPr>
          <w:p>
            <w:pPr>
              <w:jc w:val="center"/>
              <w:rPr>
                <w:rFonts w:hint="default" w:ascii="宋体" w:hAnsi="宋体" w:cs="宋体"/>
                <w:sz w:val="24"/>
                <w:szCs w:val="24"/>
              </w:rPr>
            </w:pPr>
            <w:r>
              <w:rPr>
                <w:rFonts w:ascii="宋体" w:hAnsi="宋体" w:cs="宋体"/>
                <w:sz w:val="24"/>
                <w:szCs w:val="24"/>
              </w:rPr>
              <w:t>4</w:t>
            </w:r>
          </w:p>
        </w:tc>
        <w:tc>
          <w:tcPr>
            <w:tcW w:w="774" w:type="pct"/>
            <w:vMerge w:val="restart"/>
            <w:noWrap w:val="0"/>
            <w:vAlign w:val="center"/>
          </w:tcPr>
          <w:p>
            <w:pPr>
              <w:jc w:val="center"/>
              <w:rPr>
                <w:rFonts w:hint="default" w:ascii="宋体" w:hAnsi="宋体" w:cs="宋体"/>
                <w:sz w:val="24"/>
                <w:szCs w:val="24"/>
              </w:rPr>
            </w:pPr>
            <w:r>
              <w:rPr>
                <w:rFonts w:ascii="宋体" w:hAnsi="宋体" w:cs="宋体"/>
                <w:sz w:val="24"/>
                <w:szCs w:val="24"/>
              </w:rPr>
              <w:t>静态心电数据采集存储</w:t>
            </w:r>
          </w:p>
        </w:tc>
        <w:tc>
          <w:tcPr>
            <w:tcW w:w="3780" w:type="pct"/>
            <w:noWrap w:val="0"/>
            <w:vAlign w:val="top"/>
          </w:tcPr>
          <w:p>
            <w:pPr>
              <w:jc w:val="left"/>
              <w:rPr>
                <w:rFonts w:hint="default" w:ascii="宋体" w:hAnsi="宋体" w:cs="宋体"/>
                <w:sz w:val="24"/>
                <w:szCs w:val="24"/>
              </w:rPr>
            </w:pPr>
            <w:r>
              <w:rPr>
                <w:rFonts w:ascii="宋体" w:hAnsi="宋体" w:cs="宋体"/>
                <w:sz w:val="24"/>
                <w:szCs w:val="24"/>
              </w:rPr>
              <w:t>包括门诊、急诊、住院、体检、体检中心等部门心电图机联机数据采集。技师根据不同的申请单选择不同的检查。患者开始做检查的时候，患者的信息会自动调入，通过接收患者的预约单，就可以提取患者的预约信息，然后开始为患者做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技师或护士在操作心电设备为患者检查时，系统会自动填充病人的检查信息，显示出结果来。支持WORKLIST，支持扫描条码腕带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系统应该解决医院现有的数字口设备，兼容各种品牌心电图机的接入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系统应该支持接收同步12导联，15-16导联、18导联静息心电图数据并存储，编辑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同时支持接收活动平板运动试验、动态心电图、动态血压检查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常规心电以HL7-aECG格式保存，能够转换为MFER,CDA,PDF,DICOM中的至少两项国际标准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3" w:hRule="atLeast"/>
        </w:trPr>
        <w:tc>
          <w:tcPr>
            <w:tcW w:w="446" w:type="pct"/>
            <w:vMerge w:val="restart"/>
            <w:noWrap w:val="0"/>
            <w:vAlign w:val="center"/>
          </w:tcPr>
          <w:p>
            <w:pPr>
              <w:jc w:val="center"/>
              <w:rPr>
                <w:rFonts w:hint="default" w:ascii="宋体" w:hAnsi="宋体" w:cs="宋体"/>
                <w:sz w:val="24"/>
                <w:szCs w:val="24"/>
              </w:rPr>
            </w:pPr>
            <w:r>
              <w:rPr>
                <w:rFonts w:ascii="宋体" w:hAnsi="宋体" w:cs="宋体"/>
                <w:sz w:val="24"/>
                <w:szCs w:val="24"/>
              </w:rPr>
              <w:t>5</w:t>
            </w:r>
          </w:p>
        </w:tc>
        <w:tc>
          <w:tcPr>
            <w:tcW w:w="774" w:type="pct"/>
            <w:vMerge w:val="restart"/>
            <w:noWrap w:val="0"/>
            <w:vAlign w:val="center"/>
          </w:tcPr>
          <w:p>
            <w:pPr>
              <w:jc w:val="center"/>
              <w:rPr>
                <w:rFonts w:hint="default" w:ascii="宋体" w:hAnsi="宋体" w:cs="宋体"/>
                <w:sz w:val="24"/>
                <w:szCs w:val="24"/>
              </w:rPr>
            </w:pPr>
            <w:r>
              <w:rPr>
                <w:rFonts w:ascii="宋体" w:hAnsi="宋体" w:cs="宋体"/>
                <w:sz w:val="24"/>
                <w:szCs w:val="24"/>
              </w:rPr>
              <w:t>电生理系统数据处理</w:t>
            </w:r>
          </w:p>
        </w:tc>
        <w:tc>
          <w:tcPr>
            <w:tcW w:w="3780" w:type="pct"/>
            <w:noWrap w:val="0"/>
            <w:vAlign w:val="top"/>
          </w:tcPr>
          <w:p>
            <w:pPr>
              <w:jc w:val="left"/>
              <w:rPr>
                <w:rFonts w:hint="default" w:ascii="宋体" w:hAnsi="宋体" w:cs="宋体"/>
                <w:sz w:val="24"/>
                <w:szCs w:val="24"/>
              </w:rPr>
            </w:pPr>
            <w:r>
              <w:rPr>
                <w:rFonts w:ascii="宋体" w:hAnsi="宋体" w:cs="宋体"/>
                <w:kern w:val="0"/>
                <w:sz w:val="24"/>
                <w:szCs w:val="24"/>
                <w:lang w:bidi="ar"/>
              </w:rPr>
              <w:t>后续其他电生理如肌电图，骨密度，肺功能，动态心电等电生理设备联网的功能，需要提供电生理软件将病人的原始数据进行无损压缩，制作引导程序，对病人的基本信息和原始数据进行归档，存储在核心服务器中，方便数据的查询与统计，解决电生理设备主机存储量小的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6" w:hRule="atLeas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kern w:val="0"/>
                <w:sz w:val="24"/>
                <w:szCs w:val="24"/>
                <w:lang w:bidi="ar"/>
              </w:rPr>
              <w:t>能够处理的电生理设备包括脑电图、肌电图、动态心电、动态血压、运动平叛、肺功能等电生理设备。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88" w:hRule="atLeas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kern w:val="0"/>
                <w:sz w:val="24"/>
                <w:szCs w:val="24"/>
                <w:lang w:bidi="ar"/>
              </w:rPr>
              <w:t>针对电生理的报告系统，提供了PDF的解析功能，根据用户的需求，自动获取有用的数据，进行归档、自动生成电生理报告，并把该报告再院内共享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6" w:hRule="atLeas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kern w:val="0"/>
                <w:sz w:val="24"/>
                <w:szCs w:val="24"/>
                <w:lang w:bidi="ar"/>
              </w:rPr>
            </w:pPr>
            <w:r>
              <w:rPr>
                <w:rFonts w:ascii="宋体" w:hAnsi="宋体" w:cs="宋体"/>
                <w:kern w:val="0"/>
                <w:sz w:val="24"/>
                <w:szCs w:val="24"/>
                <w:lang w:bidi="ar"/>
              </w:rPr>
              <w:t>在没有电生理软件提供商的配合情况下，实现电生理软件和HIS系统的接口，减轻检查医生的工作量，提高信息输入的准确性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kern w:val="0"/>
                <w:sz w:val="24"/>
                <w:szCs w:val="24"/>
                <w:lang w:bidi="ar"/>
              </w:rPr>
            </w:pPr>
            <w:r>
              <w:rPr>
                <w:rFonts w:ascii="宋体" w:hAnsi="宋体" w:cs="宋体"/>
                <w:kern w:val="0"/>
                <w:sz w:val="24"/>
                <w:szCs w:val="24"/>
                <w:lang w:bidi="ar"/>
              </w:rPr>
              <w:t>实现对电生理检查报告的获取、参数提取，临床医生根据实际需要，重新定义报告格式，并且实现对电生理参数的统计分析，通过和EMR的接口，实现电生理报告的共享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88" w:hRule="atLeas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kern w:val="0"/>
                <w:sz w:val="24"/>
                <w:szCs w:val="24"/>
                <w:lang w:bidi="ar"/>
              </w:rPr>
            </w:pPr>
            <w:r>
              <w:rPr>
                <w:rFonts w:ascii="宋体" w:hAnsi="宋体" w:cs="宋体"/>
                <w:sz w:val="24"/>
                <w:szCs w:val="24"/>
                <w:lang w:bidi="en-US"/>
              </w:rPr>
              <w:t>数据解析与提取：</w:t>
            </w:r>
            <w:r>
              <w:rPr>
                <w:rFonts w:ascii="宋体" w:hAnsi="宋体" w:cs="宋体"/>
                <w:sz w:val="24"/>
                <w:szCs w:val="24"/>
              </w:rPr>
              <w:t>对获取的电子文档进行OCR处理（BMP或JPG文档）或对PDF文字内容提取，并对提取的信息进行分析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77" w:hRule="atLeas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lang w:bidi="en-US"/>
              </w:rPr>
              <w:t>数据归档和管理：</w:t>
            </w:r>
            <w:r>
              <w:rPr>
                <w:rFonts w:ascii="宋体" w:hAnsi="宋体" w:cs="宋体"/>
                <w:sz w:val="24"/>
                <w:szCs w:val="24"/>
              </w:rPr>
              <w:t>对获取的数据归档后，在科室内实现数字化管理，在院内实现共享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restart"/>
            <w:noWrap w:val="0"/>
            <w:vAlign w:val="center"/>
          </w:tcPr>
          <w:p>
            <w:pPr>
              <w:jc w:val="center"/>
              <w:rPr>
                <w:rFonts w:hint="default" w:ascii="宋体" w:hAnsi="宋体" w:cs="宋体"/>
                <w:sz w:val="24"/>
                <w:szCs w:val="24"/>
              </w:rPr>
            </w:pPr>
            <w:r>
              <w:rPr>
                <w:rFonts w:ascii="宋体" w:hAnsi="宋体" w:cs="宋体"/>
                <w:sz w:val="24"/>
                <w:szCs w:val="24"/>
              </w:rPr>
              <w:t>6</w:t>
            </w:r>
          </w:p>
        </w:tc>
        <w:tc>
          <w:tcPr>
            <w:tcW w:w="774" w:type="pct"/>
            <w:vMerge w:val="restart"/>
            <w:noWrap w:val="0"/>
            <w:vAlign w:val="center"/>
          </w:tcPr>
          <w:p>
            <w:pPr>
              <w:jc w:val="center"/>
              <w:rPr>
                <w:rFonts w:hint="default" w:ascii="宋体" w:hAnsi="宋体" w:cs="宋体"/>
                <w:sz w:val="24"/>
                <w:szCs w:val="24"/>
              </w:rPr>
            </w:pPr>
            <w:r>
              <w:rPr>
                <w:rFonts w:ascii="宋体" w:hAnsi="宋体" w:cs="宋体"/>
                <w:sz w:val="24"/>
                <w:szCs w:val="24"/>
              </w:rPr>
              <w:t>数据分析</w:t>
            </w:r>
          </w:p>
        </w:tc>
        <w:tc>
          <w:tcPr>
            <w:tcW w:w="3780" w:type="pct"/>
            <w:noWrap w:val="0"/>
            <w:vAlign w:val="top"/>
          </w:tcPr>
          <w:p>
            <w:pPr>
              <w:jc w:val="left"/>
              <w:rPr>
                <w:rFonts w:hint="default" w:ascii="宋体" w:hAnsi="宋体" w:cs="宋体"/>
                <w:sz w:val="24"/>
                <w:szCs w:val="24"/>
              </w:rPr>
            </w:pPr>
            <w:r>
              <w:rPr>
                <w:rFonts w:ascii="宋体" w:hAnsi="宋体" w:cs="宋体"/>
                <w:sz w:val="24"/>
                <w:szCs w:val="24"/>
              </w:rPr>
              <w:t>提供通用的分析工具，如同屏对比、波形放大、电子分规测量及心电图数据重新分析功能；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对于相同ID号心电数据，系统自动分析比较心电图的变化，并在报告中显示出来；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对于传入系统的有干扰波形进行再次滤波调节；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对于波形重叠的心电图，支持重新排列以方便测量分析，测量精度达毫秒/微伏级；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具有向量分析技术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支持Cabrera导联功能、附加导联功能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导联组合：多份图谱任意导联组合，快速15导、18导处理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图谱合并：多份图谱任意合并，快速15导、18导处理【提供软件界面截图】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电轴测量，心电轴对照表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阿托品试验采集及处理流程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任意心搏放大、单导联图谱漂移功能、全屏图谱漂移功能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bCs/>
                <w:sz w:val="24"/>
                <w:szCs w:val="24"/>
              </w:rPr>
              <w:t>梯形图生成技术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危急值预警流程：出现危机值数据,执行预警报警、优先诊断等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诊断分级：对所有采集下来的数据进行诊断分级处理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支持心电事件、起博心电、晚电位功能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restart"/>
            <w:noWrap w:val="0"/>
            <w:vAlign w:val="center"/>
          </w:tcPr>
          <w:p>
            <w:pPr>
              <w:jc w:val="center"/>
              <w:rPr>
                <w:rFonts w:hint="default" w:ascii="宋体" w:hAnsi="宋体" w:cs="宋体"/>
                <w:sz w:val="24"/>
                <w:szCs w:val="24"/>
              </w:rPr>
            </w:pPr>
            <w:r>
              <w:rPr>
                <w:rFonts w:ascii="宋体" w:hAnsi="宋体" w:cs="宋体"/>
                <w:sz w:val="24"/>
                <w:szCs w:val="24"/>
              </w:rPr>
              <w:t>7</w:t>
            </w:r>
          </w:p>
        </w:tc>
        <w:tc>
          <w:tcPr>
            <w:tcW w:w="774" w:type="pct"/>
            <w:vMerge w:val="restart"/>
            <w:noWrap w:val="0"/>
            <w:vAlign w:val="center"/>
          </w:tcPr>
          <w:p>
            <w:pPr>
              <w:jc w:val="center"/>
              <w:rPr>
                <w:rFonts w:hint="default" w:ascii="宋体" w:hAnsi="宋体" w:cs="宋体"/>
                <w:sz w:val="24"/>
                <w:szCs w:val="24"/>
              </w:rPr>
            </w:pPr>
            <w:r>
              <w:rPr>
                <w:rFonts w:ascii="宋体" w:hAnsi="宋体" w:cs="宋体"/>
                <w:sz w:val="24"/>
                <w:szCs w:val="24"/>
              </w:rPr>
              <w:t>WEB终端</w:t>
            </w:r>
          </w:p>
          <w:p>
            <w:pPr>
              <w:jc w:val="center"/>
              <w:rPr>
                <w:rFonts w:hint="default" w:ascii="宋体" w:hAnsi="宋体" w:cs="宋体"/>
                <w:sz w:val="24"/>
                <w:szCs w:val="24"/>
              </w:rPr>
            </w:pPr>
            <w:r>
              <w:rPr>
                <w:rFonts w:ascii="宋体" w:hAnsi="宋体" w:cs="宋体"/>
                <w:sz w:val="24"/>
                <w:szCs w:val="24"/>
              </w:rPr>
              <w:t>浏览</w:t>
            </w:r>
          </w:p>
        </w:tc>
        <w:tc>
          <w:tcPr>
            <w:tcW w:w="3780" w:type="pct"/>
            <w:noWrap w:val="0"/>
            <w:vAlign w:val="top"/>
          </w:tcPr>
          <w:p>
            <w:pPr>
              <w:jc w:val="left"/>
              <w:rPr>
                <w:rFonts w:hint="default" w:ascii="宋体" w:hAnsi="宋体" w:cs="宋体"/>
                <w:sz w:val="24"/>
                <w:szCs w:val="24"/>
              </w:rPr>
            </w:pPr>
            <w:r>
              <w:rPr>
                <w:rFonts w:ascii="宋体" w:hAnsi="宋体" w:cs="宋体"/>
                <w:sz w:val="24"/>
                <w:szCs w:val="24"/>
              </w:rPr>
              <w:t>嵌入门诊医生站、住院电子病历系统。当心电图专业医生确认检查报告后，在全院的医生工作站上就可以浏览到具有查看权限的心电图结论，心电波形和打印带网格的心电图报告。Web浏览无需安装控件，可以查看原始数据，可以调整走速和增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sz w:val="24"/>
                <w:szCs w:val="24"/>
              </w:rPr>
              <w:t>具有在线心电图分析功能，查看长时间原始心电波形；提供心电图处理测量功能，波形显示、幅值调整、单页多页显示、新旧病历对比功能、心拍自动分析、心拍特征点自动识别、心拍特征点手动微调、走纸速度调整、波形放大等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6" w:type="pct"/>
            <w:noWrap w:val="0"/>
            <w:vAlign w:val="center"/>
          </w:tcPr>
          <w:p>
            <w:pPr>
              <w:jc w:val="center"/>
              <w:rPr>
                <w:rFonts w:hint="default" w:ascii="宋体" w:hAnsi="宋体" w:cs="宋体"/>
                <w:sz w:val="24"/>
                <w:szCs w:val="24"/>
              </w:rPr>
            </w:pPr>
            <w:r>
              <w:rPr>
                <w:rFonts w:ascii="宋体" w:hAnsi="宋体" w:cs="宋体"/>
                <w:sz w:val="24"/>
                <w:szCs w:val="24"/>
              </w:rPr>
              <w:t>8</w:t>
            </w:r>
          </w:p>
        </w:tc>
        <w:tc>
          <w:tcPr>
            <w:tcW w:w="774" w:type="pct"/>
            <w:noWrap w:val="0"/>
            <w:vAlign w:val="center"/>
          </w:tcPr>
          <w:p>
            <w:pPr>
              <w:jc w:val="center"/>
              <w:rPr>
                <w:rFonts w:hint="default" w:ascii="宋体" w:hAnsi="宋体" w:cs="宋体"/>
                <w:sz w:val="24"/>
                <w:szCs w:val="24"/>
              </w:rPr>
            </w:pPr>
            <w:r>
              <w:rPr>
                <w:rFonts w:ascii="宋体" w:hAnsi="宋体" w:cs="宋体"/>
                <w:sz w:val="24"/>
                <w:szCs w:val="24"/>
              </w:rPr>
              <w:t>专业统计</w:t>
            </w:r>
          </w:p>
          <w:p>
            <w:pPr>
              <w:jc w:val="center"/>
              <w:rPr>
                <w:rFonts w:hint="default" w:ascii="宋体" w:hAnsi="宋体" w:cs="宋体"/>
                <w:sz w:val="24"/>
                <w:szCs w:val="24"/>
              </w:rPr>
            </w:pPr>
            <w:r>
              <w:rPr>
                <w:rFonts w:ascii="宋体" w:hAnsi="宋体" w:cs="宋体"/>
                <w:sz w:val="24"/>
                <w:szCs w:val="24"/>
              </w:rPr>
              <w:t>查询</w:t>
            </w:r>
          </w:p>
        </w:tc>
        <w:tc>
          <w:tcPr>
            <w:tcW w:w="3780" w:type="pct"/>
            <w:noWrap w:val="0"/>
            <w:vAlign w:val="top"/>
          </w:tcPr>
          <w:p>
            <w:pPr>
              <w:jc w:val="left"/>
              <w:rPr>
                <w:rFonts w:hint="default" w:ascii="宋体" w:hAnsi="宋体" w:cs="宋体"/>
                <w:sz w:val="24"/>
                <w:szCs w:val="24"/>
              </w:rPr>
            </w:pPr>
            <w:r>
              <w:rPr>
                <w:rFonts w:ascii="宋体" w:hAnsi="宋体" w:cs="宋体"/>
                <w:sz w:val="24"/>
                <w:szCs w:val="24"/>
              </w:rPr>
              <w:t>建立查询系统，实现住院部心电图多种查询条件，支持模糊查询，并可进行统计。统计结果包括工作量、费用，消耗等。具体分为患者信息查询，仪器使用统计，工作量费用统计，阳性查询，低值查询，数据范围查询等，使心电图的各种分类、心电图的查询、调阅和统计都变得方便。利用这些资源，心电图科室在人员培训、研究创新、量化管理等方面都可以很方便地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6" w:type="pct"/>
            <w:noWrap w:val="0"/>
            <w:vAlign w:val="center"/>
          </w:tcPr>
          <w:p>
            <w:pPr>
              <w:jc w:val="center"/>
              <w:rPr>
                <w:rFonts w:hint="default" w:ascii="宋体" w:hAnsi="宋体" w:cs="宋体"/>
                <w:sz w:val="24"/>
                <w:szCs w:val="24"/>
              </w:rPr>
            </w:pPr>
            <w:r>
              <w:rPr>
                <w:rFonts w:ascii="宋体" w:hAnsi="宋体" w:cs="宋体"/>
                <w:sz w:val="24"/>
                <w:szCs w:val="24"/>
              </w:rPr>
              <w:t>9</w:t>
            </w:r>
          </w:p>
        </w:tc>
        <w:tc>
          <w:tcPr>
            <w:tcW w:w="774" w:type="pct"/>
            <w:noWrap w:val="0"/>
            <w:vAlign w:val="center"/>
          </w:tcPr>
          <w:p>
            <w:pPr>
              <w:jc w:val="center"/>
              <w:rPr>
                <w:rFonts w:hint="default" w:ascii="宋体" w:hAnsi="宋体" w:cs="宋体"/>
                <w:sz w:val="24"/>
                <w:szCs w:val="24"/>
              </w:rPr>
            </w:pPr>
            <w:r>
              <w:rPr>
                <w:rFonts w:ascii="宋体" w:hAnsi="宋体" w:cs="宋体"/>
                <w:sz w:val="24"/>
                <w:szCs w:val="24"/>
              </w:rPr>
              <w:t>管理功能</w:t>
            </w:r>
          </w:p>
        </w:tc>
        <w:tc>
          <w:tcPr>
            <w:tcW w:w="3780" w:type="pct"/>
            <w:noWrap w:val="0"/>
            <w:vAlign w:val="top"/>
          </w:tcPr>
          <w:p>
            <w:pPr>
              <w:jc w:val="left"/>
              <w:rPr>
                <w:rFonts w:hint="default" w:ascii="宋体" w:hAnsi="宋体" w:cs="宋体"/>
                <w:sz w:val="24"/>
                <w:szCs w:val="24"/>
              </w:rPr>
            </w:pPr>
            <w:r>
              <w:rPr>
                <w:rFonts w:ascii="宋体" w:hAnsi="宋体" w:cs="宋体"/>
                <w:sz w:val="24"/>
                <w:szCs w:val="24"/>
              </w:rPr>
              <w:t>提供科室配置，医生、护士、技师等用户的角色权限管理，工作量统计等。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6" w:type="pct"/>
            <w:noWrap w:val="0"/>
            <w:vAlign w:val="center"/>
          </w:tcPr>
          <w:p>
            <w:pPr>
              <w:jc w:val="center"/>
              <w:rPr>
                <w:rFonts w:hint="default" w:ascii="宋体" w:hAnsi="宋体" w:cs="宋体"/>
                <w:sz w:val="24"/>
                <w:szCs w:val="24"/>
              </w:rPr>
            </w:pPr>
            <w:r>
              <w:rPr>
                <w:rFonts w:ascii="宋体" w:hAnsi="宋体" w:cs="宋体"/>
                <w:sz w:val="24"/>
                <w:szCs w:val="24"/>
              </w:rPr>
              <w:t>10</w:t>
            </w:r>
          </w:p>
        </w:tc>
        <w:tc>
          <w:tcPr>
            <w:tcW w:w="774" w:type="pct"/>
            <w:noWrap w:val="0"/>
            <w:vAlign w:val="center"/>
          </w:tcPr>
          <w:p>
            <w:pPr>
              <w:jc w:val="center"/>
              <w:rPr>
                <w:rFonts w:hint="default" w:ascii="宋体" w:hAnsi="宋体" w:cs="宋体"/>
                <w:sz w:val="24"/>
                <w:szCs w:val="24"/>
              </w:rPr>
            </w:pPr>
            <w:r>
              <w:rPr>
                <w:rFonts w:ascii="宋体" w:hAnsi="宋体" w:cs="宋体"/>
                <w:sz w:val="24"/>
                <w:szCs w:val="24"/>
              </w:rPr>
              <w:t>教学科研</w:t>
            </w:r>
          </w:p>
          <w:p>
            <w:pPr>
              <w:jc w:val="center"/>
              <w:rPr>
                <w:rFonts w:hint="default" w:ascii="宋体" w:hAnsi="宋体" w:cs="宋体"/>
                <w:sz w:val="24"/>
                <w:szCs w:val="24"/>
              </w:rPr>
            </w:pPr>
            <w:r>
              <w:rPr>
                <w:rFonts w:ascii="宋体" w:hAnsi="宋体" w:cs="宋体"/>
                <w:sz w:val="24"/>
                <w:szCs w:val="24"/>
              </w:rPr>
              <w:t>支持</w:t>
            </w:r>
          </w:p>
        </w:tc>
        <w:tc>
          <w:tcPr>
            <w:tcW w:w="3780" w:type="pct"/>
            <w:noWrap w:val="0"/>
            <w:vAlign w:val="top"/>
          </w:tcPr>
          <w:p>
            <w:pPr>
              <w:jc w:val="left"/>
              <w:rPr>
                <w:rFonts w:hint="default" w:ascii="宋体" w:hAnsi="宋体" w:cs="宋体"/>
                <w:sz w:val="24"/>
                <w:szCs w:val="24"/>
              </w:rPr>
            </w:pPr>
            <w:r>
              <w:rPr>
                <w:rFonts w:ascii="宋体" w:hAnsi="宋体" w:cs="宋体"/>
                <w:sz w:val="24"/>
                <w:szCs w:val="24"/>
              </w:rPr>
              <w:t>要求系统支持模糊万能查询。支持用户自定义查询方法。支持数据输出为DBF、EXCEL、TXT、JPG等格式供第三方软件分析，能进行各种分类分项统计，提供各种统计报表样张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6" w:type="pct"/>
            <w:vMerge w:val="restart"/>
            <w:noWrap w:val="0"/>
            <w:vAlign w:val="center"/>
          </w:tcPr>
          <w:p>
            <w:pPr>
              <w:jc w:val="center"/>
              <w:rPr>
                <w:rFonts w:hint="default" w:ascii="宋体" w:hAnsi="宋体" w:cs="宋体"/>
                <w:sz w:val="24"/>
                <w:szCs w:val="24"/>
              </w:rPr>
            </w:pPr>
            <w:r>
              <w:rPr>
                <w:rFonts w:ascii="宋体" w:hAnsi="宋体" w:cs="宋体"/>
                <w:sz w:val="24"/>
                <w:szCs w:val="24"/>
              </w:rPr>
              <w:t>11</w:t>
            </w:r>
          </w:p>
        </w:tc>
        <w:tc>
          <w:tcPr>
            <w:tcW w:w="774" w:type="pct"/>
            <w:vMerge w:val="restart"/>
            <w:noWrap w:val="0"/>
            <w:vAlign w:val="center"/>
          </w:tcPr>
          <w:p>
            <w:pPr>
              <w:jc w:val="center"/>
              <w:rPr>
                <w:rFonts w:hint="default" w:ascii="宋体" w:hAnsi="宋体" w:cs="宋体"/>
                <w:sz w:val="24"/>
                <w:szCs w:val="24"/>
              </w:rPr>
            </w:pPr>
            <w:r>
              <w:rPr>
                <w:rFonts w:ascii="宋体" w:hAnsi="宋体" w:cs="宋体"/>
                <w:sz w:val="24"/>
                <w:szCs w:val="24"/>
              </w:rPr>
              <w:t>数据安全</w:t>
            </w:r>
          </w:p>
        </w:tc>
        <w:tc>
          <w:tcPr>
            <w:tcW w:w="3780" w:type="pct"/>
            <w:noWrap w:val="0"/>
            <w:vAlign w:val="top"/>
          </w:tcPr>
          <w:p>
            <w:pPr>
              <w:jc w:val="left"/>
              <w:rPr>
                <w:rFonts w:hint="default" w:ascii="宋体" w:hAnsi="宋体" w:cs="宋体"/>
                <w:sz w:val="24"/>
                <w:szCs w:val="24"/>
              </w:rPr>
            </w:pPr>
            <w:r>
              <w:rPr>
                <w:rFonts w:ascii="宋体" w:hAnsi="宋体" w:cs="宋体"/>
                <w:bCs/>
                <w:sz w:val="24"/>
                <w:szCs w:val="24"/>
              </w:rPr>
              <w:t>支持数据修正，显示数据的审计、修改的痕迹；支持数据离线保存、恢复。支持单机版运行，保证异常情况下的数据恢复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bCs/>
                <w:sz w:val="24"/>
                <w:szCs w:val="24"/>
              </w:rPr>
              <w:t>在线数据采用RAID5进行备份，保证数据的安全性，且病人资料具有延续性和完整性，方便操作和查询统计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restart"/>
            <w:noWrap w:val="0"/>
            <w:vAlign w:val="center"/>
          </w:tcPr>
          <w:p>
            <w:pPr>
              <w:jc w:val="center"/>
              <w:rPr>
                <w:rFonts w:hint="default" w:ascii="宋体" w:hAnsi="宋体" w:cs="宋体"/>
                <w:sz w:val="24"/>
                <w:szCs w:val="24"/>
              </w:rPr>
            </w:pPr>
            <w:r>
              <w:rPr>
                <w:rFonts w:ascii="宋体" w:hAnsi="宋体" w:cs="宋体"/>
                <w:sz w:val="24"/>
                <w:szCs w:val="24"/>
              </w:rPr>
              <w:t>12</w:t>
            </w:r>
          </w:p>
        </w:tc>
        <w:tc>
          <w:tcPr>
            <w:tcW w:w="774" w:type="pct"/>
            <w:vMerge w:val="restart"/>
            <w:noWrap w:val="0"/>
            <w:vAlign w:val="center"/>
          </w:tcPr>
          <w:p>
            <w:pPr>
              <w:jc w:val="center"/>
              <w:rPr>
                <w:rFonts w:hint="default" w:ascii="宋体" w:hAnsi="宋体" w:cs="宋体"/>
                <w:sz w:val="24"/>
                <w:szCs w:val="24"/>
              </w:rPr>
            </w:pPr>
            <w:r>
              <w:rPr>
                <w:rFonts w:ascii="宋体" w:hAnsi="宋体" w:cs="宋体"/>
                <w:sz w:val="24"/>
                <w:szCs w:val="24"/>
              </w:rPr>
              <w:t>用户安全</w:t>
            </w:r>
          </w:p>
        </w:tc>
        <w:tc>
          <w:tcPr>
            <w:tcW w:w="3780" w:type="pct"/>
            <w:noWrap w:val="0"/>
            <w:vAlign w:val="top"/>
          </w:tcPr>
          <w:p>
            <w:pPr>
              <w:jc w:val="left"/>
              <w:rPr>
                <w:rFonts w:hint="default" w:ascii="宋体" w:hAnsi="宋体" w:cs="宋体"/>
                <w:sz w:val="24"/>
                <w:szCs w:val="24"/>
              </w:rPr>
            </w:pPr>
            <w:r>
              <w:rPr>
                <w:rFonts w:ascii="宋体" w:hAnsi="宋体" w:cs="宋体"/>
                <w:bCs/>
                <w:sz w:val="24"/>
                <w:szCs w:val="24"/>
              </w:rPr>
              <w:t>提供集中的用户及权限管理程序，通过系统管理员为用户授权，不同权限管理不同的内容。支持用户分组机制，用于简化用户授权。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bCs/>
                <w:sz w:val="24"/>
                <w:szCs w:val="24"/>
              </w:rPr>
              <w:t>提供用户访问日志功能，对访问过的数据以及特殊的操作进行记录，并提供记录查看和检索手段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6" w:type="pct"/>
            <w:vMerge w:val="restart"/>
            <w:noWrap w:val="0"/>
            <w:vAlign w:val="center"/>
          </w:tcPr>
          <w:p>
            <w:pPr>
              <w:jc w:val="center"/>
              <w:rPr>
                <w:rFonts w:hint="default" w:ascii="宋体" w:hAnsi="宋体" w:cs="宋体"/>
                <w:sz w:val="24"/>
                <w:szCs w:val="24"/>
              </w:rPr>
            </w:pPr>
            <w:r>
              <w:rPr>
                <w:rFonts w:ascii="宋体" w:hAnsi="宋体" w:cs="宋体"/>
                <w:sz w:val="24"/>
                <w:szCs w:val="24"/>
              </w:rPr>
              <w:t>13</w:t>
            </w:r>
          </w:p>
        </w:tc>
        <w:tc>
          <w:tcPr>
            <w:tcW w:w="774" w:type="pct"/>
            <w:vMerge w:val="restart"/>
            <w:noWrap w:val="0"/>
            <w:vAlign w:val="center"/>
          </w:tcPr>
          <w:p>
            <w:pPr>
              <w:jc w:val="center"/>
              <w:rPr>
                <w:rFonts w:hint="default" w:ascii="宋体" w:hAnsi="宋体" w:cs="宋体"/>
                <w:sz w:val="24"/>
                <w:szCs w:val="24"/>
              </w:rPr>
            </w:pPr>
            <w:r>
              <w:rPr>
                <w:rFonts w:ascii="宋体" w:hAnsi="宋体" w:cs="宋体"/>
                <w:sz w:val="24"/>
                <w:szCs w:val="24"/>
              </w:rPr>
              <w:t>病房和急诊的处理</w:t>
            </w:r>
          </w:p>
        </w:tc>
        <w:tc>
          <w:tcPr>
            <w:tcW w:w="3780" w:type="pct"/>
            <w:noWrap w:val="0"/>
            <w:vAlign w:val="top"/>
          </w:tcPr>
          <w:p>
            <w:pPr>
              <w:jc w:val="left"/>
              <w:rPr>
                <w:rFonts w:hint="default" w:ascii="宋体" w:hAnsi="宋体" w:cs="宋体"/>
                <w:sz w:val="24"/>
                <w:szCs w:val="24"/>
              </w:rPr>
            </w:pPr>
            <w:r>
              <w:rPr>
                <w:rFonts w:ascii="宋体" w:hAnsi="宋体" w:cs="宋体"/>
                <w:sz w:val="24"/>
                <w:szCs w:val="24"/>
              </w:rPr>
              <w:t>心电系统诊断中心站设立在功能科，采用心电图远程传输技术，无论是急诊或病区的护士采集的心电图数据可以通过有线或无线网络在第一时间传输给心电图室，心电图医生在心电图中心服务器进行分析打印，短时间内将心电图报告回复打印给病房或急诊，打印后的报告临床医生在科室内电脑进行网络共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top"/>
          </w:tcPr>
          <w:p>
            <w:pPr>
              <w:jc w:val="left"/>
              <w:rPr>
                <w:rFonts w:hint="default" w:ascii="宋体" w:hAnsi="宋体" w:cs="宋体"/>
                <w:sz w:val="24"/>
                <w:szCs w:val="24"/>
              </w:rPr>
            </w:pPr>
            <w:r>
              <w:rPr>
                <w:rFonts w:ascii="宋体" w:hAnsi="宋体" w:cs="宋体"/>
                <w:bCs/>
                <w:sz w:val="24"/>
                <w:szCs w:val="24"/>
              </w:rPr>
              <w:t>具有信息到达提醒功能，当有新病历传输时，可以声音的方式发出提醒；系统能够将急诊病人信息通过短信通知医师及主任。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restart"/>
            <w:noWrap w:val="0"/>
            <w:vAlign w:val="center"/>
          </w:tcPr>
          <w:p>
            <w:pPr>
              <w:jc w:val="center"/>
              <w:rPr>
                <w:rFonts w:hint="default" w:ascii="宋体" w:hAnsi="宋体" w:cs="宋体"/>
                <w:sz w:val="24"/>
                <w:szCs w:val="24"/>
              </w:rPr>
            </w:pPr>
            <w:r>
              <w:rPr>
                <w:rFonts w:ascii="宋体" w:hAnsi="宋体" w:cs="宋体"/>
                <w:sz w:val="24"/>
                <w:szCs w:val="24"/>
              </w:rPr>
              <w:t>14</w:t>
            </w:r>
          </w:p>
        </w:tc>
        <w:tc>
          <w:tcPr>
            <w:tcW w:w="774" w:type="pct"/>
            <w:vMerge w:val="restart"/>
            <w:noWrap w:val="0"/>
            <w:vAlign w:val="center"/>
          </w:tcPr>
          <w:p>
            <w:pPr>
              <w:jc w:val="center"/>
              <w:rPr>
                <w:rFonts w:hint="default" w:ascii="宋体" w:hAnsi="宋体" w:cs="宋体"/>
                <w:sz w:val="24"/>
                <w:szCs w:val="24"/>
              </w:rPr>
            </w:pPr>
            <w:r>
              <w:rPr>
                <w:rFonts w:ascii="宋体" w:hAnsi="宋体" w:cs="宋体"/>
                <w:sz w:val="24"/>
                <w:szCs w:val="24"/>
              </w:rPr>
              <w:t>特殊处理</w:t>
            </w:r>
          </w:p>
          <w:p>
            <w:pPr>
              <w:jc w:val="center"/>
              <w:rPr>
                <w:rFonts w:hint="default" w:ascii="宋体" w:hAnsi="宋体" w:cs="宋体"/>
                <w:sz w:val="24"/>
                <w:szCs w:val="24"/>
              </w:rPr>
            </w:pPr>
            <w:r>
              <w:rPr>
                <w:rFonts w:ascii="宋体" w:hAnsi="宋体" w:cs="宋体"/>
                <w:sz w:val="24"/>
                <w:szCs w:val="24"/>
              </w:rPr>
              <w:t>功能</w:t>
            </w:r>
          </w:p>
        </w:tc>
        <w:tc>
          <w:tcPr>
            <w:tcW w:w="3780" w:type="pct"/>
            <w:noWrap w:val="0"/>
            <w:vAlign w:val="center"/>
          </w:tcPr>
          <w:p>
            <w:pPr>
              <w:jc w:val="left"/>
              <w:rPr>
                <w:rFonts w:hint="default" w:ascii="宋体" w:hAnsi="宋体" w:cs="宋体"/>
                <w:sz w:val="24"/>
                <w:szCs w:val="24"/>
              </w:rPr>
            </w:pPr>
            <w:r>
              <w:rPr>
                <w:rFonts w:ascii="宋体" w:hAnsi="宋体" w:cs="宋体"/>
                <w:sz w:val="24"/>
                <w:szCs w:val="24"/>
              </w:rPr>
              <w:t>漏诊提示功能：软件通过分析，可以准确的识别出无法准确显示的切迹和顿挫，并用特殊的颜色将这些区域显示出来，提示诊断医生，以防止忽略这些细节造成漏诊。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center"/>
          </w:tcPr>
          <w:p>
            <w:pPr>
              <w:jc w:val="left"/>
              <w:rPr>
                <w:rFonts w:hint="default" w:ascii="宋体" w:hAnsi="宋体" w:cs="宋体"/>
                <w:sz w:val="24"/>
                <w:szCs w:val="24"/>
              </w:rPr>
            </w:pPr>
            <w:r>
              <w:rPr>
                <w:rFonts w:ascii="宋体" w:hAnsi="宋体" w:cs="宋体"/>
                <w:sz w:val="24"/>
                <w:szCs w:val="24"/>
              </w:rPr>
              <w:t>危急值管理：系统中具有危急值处理流程 ，演示在待诊断列表中，标明该待检查病人为危急；通过即时消息，在待诊断队列中提示，当前诊断组中的医生都可以优先处理该检查； 通过系统配置，给科室主任发送短信，短信中可以包括该检查的波形及自动诊断的结论。科主任可以通过智能终端查看波形。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vMerge w:val="continue"/>
            <w:noWrap w:val="0"/>
            <w:vAlign w:val="center"/>
          </w:tcPr>
          <w:p>
            <w:pPr>
              <w:jc w:val="center"/>
              <w:rPr>
                <w:rFonts w:hint="default" w:ascii="宋体" w:hAnsi="宋体" w:cs="宋体"/>
                <w:sz w:val="24"/>
                <w:szCs w:val="24"/>
              </w:rPr>
            </w:pPr>
          </w:p>
        </w:tc>
        <w:tc>
          <w:tcPr>
            <w:tcW w:w="774" w:type="pct"/>
            <w:vMerge w:val="continue"/>
            <w:noWrap w:val="0"/>
            <w:vAlign w:val="center"/>
          </w:tcPr>
          <w:p>
            <w:pPr>
              <w:jc w:val="center"/>
              <w:rPr>
                <w:rFonts w:hint="default" w:ascii="宋体" w:hAnsi="宋体" w:cs="宋体"/>
                <w:sz w:val="24"/>
                <w:szCs w:val="24"/>
              </w:rPr>
            </w:pPr>
          </w:p>
        </w:tc>
        <w:tc>
          <w:tcPr>
            <w:tcW w:w="3780" w:type="pct"/>
            <w:noWrap w:val="0"/>
            <w:vAlign w:val="center"/>
          </w:tcPr>
          <w:p>
            <w:pPr>
              <w:jc w:val="left"/>
              <w:rPr>
                <w:rFonts w:hint="default" w:ascii="宋体" w:hAnsi="宋体" w:cs="宋体"/>
                <w:sz w:val="24"/>
                <w:szCs w:val="24"/>
              </w:rPr>
            </w:pPr>
            <w:r>
              <w:rPr>
                <w:rFonts w:ascii="宋体" w:hAnsi="宋体" w:cs="宋体"/>
                <w:sz w:val="24"/>
                <w:szCs w:val="24"/>
              </w:rPr>
              <w:t>导联纠错功能：如果心电图数据因为导联接反或者胸导联接错位置而导致数据不对，无需重新采集病人数据，医生可以通过软件进行纠正，为保证数据纠正后的准确性。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46" w:type="pct"/>
            <w:noWrap w:val="0"/>
            <w:vAlign w:val="center"/>
          </w:tcPr>
          <w:p>
            <w:pPr>
              <w:tabs>
                <w:tab w:val="left" w:pos="2865"/>
              </w:tabs>
              <w:jc w:val="center"/>
              <w:rPr>
                <w:rFonts w:hint="default" w:ascii="宋体" w:hAnsi="宋体" w:cs="宋体"/>
                <w:sz w:val="24"/>
                <w:szCs w:val="24"/>
              </w:rPr>
            </w:pPr>
            <w:r>
              <w:rPr>
                <w:rFonts w:ascii="宋体" w:hAnsi="宋体" w:cs="宋体"/>
                <w:sz w:val="24"/>
                <w:szCs w:val="24"/>
              </w:rPr>
              <w:t>15</w:t>
            </w:r>
          </w:p>
        </w:tc>
        <w:tc>
          <w:tcPr>
            <w:tcW w:w="774" w:type="pct"/>
            <w:noWrap w:val="0"/>
            <w:vAlign w:val="center"/>
          </w:tcPr>
          <w:p>
            <w:pPr>
              <w:tabs>
                <w:tab w:val="left" w:pos="2865"/>
              </w:tabs>
              <w:jc w:val="center"/>
              <w:rPr>
                <w:rFonts w:hint="default" w:ascii="宋体" w:hAnsi="宋体" w:cs="宋体"/>
                <w:sz w:val="24"/>
                <w:szCs w:val="24"/>
              </w:rPr>
            </w:pPr>
            <w:r>
              <w:rPr>
                <w:rFonts w:ascii="宋体" w:hAnsi="宋体" w:cs="宋体"/>
                <w:sz w:val="24"/>
                <w:szCs w:val="24"/>
              </w:rPr>
              <w:t>设备联网</w:t>
            </w:r>
          </w:p>
        </w:tc>
        <w:tc>
          <w:tcPr>
            <w:tcW w:w="3780" w:type="pct"/>
            <w:noWrap w:val="0"/>
            <w:vAlign w:val="top"/>
          </w:tcPr>
          <w:p>
            <w:pPr>
              <w:tabs>
                <w:tab w:val="left" w:pos="2865"/>
              </w:tabs>
              <w:rPr>
                <w:rFonts w:hint="default" w:ascii="宋体" w:hAnsi="宋体" w:cs="宋体"/>
                <w:sz w:val="24"/>
                <w:szCs w:val="24"/>
              </w:rPr>
            </w:pPr>
            <w:r>
              <w:rPr>
                <w:rFonts w:ascii="宋体" w:hAnsi="宋体" w:cs="宋体"/>
                <w:sz w:val="24"/>
                <w:szCs w:val="24"/>
              </w:rPr>
              <w:t>将医院门诊心电图室及病房现有心电图机设备联网。</w:t>
            </w:r>
          </w:p>
        </w:tc>
      </w:tr>
    </w:tbl>
    <w:p>
      <w:pPr>
        <w:pStyle w:val="5"/>
        <w:numPr>
          <w:ilvl w:val="2"/>
          <w:numId w:val="5"/>
        </w:numPr>
        <w:spacing w:before="0" w:after="0" w:line="360" w:lineRule="auto"/>
        <w:rPr>
          <w:rFonts w:ascii="宋体" w:hAnsi="宋体"/>
        </w:rPr>
      </w:pPr>
      <w:r>
        <w:rPr>
          <w:rFonts w:hint="eastAsia" w:ascii="宋体" w:hAnsi="宋体"/>
        </w:rPr>
        <w:t>临床路径管理系统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116"/>
        <w:gridCol w:w="66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5" w:hRule="atLeast"/>
          <w:tblHeader/>
        </w:trPr>
        <w:tc>
          <w:tcPr>
            <w:tcW w:w="41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655" w:type="pct"/>
            <w:noWrap w:val="0"/>
            <w:vAlign w:val="center"/>
          </w:tcPr>
          <w:p>
            <w:pPr>
              <w:jc w:val="center"/>
              <w:rPr>
                <w:rFonts w:hint="default" w:ascii="宋体" w:hAnsi="宋体" w:cs="宋体"/>
                <w:b/>
                <w:kern w:val="0"/>
                <w:sz w:val="24"/>
                <w:szCs w:val="24"/>
              </w:rPr>
            </w:pPr>
            <w:r>
              <w:rPr>
                <w:rFonts w:ascii="宋体" w:hAnsi="宋体" w:cs="宋体"/>
                <w:b/>
                <w:kern w:val="0"/>
                <w:sz w:val="24"/>
                <w:szCs w:val="24"/>
              </w:rPr>
              <w:t>功能模块</w:t>
            </w:r>
          </w:p>
        </w:tc>
        <w:tc>
          <w:tcPr>
            <w:tcW w:w="3926" w:type="pct"/>
            <w:noWrap w:val="0"/>
            <w:vAlign w:val="center"/>
          </w:tcPr>
          <w:p>
            <w:pPr>
              <w:jc w:val="center"/>
              <w:rPr>
                <w:rFonts w:hint="default" w:ascii="宋体" w:hAnsi="宋体" w:cs="宋体"/>
                <w:b/>
                <w:kern w:val="0"/>
                <w:sz w:val="24"/>
                <w:szCs w:val="24"/>
              </w:rPr>
            </w:pPr>
            <w:r>
              <w:rPr>
                <w:rFonts w:ascii="宋体" w:hAnsi="宋体" w:cs="宋体"/>
                <w:b/>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6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路径制定</w:t>
            </w: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1）支持自定义路径内容,包括增加、修改、删除、刷新、关闭操作，并可展示路径阶段对应的内容。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2）具有路径模板管理功能。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3）可根据条件进行路径查询，可复制和导出路径内容。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4）支持子路径管理，各子路径之间保持治疗方案的独立性。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5）支持路径内容复制、路径医嘱复制功能，以快速制定路径。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6）支持路径医嘱事件定义，使业务流程更流畅。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7）检验医嘱支持标本定义、检查医嘱支持检查部位定义。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8）内含国家卫计委发布的1000多个临床路径。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9）支持中医协定处方。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10）支持导入临床医嘱套餐，以快速制定路径。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11）支持二级路径管理。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12）支持临床多学科诊疗模式（MDT）。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6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路径执行</w:t>
            </w: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1)支持患者路径纳入、中途退出及路径完成管理。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2)具有路径纳入智能提醒，可根据患者诊断数据，系统智能判断需要纳入的临床路径。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3)路径退出管理：因特殊原因将患者退出临床路径处理。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4)具有完成患者临床路径管理处理。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5)路径调整：实现对入径患者的路径实际执行提前或延迟调整处理。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6）支持智能换药，以降低路径变异率。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7）支持临床多学科诊疗模式（MDT）。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8）支持草药协定处方路径医嘱。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9）路径退出审核管理，提高退出路径的严谨性。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10）路径完成评估管理，提高完成路径的严谨性。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655" w:type="pct"/>
            <w:noWrap w:val="0"/>
            <w:vAlign w:val="center"/>
          </w:tcPr>
          <w:p>
            <w:pPr>
              <w:jc w:val="left"/>
              <w:rPr>
                <w:rFonts w:hint="default" w:ascii="宋体" w:hAnsi="宋体" w:cs="宋体"/>
                <w:kern w:val="0"/>
                <w:sz w:val="24"/>
                <w:szCs w:val="24"/>
              </w:rPr>
            </w:pPr>
            <w:r>
              <w:rPr>
                <w:rFonts w:ascii="宋体" w:hAnsi="宋体" w:cs="宋体"/>
                <w:kern w:val="0"/>
                <w:sz w:val="24"/>
                <w:szCs w:val="24"/>
              </w:rPr>
              <w:t>路径变异</w:t>
            </w: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支持登记路径的变异信息。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5"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655" w:type="pct"/>
            <w:noWrap w:val="0"/>
            <w:vAlign w:val="center"/>
          </w:tcPr>
          <w:p>
            <w:pPr>
              <w:jc w:val="left"/>
              <w:rPr>
                <w:rFonts w:hint="default" w:ascii="宋体" w:hAnsi="宋体" w:cs="宋体"/>
                <w:kern w:val="0"/>
                <w:sz w:val="24"/>
                <w:szCs w:val="24"/>
              </w:rPr>
            </w:pPr>
            <w:r>
              <w:rPr>
                <w:rFonts w:ascii="宋体" w:hAnsi="宋体" w:cs="宋体"/>
                <w:kern w:val="0"/>
                <w:sz w:val="24"/>
                <w:szCs w:val="24"/>
              </w:rPr>
              <w:t>提醒助手</w:t>
            </w: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提醒当前阶段未执行、新增、撤销、待停止医嘱信息，需要执行的文档信息、需要执行的日常工作任务、需要执行的手术信息、预出院病人信息等。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655" w:type="pct"/>
            <w:noWrap w:val="0"/>
            <w:vAlign w:val="center"/>
          </w:tcPr>
          <w:p>
            <w:pPr>
              <w:jc w:val="left"/>
              <w:rPr>
                <w:rFonts w:hint="default" w:ascii="宋体" w:hAnsi="宋体" w:cs="宋体"/>
                <w:kern w:val="0"/>
                <w:sz w:val="24"/>
                <w:szCs w:val="24"/>
              </w:rPr>
            </w:pPr>
            <w:r>
              <w:rPr>
                <w:rFonts w:ascii="宋体" w:hAnsi="宋体" w:cs="宋体"/>
                <w:kern w:val="0"/>
                <w:sz w:val="24"/>
                <w:szCs w:val="24"/>
              </w:rPr>
              <w:t>病人管理</w:t>
            </w: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可统计病人临床路径信息、病人路径综合查询、路径变异信息查询、病人出径状态查询、病人路径变异信息。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5" w:hRule="atLeast"/>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655" w:type="pct"/>
            <w:noWrap w:val="0"/>
            <w:vAlign w:val="center"/>
          </w:tcPr>
          <w:p>
            <w:pPr>
              <w:jc w:val="left"/>
              <w:rPr>
                <w:rFonts w:hint="default" w:ascii="宋体" w:hAnsi="宋体" w:cs="宋体"/>
                <w:kern w:val="0"/>
                <w:sz w:val="24"/>
                <w:szCs w:val="24"/>
              </w:rPr>
            </w:pPr>
            <w:r>
              <w:rPr>
                <w:rFonts w:ascii="宋体" w:hAnsi="宋体" w:cs="宋体"/>
                <w:kern w:val="0"/>
                <w:sz w:val="24"/>
                <w:szCs w:val="24"/>
              </w:rPr>
              <w:t>基础数据</w:t>
            </w: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支持诊疗过程阶段、医嘱类别、变异分类、表单分类、诊断ICD、手术诊断、专业病区、诊疗知识库、诊断指南、参考文献、病种关键字、标准临床诊断术语字典等基础数据维护功能。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65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查询统计</w:t>
            </w: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1）支持路径指标分析统计。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2）支持路径使用情况统计及饼图展示。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3）支持路径使用排名情况。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4）支持路径医嘱使用次数。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5）支持按二级、三级明细项目统计临床路径病人费用。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6）支持医嘱使用频率报表。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7）支持中途退出审核查询。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8）支持统计住院病人入径对比明细。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3926" w:type="pct"/>
            <w:noWrap w:val="0"/>
            <w:vAlign w:val="center"/>
          </w:tcPr>
          <w:p>
            <w:pPr>
              <w:jc w:val="left"/>
              <w:rPr>
                <w:rFonts w:hint="default" w:ascii="宋体" w:hAnsi="宋体" w:cs="宋体"/>
                <w:kern w:val="0"/>
                <w:sz w:val="24"/>
                <w:szCs w:val="24"/>
              </w:rPr>
            </w:pPr>
            <w:r>
              <w:rPr>
                <w:rFonts w:ascii="宋体" w:hAnsi="宋体" w:cs="宋体"/>
                <w:kern w:val="0"/>
                <w:sz w:val="24"/>
                <w:szCs w:val="24"/>
              </w:rPr>
              <w:t>9）支持统计变异出入路径使用情况。</w:t>
            </w:r>
          </w:p>
        </w:tc>
      </w:tr>
    </w:tbl>
    <w:p>
      <w:pPr>
        <w:pStyle w:val="5"/>
        <w:numPr>
          <w:ilvl w:val="2"/>
          <w:numId w:val="5"/>
        </w:numPr>
        <w:spacing w:before="0" w:after="0" w:line="360" w:lineRule="auto"/>
        <w:rPr>
          <w:rFonts w:ascii="宋体" w:hAnsi="宋体"/>
        </w:rPr>
      </w:pPr>
      <w:r>
        <w:rPr>
          <w:rFonts w:hint="eastAsia" w:ascii="宋体" w:hAnsi="宋体"/>
        </w:rPr>
        <w:t>患者信息管理系统</w:t>
      </w:r>
    </w:p>
    <w:tbl>
      <w:tblPr>
        <w:tblStyle w:val="5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3"/>
        <w:gridCol w:w="1108"/>
        <w:gridCol w:w="66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blHeader/>
          <w:jc w:val="center"/>
        </w:trPr>
        <w:tc>
          <w:tcPr>
            <w:tcW w:w="424" w:type="pct"/>
            <w:noWrap w:val="0"/>
            <w:vAlign w:val="center"/>
          </w:tcPr>
          <w:p>
            <w:pPr>
              <w:jc w:val="center"/>
              <w:rPr>
                <w:rFonts w:hint="default" w:ascii="宋体" w:hAnsi="宋体"/>
                <w:b/>
                <w:sz w:val="24"/>
                <w:szCs w:val="24"/>
              </w:rPr>
            </w:pPr>
            <w:r>
              <w:rPr>
                <w:rFonts w:ascii="宋体" w:hAnsi="宋体" w:cs="宋体"/>
                <w:b/>
                <w:sz w:val="24"/>
                <w:szCs w:val="24"/>
                <w:lang w:bidi="ar"/>
              </w:rPr>
              <w:t>序号</w:t>
            </w:r>
          </w:p>
        </w:tc>
        <w:tc>
          <w:tcPr>
            <w:tcW w:w="650" w:type="pct"/>
            <w:noWrap w:val="0"/>
            <w:vAlign w:val="center"/>
          </w:tcPr>
          <w:p>
            <w:pPr>
              <w:jc w:val="center"/>
              <w:rPr>
                <w:rFonts w:hint="default" w:ascii="宋体" w:hAnsi="宋体"/>
                <w:b/>
                <w:sz w:val="24"/>
                <w:szCs w:val="24"/>
              </w:rPr>
            </w:pPr>
            <w:r>
              <w:rPr>
                <w:rFonts w:ascii="宋体" w:hAnsi="宋体" w:cs="宋体"/>
                <w:b/>
                <w:sz w:val="24"/>
                <w:szCs w:val="24"/>
                <w:lang w:bidi="ar"/>
              </w:rPr>
              <w:t>功能模块</w:t>
            </w:r>
          </w:p>
        </w:tc>
        <w:tc>
          <w:tcPr>
            <w:tcW w:w="3926" w:type="pct"/>
            <w:noWrap w:val="0"/>
            <w:vAlign w:val="center"/>
          </w:tcPr>
          <w:p>
            <w:pPr>
              <w:jc w:val="center"/>
              <w:rPr>
                <w:rFonts w:hint="default" w:ascii="宋体" w:hAnsi="宋体"/>
                <w:b/>
                <w:sz w:val="24"/>
                <w:szCs w:val="24"/>
              </w:rPr>
            </w:pPr>
            <w:r>
              <w:rPr>
                <w:rFonts w:ascii="宋体" w:hAnsi="宋体" w:cs="宋体"/>
                <w:b/>
                <w:sz w:val="24"/>
                <w:szCs w:val="24"/>
                <w:lang w:bidi="ar"/>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1</w:t>
            </w:r>
          </w:p>
        </w:tc>
        <w:tc>
          <w:tcPr>
            <w:tcW w:w="650" w:type="pct"/>
            <w:noWrap w:val="0"/>
            <w:vAlign w:val="center"/>
          </w:tcPr>
          <w:p>
            <w:pPr>
              <w:rPr>
                <w:rFonts w:hint="default" w:ascii="宋体" w:hAnsi="宋体"/>
                <w:sz w:val="24"/>
                <w:szCs w:val="24"/>
              </w:rPr>
            </w:pPr>
            <w:r>
              <w:rPr>
                <w:rFonts w:ascii="宋体" w:hAnsi="宋体" w:cs="宋体"/>
                <w:sz w:val="24"/>
                <w:szCs w:val="24"/>
                <w:lang w:bidi="ar"/>
              </w:rPr>
              <w:t>总体要求</w:t>
            </w:r>
          </w:p>
        </w:tc>
        <w:tc>
          <w:tcPr>
            <w:tcW w:w="3926" w:type="pct"/>
            <w:noWrap w:val="0"/>
            <w:vAlign w:val="center"/>
          </w:tcPr>
          <w:p>
            <w:pPr>
              <w:rPr>
                <w:rFonts w:hint="default" w:ascii="宋体" w:hAnsi="宋体"/>
                <w:sz w:val="24"/>
                <w:szCs w:val="24"/>
              </w:rPr>
            </w:pPr>
            <w:r>
              <w:rPr>
                <w:rFonts w:ascii="宋体" w:hAnsi="宋体" w:cs="宋体"/>
                <w:sz w:val="24"/>
                <w:szCs w:val="24"/>
                <w:lang w:bidi="ar"/>
              </w:rPr>
              <w:t>1）通过患者身份证号关联患者历次诊疗过程中的完整诊疗信息，包括门诊、住院，默认显示病人本次就诊信息；</w:t>
            </w:r>
          </w:p>
          <w:p>
            <w:pPr>
              <w:rPr>
                <w:rFonts w:hint="default" w:ascii="宋体" w:hAnsi="宋体"/>
                <w:sz w:val="24"/>
                <w:szCs w:val="24"/>
              </w:rPr>
            </w:pPr>
            <w:r>
              <w:rPr>
                <w:rFonts w:ascii="宋体" w:hAnsi="宋体"/>
                <w:sz w:val="24"/>
                <w:szCs w:val="24"/>
                <w:lang w:bidi="ar"/>
              </w:rPr>
              <w:t>2</w:t>
            </w:r>
            <w:r>
              <w:rPr>
                <w:rFonts w:ascii="宋体" w:hAnsi="宋体" w:cs="宋体"/>
                <w:sz w:val="24"/>
                <w:szCs w:val="24"/>
                <w:lang w:bidi="ar"/>
              </w:rPr>
              <w:t>）就诊次数过多的</w:t>
            </w:r>
            <w:r>
              <w:rPr>
                <w:rFonts w:ascii="宋体" w:hAnsi="宋体"/>
                <w:sz w:val="24"/>
                <w:szCs w:val="24"/>
                <w:lang w:bidi="ar"/>
              </w:rPr>
              <w:t>,</w:t>
            </w:r>
            <w:r>
              <w:rPr>
                <w:rFonts w:ascii="宋体" w:hAnsi="宋体" w:cs="宋体"/>
                <w:sz w:val="24"/>
                <w:szCs w:val="24"/>
                <w:lang w:bidi="ar"/>
              </w:rPr>
              <w:t>以时间轴的方式从近到远默认显示最近一周的诊疗记录，也可以选择日期进行检索；</w:t>
            </w:r>
          </w:p>
          <w:p>
            <w:pPr>
              <w:rPr>
                <w:rFonts w:hint="default" w:ascii="宋体" w:hAnsi="宋体"/>
                <w:sz w:val="24"/>
                <w:szCs w:val="24"/>
              </w:rPr>
            </w:pPr>
            <w:r>
              <w:rPr>
                <w:rFonts w:ascii="宋体" w:hAnsi="宋体"/>
                <w:sz w:val="24"/>
                <w:szCs w:val="24"/>
                <w:lang w:bidi="ar"/>
              </w:rPr>
              <w:t>3</w:t>
            </w:r>
            <w:r>
              <w:rPr>
                <w:rFonts w:ascii="宋体" w:hAnsi="宋体" w:cs="宋体"/>
                <w:sz w:val="24"/>
                <w:szCs w:val="24"/>
                <w:lang w:bidi="ar"/>
              </w:rPr>
              <w:t>）支持根据门诊、住院就诊类型检索，点击就诊时间显示患者本次就诊的完整诊疗数据；</w:t>
            </w:r>
          </w:p>
          <w:p>
            <w:pPr>
              <w:rPr>
                <w:rFonts w:hint="default" w:ascii="宋体" w:hAnsi="宋体"/>
                <w:sz w:val="24"/>
                <w:szCs w:val="24"/>
              </w:rPr>
            </w:pPr>
            <w:r>
              <w:rPr>
                <w:rFonts w:ascii="宋体" w:hAnsi="宋体" w:cs="宋体"/>
                <w:sz w:val="24"/>
                <w:szCs w:val="24"/>
                <w:lang w:bidi="ar"/>
              </w:rPr>
              <w:t>4）支持与院内各业务系统对接，通过中间库或链接的方式获取患者电子病历数据；</w:t>
            </w:r>
          </w:p>
          <w:p>
            <w:pPr>
              <w:rPr>
                <w:rFonts w:hint="default" w:ascii="宋体" w:hAnsi="宋体"/>
                <w:sz w:val="24"/>
                <w:szCs w:val="24"/>
              </w:rPr>
            </w:pPr>
            <w:r>
              <w:rPr>
                <w:rFonts w:ascii="宋体" w:hAnsi="宋体" w:cs="宋体"/>
                <w:sz w:val="24"/>
                <w:szCs w:val="24"/>
                <w:lang w:bidi="ar"/>
              </w:rPr>
              <w:t>5）要求为B</w:t>
            </w:r>
            <w:r>
              <w:rPr>
                <w:rFonts w:ascii="宋体" w:hAnsi="宋体"/>
                <w:sz w:val="24"/>
                <w:szCs w:val="24"/>
                <w:lang w:bidi="ar"/>
              </w:rPr>
              <w:t>/S</w:t>
            </w:r>
            <w:r>
              <w:rPr>
                <w:rFonts w:ascii="宋体" w:hAnsi="宋体" w:cs="宋体"/>
                <w:sz w:val="24"/>
                <w:szCs w:val="24"/>
                <w:lang w:bidi="ar"/>
              </w:rPr>
              <w:t>架构，提供开放接口服务，支持与院内各业务系统对接，内嵌或弹框方式集成于各业务系统；</w:t>
            </w:r>
          </w:p>
          <w:p>
            <w:pPr>
              <w:rPr>
                <w:rFonts w:hint="default" w:ascii="宋体" w:hAnsi="宋体"/>
                <w:sz w:val="24"/>
                <w:szCs w:val="24"/>
              </w:rPr>
            </w:pPr>
            <w:r>
              <w:rPr>
                <w:rFonts w:ascii="宋体" w:hAnsi="宋体" w:cs="宋体"/>
                <w:sz w:val="24"/>
                <w:szCs w:val="24"/>
                <w:lang w:bidi="ar"/>
              </w:rPr>
              <w:t>6）要求仅支持传参调取；</w:t>
            </w:r>
          </w:p>
          <w:p>
            <w:pPr>
              <w:rPr>
                <w:rFonts w:hint="default" w:ascii="宋体" w:hAnsi="宋体"/>
                <w:sz w:val="24"/>
                <w:szCs w:val="24"/>
              </w:rPr>
            </w:pPr>
            <w:r>
              <w:rPr>
                <w:rFonts w:ascii="宋体" w:hAnsi="宋体" w:cs="宋体"/>
                <w:sz w:val="24"/>
                <w:szCs w:val="24"/>
                <w:lang w:bidi="ar"/>
              </w:rPr>
              <w:t>7）未归档电子病历信息可以实时调取，已归档电子病历信息禁止打开。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2</w:t>
            </w:r>
          </w:p>
        </w:tc>
        <w:tc>
          <w:tcPr>
            <w:tcW w:w="650" w:type="pct"/>
            <w:noWrap w:val="0"/>
            <w:vAlign w:val="center"/>
          </w:tcPr>
          <w:p>
            <w:pPr>
              <w:rPr>
                <w:rFonts w:hint="default" w:ascii="宋体" w:hAnsi="宋体"/>
                <w:sz w:val="24"/>
                <w:szCs w:val="24"/>
              </w:rPr>
            </w:pPr>
            <w:r>
              <w:rPr>
                <w:rFonts w:ascii="宋体" w:hAnsi="宋体" w:cs="宋体"/>
                <w:sz w:val="24"/>
                <w:szCs w:val="24"/>
                <w:lang w:bidi="ar"/>
              </w:rPr>
              <w:t>患者概要信息</w:t>
            </w:r>
          </w:p>
        </w:tc>
        <w:tc>
          <w:tcPr>
            <w:tcW w:w="3926" w:type="pct"/>
            <w:noWrap w:val="0"/>
            <w:vAlign w:val="center"/>
          </w:tcPr>
          <w:p>
            <w:pPr>
              <w:rPr>
                <w:rFonts w:hint="default" w:ascii="宋体" w:hAnsi="宋体"/>
                <w:sz w:val="24"/>
                <w:szCs w:val="24"/>
              </w:rPr>
            </w:pPr>
            <w:r>
              <w:rPr>
                <w:rFonts w:ascii="宋体" w:hAnsi="宋体" w:cs="宋体"/>
                <w:sz w:val="24"/>
                <w:szCs w:val="24"/>
                <w:lang w:bidi="ar"/>
              </w:rPr>
              <w:t>要求包含患者姓名、性别、出生日期、年龄、住址、联系电话等基本信息。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3</w:t>
            </w:r>
          </w:p>
        </w:tc>
        <w:tc>
          <w:tcPr>
            <w:tcW w:w="650" w:type="pct"/>
            <w:noWrap w:val="0"/>
            <w:vAlign w:val="center"/>
          </w:tcPr>
          <w:p>
            <w:pPr>
              <w:rPr>
                <w:rFonts w:hint="default" w:ascii="宋体" w:hAnsi="宋体"/>
                <w:sz w:val="24"/>
                <w:szCs w:val="24"/>
              </w:rPr>
            </w:pPr>
            <w:r>
              <w:rPr>
                <w:rFonts w:ascii="宋体" w:hAnsi="宋体" w:cs="宋体"/>
                <w:sz w:val="24"/>
                <w:szCs w:val="24"/>
                <w:lang w:bidi="ar"/>
              </w:rPr>
              <w:t>患者诊疗时间轴</w:t>
            </w:r>
          </w:p>
        </w:tc>
        <w:tc>
          <w:tcPr>
            <w:tcW w:w="3926" w:type="pct"/>
            <w:noWrap w:val="0"/>
            <w:vAlign w:val="center"/>
          </w:tcPr>
          <w:p>
            <w:pPr>
              <w:rPr>
                <w:rFonts w:hint="default" w:ascii="宋体" w:hAnsi="宋体"/>
                <w:sz w:val="24"/>
                <w:szCs w:val="24"/>
              </w:rPr>
            </w:pPr>
            <w:r>
              <w:rPr>
                <w:rFonts w:ascii="宋体" w:hAnsi="宋体" w:cs="宋体"/>
                <w:sz w:val="24"/>
                <w:szCs w:val="24"/>
                <w:lang w:bidi="ar"/>
              </w:rPr>
              <w:t>根据患者身份证号关联患者门诊、住院诊疗记录，由近到远默认显示一周，也可以随意选择时间段进行查询。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4</w:t>
            </w:r>
          </w:p>
        </w:tc>
        <w:tc>
          <w:tcPr>
            <w:tcW w:w="650" w:type="pct"/>
            <w:noWrap w:val="0"/>
            <w:vAlign w:val="center"/>
          </w:tcPr>
          <w:p>
            <w:pPr>
              <w:rPr>
                <w:rFonts w:hint="default" w:ascii="宋体" w:hAnsi="宋体"/>
                <w:sz w:val="24"/>
                <w:szCs w:val="24"/>
              </w:rPr>
            </w:pPr>
            <w:r>
              <w:rPr>
                <w:rFonts w:ascii="宋体" w:hAnsi="宋体" w:cs="宋体"/>
                <w:sz w:val="24"/>
                <w:szCs w:val="24"/>
                <w:lang w:bidi="ar"/>
              </w:rPr>
              <w:t>门诊诊疗记录</w:t>
            </w:r>
          </w:p>
        </w:tc>
        <w:tc>
          <w:tcPr>
            <w:tcW w:w="3926" w:type="pct"/>
            <w:noWrap w:val="0"/>
            <w:vAlign w:val="center"/>
          </w:tcPr>
          <w:p>
            <w:pPr>
              <w:rPr>
                <w:rFonts w:hint="default" w:ascii="宋体" w:hAnsi="宋体"/>
                <w:sz w:val="24"/>
                <w:szCs w:val="24"/>
              </w:rPr>
            </w:pPr>
            <w:r>
              <w:rPr>
                <w:rFonts w:ascii="宋体" w:hAnsi="宋体" w:cs="宋体"/>
                <w:sz w:val="24"/>
                <w:szCs w:val="24"/>
                <w:lang w:bidi="ar"/>
              </w:rPr>
              <w:t>选择就诊时间获取患者门诊完整电子病历信息。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5</w:t>
            </w:r>
          </w:p>
        </w:tc>
        <w:tc>
          <w:tcPr>
            <w:tcW w:w="650" w:type="pct"/>
            <w:noWrap w:val="0"/>
            <w:vAlign w:val="center"/>
          </w:tcPr>
          <w:p>
            <w:pPr>
              <w:rPr>
                <w:rFonts w:hint="default" w:ascii="宋体" w:hAnsi="宋体"/>
                <w:sz w:val="24"/>
                <w:szCs w:val="24"/>
              </w:rPr>
            </w:pPr>
            <w:r>
              <w:rPr>
                <w:rFonts w:ascii="宋体" w:hAnsi="宋体" w:cs="宋体"/>
                <w:sz w:val="24"/>
                <w:szCs w:val="24"/>
                <w:lang w:bidi="ar"/>
              </w:rPr>
              <w:t>门诊病历</w:t>
            </w:r>
          </w:p>
        </w:tc>
        <w:tc>
          <w:tcPr>
            <w:tcW w:w="3926" w:type="pct"/>
            <w:noWrap w:val="0"/>
            <w:vAlign w:val="center"/>
          </w:tcPr>
          <w:p>
            <w:pPr>
              <w:rPr>
                <w:rFonts w:hint="default" w:ascii="宋体" w:hAnsi="宋体"/>
                <w:sz w:val="24"/>
                <w:szCs w:val="24"/>
              </w:rPr>
            </w:pPr>
            <w:r>
              <w:rPr>
                <w:rFonts w:ascii="宋体" w:hAnsi="宋体" w:cs="宋体"/>
                <w:sz w:val="24"/>
                <w:szCs w:val="24"/>
                <w:lang w:bidi="ar"/>
              </w:rPr>
              <w:t>1）支持根据就诊时间查看门诊医生书写的病历信息；</w:t>
            </w:r>
          </w:p>
          <w:p>
            <w:pPr>
              <w:rPr>
                <w:rFonts w:hint="default" w:ascii="宋体" w:hAnsi="宋体"/>
                <w:sz w:val="24"/>
                <w:szCs w:val="24"/>
              </w:rPr>
            </w:pPr>
            <w:r>
              <w:rPr>
                <w:rFonts w:ascii="宋体" w:hAnsi="宋体"/>
                <w:sz w:val="24"/>
                <w:szCs w:val="24"/>
                <w:lang w:bidi="ar"/>
              </w:rPr>
              <w:t>2</w:t>
            </w:r>
            <w:r>
              <w:rPr>
                <w:rFonts w:ascii="宋体" w:hAnsi="宋体" w:cs="宋体"/>
                <w:sz w:val="24"/>
                <w:szCs w:val="24"/>
                <w:lang w:bidi="ar"/>
              </w:rPr>
              <w:t>）门诊病历展现方式支持结构化数据展现、PDF展现或挂接链接地址展现，提供仿真门诊病历浏览。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6</w:t>
            </w:r>
          </w:p>
        </w:tc>
        <w:tc>
          <w:tcPr>
            <w:tcW w:w="650" w:type="pct"/>
            <w:noWrap w:val="0"/>
            <w:vAlign w:val="center"/>
          </w:tcPr>
          <w:p>
            <w:pPr>
              <w:rPr>
                <w:rFonts w:hint="default" w:ascii="宋体" w:hAnsi="宋体"/>
                <w:sz w:val="24"/>
                <w:szCs w:val="24"/>
              </w:rPr>
            </w:pPr>
            <w:r>
              <w:rPr>
                <w:rFonts w:ascii="宋体" w:hAnsi="宋体" w:cs="宋体"/>
                <w:sz w:val="24"/>
                <w:szCs w:val="24"/>
                <w:lang w:bidi="ar"/>
              </w:rPr>
              <w:t>门诊处方</w:t>
            </w:r>
          </w:p>
        </w:tc>
        <w:tc>
          <w:tcPr>
            <w:tcW w:w="3926" w:type="pct"/>
            <w:noWrap w:val="0"/>
            <w:vAlign w:val="center"/>
          </w:tcPr>
          <w:p>
            <w:pPr>
              <w:rPr>
                <w:rFonts w:hint="default" w:ascii="宋体" w:hAnsi="宋体"/>
                <w:sz w:val="24"/>
                <w:szCs w:val="24"/>
              </w:rPr>
            </w:pPr>
            <w:r>
              <w:rPr>
                <w:rFonts w:ascii="宋体" w:hAnsi="宋体" w:cs="宋体"/>
                <w:sz w:val="24"/>
                <w:szCs w:val="24"/>
                <w:lang w:bidi="ar"/>
              </w:rPr>
              <w:t>支持根据就诊时间查看门诊医生开立的门诊处方信息，至少包括药品名称、药品规格、剂量、频率、数量等信息，提供仿真门诊处方浏览。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7</w:t>
            </w:r>
          </w:p>
        </w:tc>
        <w:tc>
          <w:tcPr>
            <w:tcW w:w="650" w:type="pct"/>
            <w:noWrap w:val="0"/>
            <w:vAlign w:val="center"/>
          </w:tcPr>
          <w:p>
            <w:pPr>
              <w:rPr>
                <w:rFonts w:hint="default" w:ascii="宋体" w:hAnsi="宋体"/>
                <w:sz w:val="24"/>
                <w:szCs w:val="24"/>
              </w:rPr>
            </w:pPr>
            <w:r>
              <w:rPr>
                <w:rFonts w:ascii="宋体" w:hAnsi="宋体" w:cs="宋体"/>
                <w:sz w:val="24"/>
                <w:szCs w:val="24"/>
                <w:lang w:bidi="ar"/>
              </w:rPr>
              <w:t>门诊处置</w:t>
            </w:r>
          </w:p>
        </w:tc>
        <w:tc>
          <w:tcPr>
            <w:tcW w:w="3926" w:type="pct"/>
            <w:noWrap w:val="0"/>
            <w:vAlign w:val="center"/>
          </w:tcPr>
          <w:p>
            <w:pPr>
              <w:rPr>
                <w:rFonts w:hint="default" w:ascii="宋体" w:hAnsi="宋体"/>
                <w:sz w:val="24"/>
                <w:szCs w:val="24"/>
              </w:rPr>
            </w:pPr>
            <w:r>
              <w:rPr>
                <w:rFonts w:ascii="宋体" w:hAnsi="宋体" w:cs="宋体"/>
                <w:sz w:val="24"/>
                <w:szCs w:val="24"/>
                <w:lang w:bidi="ar"/>
              </w:rPr>
              <w:t>支持根据就诊时间查看门诊医生开立的门诊处置信息，至少包括项目名称、频率、数量等信息。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8</w:t>
            </w:r>
          </w:p>
        </w:tc>
        <w:tc>
          <w:tcPr>
            <w:tcW w:w="650" w:type="pct"/>
            <w:noWrap w:val="0"/>
            <w:vAlign w:val="center"/>
          </w:tcPr>
          <w:p>
            <w:pPr>
              <w:rPr>
                <w:rFonts w:hint="default" w:ascii="宋体" w:hAnsi="宋体"/>
                <w:sz w:val="24"/>
                <w:szCs w:val="24"/>
              </w:rPr>
            </w:pPr>
            <w:r>
              <w:rPr>
                <w:rFonts w:ascii="宋体" w:hAnsi="宋体" w:cs="宋体"/>
                <w:sz w:val="24"/>
                <w:szCs w:val="24"/>
                <w:lang w:bidi="ar"/>
              </w:rPr>
              <w:t>门诊检验</w:t>
            </w:r>
          </w:p>
        </w:tc>
        <w:tc>
          <w:tcPr>
            <w:tcW w:w="3926" w:type="pct"/>
            <w:noWrap w:val="0"/>
            <w:vAlign w:val="center"/>
          </w:tcPr>
          <w:p>
            <w:pPr>
              <w:rPr>
                <w:rFonts w:hint="default" w:ascii="宋体" w:hAnsi="宋体"/>
                <w:sz w:val="24"/>
                <w:szCs w:val="24"/>
              </w:rPr>
            </w:pPr>
            <w:r>
              <w:rPr>
                <w:rFonts w:ascii="宋体" w:hAnsi="宋体" w:cs="宋体"/>
                <w:sz w:val="24"/>
                <w:szCs w:val="24"/>
                <w:lang w:bidi="ar"/>
              </w:rPr>
              <w:t>1）支持根据就诊时间查看本次就诊开立的门诊检验结果；</w:t>
            </w:r>
          </w:p>
          <w:p>
            <w:pPr>
              <w:rPr>
                <w:rFonts w:hint="default" w:ascii="宋体" w:hAnsi="宋体"/>
                <w:sz w:val="24"/>
                <w:szCs w:val="24"/>
              </w:rPr>
            </w:pPr>
            <w:r>
              <w:rPr>
                <w:rFonts w:ascii="宋体" w:hAnsi="宋体"/>
                <w:sz w:val="24"/>
                <w:szCs w:val="24"/>
                <w:lang w:bidi="ar"/>
              </w:rPr>
              <w:t>2</w:t>
            </w:r>
            <w:r>
              <w:rPr>
                <w:rFonts w:ascii="宋体" w:hAnsi="宋体" w:cs="宋体"/>
                <w:sz w:val="24"/>
                <w:szCs w:val="24"/>
                <w:lang w:bidi="ar"/>
              </w:rPr>
              <w:t>）检验结果要求以结构化方式进行展现；</w:t>
            </w:r>
          </w:p>
          <w:p>
            <w:pPr>
              <w:rPr>
                <w:rFonts w:hint="default" w:ascii="宋体" w:hAnsi="宋体"/>
                <w:sz w:val="24"/>
                <w:szCs w:val="24"/>
              </w:rPr>
            </w:pPr>
            <w:r>
              <w:rPr>
                <w:rFonts w:ascii="宋体" w:hAnsi="宋体" w:cs="宋体"/>
                <w:sz w:val="24"/>
                <w:szCs w:val="24"/>
                <w:lang w:bidi="ar"/>
              </w:rPr>
              <w:t>3）支持检验报告仿真浏览。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9</w:t>
            </w:r>
          </w:p>
        </w:tc>
        <w:tc>
          <w:tcPr>
            <w:tcW w:w="650" w:type="pct"/>
            <w:noWrap w:val="0"/>
            <w:vAlign w:val="center"/>
          </w:tcPr>
          <w:p>
            <w:pPr>
              <w:rPr>
                <w:rFonts w:hint="default" w:ascii="宋体" w:hAnsi="宋体"/>
                <w:sz w:val="24"/>
                <w:szCs w:val="24"/>
              </w:rPr>
            </w:pPr>
            <w:r>
              <w:rPr>
                <w:rFonts w:ascii="宋体" w:hAnsi="宋体" w:cs="宋体"/>
                <w:sz w:val="24"/>
                <w:szCs w:val="24"/>
                <w:lang w:bidi="ar"/>
              </w:rPr>
              <w:t>门诊检查</w:t>
            </w:r>
          </w:p>
        </w:tc>
        <w:tc>
          <w:tcPr>
            <w:tcW w:w="3926" w:type="pct"/>
            <w:noWrap w:val="0"/>
            <w:vAlign w:val="center"/>
          </w:tcPr>
          <w:p>
            <w:pPr>
              <w:rPr>
                <w:rFonts w:hint="default" w:ascii="宋体" w:hAnsi="宋体"/>
                <w:sz w:val="24"/>
                <w:szCs w:val="24"/>
              </w:rPr>
            </w:pPr>
            <w:r>
              <w:rPr>
                <w:rFonts w:ascii="宋体" w:hAnsi="宋体" w:cs="宋体"/>
                <w:sz w:val="24"/>
                <w:szCs w:val="24"/>
                <w:lang w:bidi="ar"/>
              </w:rPr>
              <w:t>1）支持根据就诊时间查看本次就诊开立的门诊检查报告；</w:t>
            </w:r>
          </w:p>
          <w:p>
            <w:pPr>
              <w:rPr>
                <w:rFonts w:hint="default" w:ascii="宋体" w:hAnsi="宋体"/>
                <w:sz w:val="24"/>
                <w:szCs w:val="24"/>
              </w:rPr>
            </w:pPr>
            <w:r>
              <w:rPr>
                <w:rFonts w:ascii="宋体" w:hAnsi="宋体"/>
                <w:sz w:val="24"/>
                <w:szCs w:val="24"/>
                <w:lang w:bidi="ar"/>
              </w:rPr>
              <w:t>2</w:t>
            </w:r>
            <w:r>
              <w:rPr>
                <w:rFonts w:ascii="宋体" w:hAnsi="宋体" w:cs="宋体"/>
                <w:sz w:val="24"/>
                <w:szCs w:val="24"/>
                <w:lang w:bidi="ar"/>
              </w:rPr>
              <w:t>）检查报告要求以结构化方式进行展现；</w:t>
            </w:r>
          </w:p>
          <w:p>
            <w:pPr>
              <w:rPr>
                <w:rFonts w:hint="default" w:ascii="宋体" w:hAnsi="宋体"/>
                <w:sz w:val="24"/>
                <w:szCs w:val="24"/>
              </w:rPr>
            </w:pPr>
            <w:r>
              <w:rPr>
                <w:rFonts w:ascii="宋体" w:hAnsi="宋体" w:cs="宋体"/>
                <w:sz w:val="24"/>
                <w:szCs w:val="24"/>
                <w:lang w:bidi="ar"/>
              </w:rPr>
              <w:t>3）支持检查报告仿真浏览。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1</w:t>
            </w:r>
            <w:r>
              <w:rPr>
                <w:rFonts w:ascii="宋体" w:hAnsi="宋体"/>
                <w:sz w:val="24"/>
                <w:szCs w:val="24"/>
                <w:lang w:bidi="ar"/>
              </w:rPr>
              <w:t>0</w:t>
            </w:r>
          </w:p>
        </w:tc>
        <w:tc>
          <w:tcPr>
            <w:tcW w:w="650" w:type="pct"/>
            <w:noWrap w:val="0"/>
            <w:vAlign w:val="center"/>
          </w:tcPr>
          <w:p>
            <w:pPr>
              <w:rPr>
                <w:rFonts w:hint="default" w:ascii="宋体" w:hAnsi="宋体"/>
                <w:sz w:val="24"/>
                <w:szCs w:val="24"/>
              </w:rPr>
            </w:pPr>
            <w:r>
              <w:rPr>
                <w:rFonts w:ascii="宋体" w:hAnsi="宋体" w:cs="宋体"/>
                <w:sz w:val="24"/>
                <w:szCs w:val="24"/>
                <w:lang w:bidi="ar"/>
              </w:rPr>
              <w:t>住院诊疗记录</w:t>
            </w:r>
          </w:p>
        </w:tc>
        <w:tc>
          <w:tcPr>
            <w:tcW w:w="3926" w:type="pct"/>
            <w:noWrap w:val="0"/>
            <w:vAlign w:val="center"/>
          </w:tcPr>
          <w:p>
            <w:pPr>
              <w:rPr>
                <w:rFonts w:hint="default" w:ascii="宋体" w:hAnsi="宋体"/>
                <w:sz w:val="24"/>
                <w:szCs w:val="24"/>
              </w:rPr>
            </w:pPr>
            <w:r>
              <w:rPr>
                <w:rFonts w:ascii="宋体" w:hAnsi="宋体" w:cs="宋体"/>
                <w:sz w:val="24"/>
                <w:szCs w:val="24"/>
                <w:lang w:bidi="ar"/>
              </w:rPr>
              <w:t>选择就诊时间获取患者住院完整电子病历信息。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1</w:t>
            </w:r>
            <w:r>
              <w:rPr>
                <w:rFonts w:ascii="宋体" w:hAnsi="宋体"/>
                <w:sz w:val="24"/>
                <w:szCs w:val="24"/>
                <w:lang w:bidi="ar"/>
              </w:rPr>
              <w:t>1</w:t>
            </w:r>
          </w:p>
        </w:tc>
        <w:tc>
          <w:tcPr>
            <w:tcW w:w="650" w:type="pct"/>
            <w:noWrap w:val="0"/>
            <w:vAlign w:val="center"/>
          </w:tcPr>
          <w:p>
            <w:pPr>
              <w:rPr>
                <w:rFonts w:hint="default" w:ascii="宋体" w:hAnsi="宋体"/>
                <w:sz w:val="24"/>
                <w:szCs w:val="24"/>
              </w:rPr>
            </w:pPr>
            <w:r>
              <w:rPr>
                <w:rFonts w:ascii="宋体" w:hAnsi="宋体" w:cs="宋体"/>
                <w:sz w:val="24"/>
                <w:szCs w:val="24"/>
                <w:lang w:bidi="ar"/>
              </w:rPr>
              <w:t>住院医嘱</w:t>
            </w:r>
          </w:p>
        </w:tc>
        <w:tc>
          <w:tcPr>
            <w:tcW w:w="3926" w:type="pct"/>
            <w:noWrap w:val="0"/>
            <w:vAlign w:val="center"/>
          </w:tcPr>
          <w:p>
            <w:pPr>
              <w:rPr>
                <w:rFonts w:hint="default" w:ascii="宋体" w:hAnsi="宋体"/>
                <w:sz w:val="24"/>
                <w:szCs w:val="24"/>
              </w:rPr>
            </w:pPr>
            <w:r>
              <w:rPr>
                <w:rFonts w:ascii="宋体" w:hAnsi="宋体" w:cs="宋体"/>
                <w:sz w:val="24"/>
                <w:szCs w:val="24"/>
                <w:lang w:bidi="ar"/>
              </w:rPr>
              <w:t>支持根据就诊时间查看住院医生开立的医嘱信息，至少包括药品名称、药品规格、剂量、频率、数量等信息，提供医嘱本仿真浏览功能。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1</w:t>
            </w:r>
            <w:r>
              <w:rPr>
                <w:rFonts w:ascii="宋体" w:hAnsi="宋体"/>
                <w:sz w:val="24"/>
                <w:szCs w:val="24"/>
                <w:lang w:bidi="ar"/>
              </w:rPr>
              <w:t>2</w:t>
            </w:r>
          </w:p>
        </w:tc>
        <w:tc>
          <w:tcPr>
            <w:tcW w:w="650" w:type="pct"/>
            <w:noWrap w:val="0"/>
            <w:vAlign w:val="center"/>
          </w:tcPr>
          <w:p>
            <w:pPr>
              <w:rPr>
                <w:rFonts w:hint="default" w:ascii="宋体" w:hAnsi="宋体"/>
                <w:sz w:val="24"/>
                <w:szCs w:val="24"/>
              </w:rPr>
            </w:pPr>
            <w:r>
              <w:rPr>
                <w:rFonts w:ascii="宋体" w:hAnsi="宋体" w:cs="宋体"/>
                <w:sz w:val="24"/>
                <w:szCs w:val="24"/>
                <w:lang w:bidi="ar"/>
              </w:rPr>
              <w:t>住院病历</w:t>
            </w:r>
          </w:p>
        </w:tc>
        <w:tc>
          <w:tcPr>
            <w:tcW w:w="3926" w:type="pct"/>
            <w:noWrap w:val="0"/>
            <w:vAlign w:val="center"/>
          </w:tcPr>
          <w:p>
            <w:pPr>
              <w:rPr>
                <w:rFonts w:hint="default" w:ascii="宋体" w:hAnsi="宋体"/>
                <w:sz w:val="24"/>
                <w:szCs w:val="24"/>
              </w:rPr>
            </w:pPr>
            <w:r>
              <w:rPr>
                <w:rFonts w:ascii="宋体" w:hAnsi="宋体" w:cs="宋体"/>
                <w:sz w:val="24"/>
                <w:szCs w:val="24"/>
                <w:lang w:bidi="ar"/>
              </w:rPr>
              <w:t>1）支持根据就诊时间查看住院医生书写的病历信息，包括入院记录、病程记录、查房记录等；</w:t>
            </w:r>
          </w:p>
          <w:p>
            <w:pPr>
              <w:rPr>
                <w:rFonts w:hint="default" w:ascii="宋体" w:hAnsi="宋体"/>
                <w:sz w:val="24"/>
                <w:szCs w:val="24"/>
              </w:rPr>
            </w:pPr>
            <w:r>
              <w:rPr>
                <w:rFonts w:ascii="宋体" w:hAnsi="宋体"/>
                <w:sz w:val="24"/>
                <w:szCs w:val="24"/>
                <w:lang w:bidi="ar"/>
              </w:rPr>
              <w:t>2</w:t>
            </w:r>
            <w:r>
              <w:rPr>
                <w:rFonts w:ascii="宋体" w:hAnsi="宋体" w:cs="宋体"/>
                <w:sz w:val="24"/>
                <w:szCs w:val="24"/>
                <w:lang w:bidi="ar"/>
              </w:rPr>
              <w:t>）住院病历展现方式支持结构化数据展现、PDF展现或挂接链接地址展现，提供仿真住院病历浏览。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1</w:t>
            </w:r>
            <w:r>
              <w:rPr>
                <w:rFonts w:ascii="宋体" w:hAnsi="宋体"/>
                <w:sz w:val="24"/>
                <w:szCs w:val="24"/>
                <w:lang w:bidi="ar"/>
              </w:rPr>
              <w:t>3</w:t>
            </w:r>
          </w:p>
        </w:tc>
        <w:tc>
          <w:tcPr>
            <w:tcW w:w="650" w:type="pct"/>
            <w:noWrap w:val="0"/>
            <w:vAlign w:val="center"/>
          </w:tcPr>
          <w:p>
            <w:pPr>
              <w:rPr>
                <w:rFonts w:hint="default" w:ascii="宋体" w:hAnsi="宋体"/>
                <w:sz w:val="24"/>
                <w:szCs w:val="24"/>
              </w:rPr>
            </w:pPr>
            <w:r>
              <w:rPr>
                <w:rFonts w:ascii="宋体" w:hAnsi="宋体" w:cs="宋体"/>
                <w:sz w:val="24"/>
                <w:szCs w:val="24"/>
                <w:lang w:bidi="ar"/>
              </w:rPr>
              <w:t>护理病历</w:t>
            </w:r>
          </w:p>
        </w:tc>
        <w:tc>
          <w:tcPr>
            <w:tcW w:w="3926" w:type="pct"/>
            <w:noWrap w:val="0"/>
            <w:vAlign w:val="center"/>
          </w:tcPr>
          <w:p>
            <w:pPr>
              <w:rPr>
                <w:rFonts w:hint="default" w:ascii="宋体" w:hAnsi="宋体"/>
                <w:sz w:val="24"/>
                <w:szCs w:val="24"/>
              </w:rPr>
            </w:pPr>
            <w:r>
              <w:rPr>
                <w:rFonts w:ascii="宋体" w:hAnsi="宋体" w:cs="宋体"/>
                <w:sz w:val="24"/>
                <w:szCs w:val="24"/>
                <w:lang w:bidi="ar"/>
              </w:rPr>
              <w:t>1）支持根据就诊时间查看住院医生书写的病历信息，包括入院首评、护理记录、风险评估、健康宣教、体温单等；</w:t>
            </w:r>
          </w:p>
          <w:p>
            <w:pPr>
              <w:rPr>
                <w:rFonts w:hint="default" w:ascii="宋体" w:hAnsi="宋体"/>
                <w:sz w:val="24"/>
                <w:szCs w:val="24"/>
              </w:rPr>
            </w:pPr>
            <w:r>
              <w:rPr>
                <w:rFonts w:ascii="宋体" w:hAnsi="宋体"/>
                <w:sz w:val="24"/>
                <w:szCs w:val="24"/>
                <w:lang w:bidi="ar"/>
              </w:rPr>
              <w:t>2</w:t>
            </w:r>
            <w:r>
              <w:rPr>
                <w:rFonts w:ascii="宋体" w:hAnsi="宋体" w:cs="宋体"/>
                <w:sz w:val="24"/>
                <w:szCs w:val="24"/>
                <w:lang w:bidi="ar"/>
              </w:rPr>
              <w:t>）护理病历展现方式支持结构化数据展现、PDF展现或挂接链接地址展现，提供仿真护理病历浏览。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1</w:t>
            </w:r>
            <w:r>
              <w:rPr>
                <w:rFonts w:ascii="宋体" w:hAnsi="宋体"/>
                <w:sz w:val="24"/>
                <w:szCs w:val="24"/>
                <w:lang w:bidi="ar"/>
              </w:rPr>
              <w:t>4</w:t>
            </w:r>
          </w:p>
        </w:tc>
        <w:tc>
          <w:tcPr>
            <w:tcW w:w="650" w:type="pct"/>
            <w:noWrap w:val="0"/>
            <w:vAlign w:val="center"/>
          </w:tcPr>
          <w:p>
            <w:pPr>
              <w:rPr>
                <w:rFonts w:hint="default" w:ascii="宋体" w:hAnsi="宋体"/>
                <w:sz w:val="24"/>
                <w:szCs w:val="24"/>
              </w:rPr>
            </w:pPr>
            <w:r>
              <w:rPr>
                <w:rFonts w:ascii="宋体" w:hAnsi="宋体" w:cs="宋体"/>
                <w:sz w:val="24"/>
                <w:szCs w:val="24"/>
                <w:lang w:bidi="ar"/>
              </w:rPr>
              <w:t>住院检验</w:t>
            </w:r>
          </w:p>
        </w:tc>
        <w:tc>
          <w:tcPr>
            <w:tcW w:w="3926" w:type="pct"/>
            <w:noWrap w:val="0"/>
            <w:vAlign w:val="center"/>
          </w:tcPr>
          <w:p>
            <w:pPr>
              <w:rPr>
                <w:rFonts w:hint="default" w:ascii="宋体" w:hAnsi="宋体"/>
                <w:sz w:val="24"/>
                <w:szCs w:val="24"/>
              </w:rPr>
            </w:pPr>
            <w:r>
              <w:rPr>
                <w:rFonts w:ascii="宋体" w:hAnsi="宋体" w:cs="宋体"/>
                <w:sz w:val="24"/>
                <w:szCs w:val="24"/>
                <w:lang w:bidi="ar"/>
              </w:rPr>
              <w:t>1）支持根据就诊时间查看本次就诊开立的住院检验结果；</w:t>
            </w:r>
          </w:p>
          <w:p>
            <w:pPr>
              <w:rPr>
                <w:rFonts w:hint="default" w:ascii="宋体" w:hAnsi="宋体"/>
                <w:sz w:val="24"/>
                <w:szCs w:val="24"/>
              </w:rPr>
            </w:pPr>
            <w:r>
              <w:rPr>
                <w:rFonts w:ascii="宋体" w:hAnsi="宋体"/>
                <w:sz w:val="24"/>
                <w:szCs w:val="24"/>
                <w:lang w:bidi="ar"/>
              </w:rPr>
              <w:t>2</w:t>
            </w:r>
            <w:r>
              <w:rPr>
                <w:rFonts w:ascii="宋体" w:hAnsi="宋体" w:cs="宋体"/>
                <w:sz w:val="24"/>
                <w:szCs w:val="24"/>
                <w:lang w:bidi="ar"/>
              </w:rPr>
              <w:t>）检验结果要求以结构化方式进行展现；</w:t>
            </w:r>
          </w:p>
          <w:p>
            <w:pPr>
              <w:rPr>
                <w:rFonts w:hint="default" w:ascii="宋体" w:hAnsi="宋体"/>
                <w:sz w:val="24"/>
                <w:szCs w:val="24"/>
              </w:rPr>
            </w:pPr>
            <w:r>
              <w:rPr>
                <w:rFonts w:ascii="宋体" w:hAnsi="宋体" w:cs="宋体"/>
                <w:sz w:val="24"/>
                <w:szCs w:val="24"/>
                <w:lang w:bidi="ar"/>
              </w:rPr>
              <w:t>3）支持检验报告仿真浏览。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1</w:t>
            </w:r>
            <w:r>
              <w:rPr>
                <w:rFonts w:ascii="宋体" w:hAnsi="宋体"/>
                <w:sz w:val="24"/>
                <w:szCs w:val="24"/>
                <w:lang w:bidi="ar"/>
              </w:rPr>
              <w:t>5</w:t>
            </w:r>
          </w:p>
        </w:tc>
        <w:tc>
          <w:tcPr>
            <w:tcW w:w="650" w:type="pct"/>
            <w:noWrap w:val="0"/>
            <w:vAlign w:val="center"/>
          </w:tcPr>
          <w:p>
            <w:pPr>
              <w:rPr>
                <w:rFonts w:hint="default" w:ascii="宋体" w:hAnsi="宋体"/>
                <w:sz w:val="24"/>
                <w:szCs w:val="24"/>
              </w:rPr>
            </w:pPr>
            <w:r>
              <w:rPr>
                <w:rFonts w:ascii="宋体" w:hAnsi="宋体" w:cs="宋体"/>
                <w:sz w:val="24"/>
                <w:szCs w:val="24"/>
                <w:lang w:bidi="ar"/>
              </w:rPr>
              <w:t>住院检查</w:t>
            </w:r>
          </w:p>
        </w:tc>
        <w:tc>
          <w:tcPr>
            <w:tcW w:w="3926" w:type="pct"/>
            <w:noWrap w:val="0"/>
            <w:vAlign w:val="center"/>
          </w:tcPr>
          <w:p>
            <w:pPr>
              <w:rPr>
                <w:rFonts w:hint="default" w:ascii="宋体" w:hAnsi="宋体"/>
                <w:sz w:val="24"/>
                <w:szCs w:val="24"/>
              </w:rPr>
            </w:pPr>
            <w:r>
              <w:rPr>
                <w:rFonts w:ascii="宋体" w:hAnsi="宋体" w:cs="宋体"/>
                <w:sz w:val="24"/>
                <w:szCs w:val="24"/>
                <w:lang w:bidi="ar"/>
              </w:rPr>
              <w:t>1）支持根据就诊时间查看本次就诊开立的住院检查报告；</w:t>
            </w:r>
          </w:p>
          <w:p>
            <w:pPr>
              <w:rPr>
                <w:rFonts w:hint="default" w:ascii="宋体" w:hAnsi="宋体"/>
                <w:sz w:val="24"/>
                <w:szCs w:val="24"/>
              </w:rPr>
            </w:pPr>
            <w:r>
              <w:rPr>
                <w:rFonts w:ascii="宋体" w:hAnsi="宋体"/>
                <w:sz w:val="24"/>
                <w:szCs w:val="24"/>
                <w:lang w:bidi="ar"/>
              </w:rPr>
              <w:t>2</w:t>
            </w:r>
            <w:r>
              <w:rPr>
                <w:rFonts w:ascii="宋体" w:hAnsi="宋体" w:cs="宋体"/>
                <w:sz w:val="24"/>
                <w:szCs w:val="24"/>
                <w:lang w:bidi="ar"/>
              </w:rPr>
              <w:t>）检查报告要求以结构化方式进行展现；</w:t>
            </w:r>
          </w:p>
          <w:p>
            <w:pPr>
              <w:rPr>
                <w:rFonts w:hint="default" w:ascii="宋体" w:hAnsi="宋体"/>
                <w:sz w:val="24"/>
                <w:szCs w:val="24"/>
              </w:rPr>
            </w:pPr>
            <w:r>
              <w:rPr>
                <w:rFonts w:ascii="宋体" w:hAnsi="宋体" w:cs="宋体"/>
                <w:sz w:val="24"/>
                <w:szCs w:val="24"/>
                <w:lang w:bidi="ar"/>
              </w:rPr>
              <w:t>3）支持检查报告仿真浏览。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1</w:t>
            </w:r>
            <w:r>
              <w:rPr>
                <w:rFonts w:ascii="宋体" w:hAnsi="宋体"/>
                <w:sz w:val="24"/>
                <w:szCs w:val="24"/>
                <w:lang w:bidi="ar"/>
              </w:rPr>
              <w:t>6</w:t>
            </w:r>
          </w:p>
        </w:tc>
        <w:tc>
          <w:tcPr>
            <w:tcW w:w="650" w:type="pct"/>
            <w:noWrap w:val="0"/>
            <w:vAlign w:val="center"/>
          </w:tcPr>
          <w:p>
            <w:pPr>
              <w:rPr>
                <w:rFonts w:hint="default" w:ascii="宋体" w:hAnsi="宋体"/>
                <w:sz w:val="24"/>
                <w:szCs w:val="24"/>
              </w:rPr>
            </w:pPr>
            <w:r>
              <w:rPr>
                <w:rFonts w:ascii="宋体" w:hAnsi="宋体" w:cs="宋体"/>
                <w:sz w:val="24"/>
                <w:szCs w:val="24"/>
                <w:lang w:bidi="ar"/>
              </w:rPr>
              <w:t>麻醉记录</w:t>
            </w:r>
          </w:p>
        </w:tc>
        <w:tc>
          <w:tcPr>
            <w:tcW w:w="3926" w:type="pct"/>
            <w:noWrap w:val="0"/>
            <w:vAlign w:val="center"/>
          </w:tcPr>
          <w:p>
            <w:pPr>
              <w:rPr>
                <w:rFonts w:hint="default" w:ascii="宋体" w:hAnsi="宋体"/>
                <w:sz w:val="24"/>
                <w:szCs w:val="24"/>
              </w:rPr>
            </w:pPr>
            <w:r>
              <w:rPr>
                <w:rFonts w:ascii="宋体" w:hAnsi="宋体" w:cs="宋体"/>
                <w:sz w:val="24"/>
                <w:szCs w:val="24"/>
                <w:lang w:bidi="ar"/>
              </w:rPr>
              <w:t>1）手术患者支持根据就诊时间查看手术过程中的患者电子病历信息，包括麻醉记录、护理记录等；</w:t>
            </w:r>
          </w:p>
          <w:p>
            <w:pPr>
              <w:rPr>
                <w:rFonts w:hint="default" w:ascii="宋体" w:hAnsi="宋体"/>
                <w:sz w:val="24"/>
                <w:szCs w:val="24"/>
              </w:rPr>
            </w:pPr>
            <w:r>
              <w:rPr>
                <w:rFonts w:ascii="宋体" w:hAnsi="宋体"/>
                <w:sz w:val="24"/>
                <w:szCs w:val="24"/>
                <w:lang w:bidi="ar"/>
              </w:rPr>
              <w:t>2</w:t>
            </w:r>
            <w:r>
              <w:rPr>
                <w:rFonts w:ascii="宋体" w:hAnsi="宋体" w:cs="宋体"/>
                <w:sz w:val="24"/>
                <w:szCs w:val="24"/>
                <w:lang w:bidi="ar"/>
              </w:rPr>
              <w:t>）展现方式支持挂接链接地址展现，查看手术过程中的患者电子病历信息。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1</w:t>
            </w:r>
            <w:r>
              <w:rPr>
                <w:rFonts w:ascii="宋体" w:hAnsi="宋体"/>
                <w:sz w:val="24"/>
                <w:szCs w:val="24"/>
                <w:lang w:bidi="ar"/>
              </w:rPr>
              <w:t>7</w:t>
            </w:r>
          </w:p>
        </w:tc>
        <w:tc>
          <w:tcPr>
            <w:tcW w:w="650" w:type="pct"/>
            <w:noWrap w:val="0"/>
            <w:vAlign w:val="center"/>
          </w:tcPr>
          <w:p>
            <w:pPr>
              <w:rPr>
                <w:rFonts w:hint="default" w:ascii="宋体" w:hAnsi="宋体"/>
                <w:sz w:val="24"/>
                <w:szCs w:val="24"/>
              </w:rPr>
            </w:pPr>
            <w:r>
              <w:rPr>
                <w:rFonts w:ascii="宋体" w:hAnsi="宋体" w:cs="宋体"/>
                <w:sz w:val="24"/>
                <w:szCs w:val="24"/>
                <w:lang w:bidi="ar"/>
              </w:rPr>
              <w:t>输血记录</w:t>
            </w:r>
          </w:p>
        </w:tc>
        <w:tc>
          <w:tcPr>
            <w:tcW w:w="3926" w:type="pct"/>
            <w:noWrap w:val="0"/>
            <w:vAlign w:val="center"/>
          </w:tcPr>
          <w:p>
            <w:pPr>
              <w:rPr>
                <w:rFonts w:hint="default" w:ascii="宋体" w:hAnsi="宋体"/>
                <w:sz w:val="24"/>
                <w:szCs w:val="24"/>
              </w:rPr>
            </w:pPr>
            <w:r>
              <w:rPr>
                <w:rFonts w:ascii="宋体" w:hAnsi="宋体" w:cs="宋体"/>
                <w:sz w:val="24"/>
                <w:szCs w:val="24"/>
                <w:lang w:bidi="ar"/>
              </w:rPr>
              <w:t>1）输血患者支持根据就诊时间查看输血过程中的患者电子病历信息，包括输血申请、输血记录等；</w:t>
            </w:r>
          </w:p>
          <w:p>
            <w:pPr>
              <w:rPr>
                <w:rFonts w:hint="default" w:ascii="宋体" w:hAnsi="宋体"/>
                <w:sz w:val="24"/>
                <w:szCs w:val="24"/>
              </w:rPr>
            </w:pPr>
            <w:r>
              <w:rPr>
                <w:rFonts w:ascii="宋体" w:hAnsi="宋体"/>
                <w:sz w:val="24"/>
                <w:szCs w:val="24"/>
                <w:lang w:bidi="ar"/>
              </w:rPr>
              <w:t>2</w:t>
            </w:r>
            <w:r>
              <w:rPr>
                <w:rFonts w:ascii="宋体" w:hAnsi="宋体" w:cs="宋体"/>
                <w:sz w:val="24"/>
                <w:szCs w:val="24"/>
                <w:lang w:bidi="ar"/>
              </w:rPr>
              <w:t>）展现方式支持挂接链接地址展现，查看输血过程中的患者电子病历信息。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0" w:hRule="atLeast"/>
          <w:jc w:val="center"/>
        </w:trPr>
        <w:tc>
          <w:tcPr>
            <w:tcW w:w="424" w:type="pct"/>
            <w:noWrap w:val="0"/>
            <w:vAlign w:val="center"/>
          </w:tcPr>
          <w:p>
            <w:pPr>
              <w:jc w:val="center"/>
              <w:rPr>
                <w:rFonts w:hint="default" w:ascii="宋体" w:hAnsi="宋体"/>
                <w:sz w:val="24"/>
                <w:szCs w:val="24"/>
              </w:rPr>
            </w:pPr>
            <w:r>
              <w:rPr>
                <w:rFonts w:ascii="宋体" w:hAnsi="宋体" w:cs="宋体"/>
                <w:sz w:val="24"/>
                <w:szCs w:val="24"/>
                <w:lang w:bidi="ar"/>
              </w:rPr>
              <w:t>1</w:t>
            </w:r>
            <w:r>
              <w:rPr>
                <w:rFonts w:ascii="宋体" w:hAnsi="宋体"/>
                <w:sz w:val="24"/>
                <w:szCs w:val="24"/>
                <w:lang w:bidi="ar"/>
              </w:rPr>
              <w:t>8</w:t>
            </w:r>
          </w:p>
        </w:tc>
        <w:tc>
          <w:tcPr>
            <w:tcW w:w="650" w:type="pct"/>
            <w:noWrap w:val="0"/>
            <w:vAlign w:val="center"/>
          </w:tcPr>
          <w:p>
            <w:pPr>
              <w:rPr>
                <w:rFonts w:hint="default" w:ascii="宋体" w:hAnsi="宋体"/>
                <w:sz w:val="24"/>
                <w:szCs w:val="24"/>
              </w:rPr>
            </w:pPr>
            <w:r>
              <w:rPr>
                <w:rFonts w:ascii="宋体" w:hAnsi="宋体" w:cs="宋体"/>
                <w:sz w:val="24"/>
                <w:szCs w:val="24"/>
                <w:lang w:bidi="ar"/>
              </w:rPr>
              <w:t>院内各业务系统对接</w:t>
            </w:r>
          </w:p>
        </w:tc>
        <w:tc>
          <w:tcPr>
            <w:tcW w:w="3926" w:type="pct"/>
            <w:noWrap w:val="0"/>
            <w:vAlign w:val="center"/>
          </w:tcPr>
          <w:p>
            <w:pPr>
              <w:rPr>
                <w:rFonts w:hint="default" w:ascii="宋体" w:hAnsi="宋体"/>
                <w:sz w:val="24"/>
                <w:szCs w:val="24"/>
              </w:rPr>
            </w:pPr>
            <w:r>
              <w:rPr>
                <w:rFonts w:ascii="宋体" w:hAnsi="宋体"/>
                <w:sz w:val="24"/>
                <w:szCs w:val="24"/>
                <w:lang w:bidi="ar"/>
              </w:rPr>
              <w:t>1</w:t>
            </w:r>
            <w:r>
              <w:rPr>
                <w:rFonts w:ascii="宋体" w:hAnsi="宋体" w:cs="宋体"/>
                <w:sz w:val="24"/>
                <w:szCs w:val="24"/>
                <w:lang w:bidi="ar"/>
              </w:rPr>
              <w:t>）与院内各业务系统对接，包括基础业务系统（HIS）、结构化住院电子病历系统、结构化护理电子病历系统、检验系统（LIS）、影像系统（PACS）、手术麻醉系统、输血系统等，获取患者完整电子病历信息，支持结构化数据、PDF或链接地址等。</w:t>
            </w:r>
          </w:p>
          <w:p>
            <w:pPr>
              <w:rPr>
                <w:rFonts w:hint="default" w:ascii="宋体" w:hAnsi="宋体"/>
                <w:sz w:val="24"/>
                <w:szCs w:val="24"/>
              </w:rPr>
            </w:pPr>
            <w:r>
              <w:rPr>
                <w:rFonts w:ascii="宋体" w:hAnsi="宋体" w:cs="宋体"/>
                <w:sz w:val="24"/>
                <w:szCs w:val="24"/>
                <w:lang w:bidi="ar"/>
              </w:rPr>
              <w:t>2）提供外部对接地址，与院内各业务系统对接，包括基础业务系统（HIS）、结构化住院电子病历系统、结构化护理电子病历系统、检验系统（LIS）、影像系统（PACS）、手术麻醉系统、输血系统等，通过传参调取该功能，获取患者完整电子病历信息，实现全院信息共享。</w:t>
            </w:r>
          </w:p>
        </w:tc>
      </w:tr>
    </w:tbl>
    <w:p>
      <w:pPr>
        <w:pStyle w:val="5"/>
        <w:numPr>
          <w:ilvl w:val="2"/>
          <w:numId w:val="5"/>
        </w:numPr>
        <w:spacing w:before="0" w:after="0" w:line="360" w:lineRule="auto"/>
        <w:rPr>
          <w:rFonts w:ascii="宋体" w:hAnsi="宋体"/>
        </w:rPr>
      </w:pPr>
      <w:r>
        <w:rPr>
          <w:rFonts w:hint="eastAsia" w:ascii="宋体" w:hAnsi="宋体"/>
        </w:rPr>
        <w:t>危急值闭环（门诊和住院）</w:t>
      </w:r>
    </w:p>
    <w:p>
      <w:pPr>
        <w:spacing w:line="360" w:lineRule="auto"/>
        <w:ind w:firstLine="480" w:firstLineChars="200"/>
        <w:rPr>
          <w:rFonts w:hint="default"/>
          <w:sz w:val="24"/>
        </w:rPr>
      </w:pPr>
      <w:r>
        <w:rPr>
          <w:sz w:val="24"/>
        </w:rPr>
        <w:t>根据电子病历系统应用水平分级4级检验危急值闭环（含门诊和住院）要求，梳理业务流程，改造相关业务系统。</w:t>
      </w:r>
    </w:p>
    <w:p>
      <w:pPr>
        <w:pStyle w:val="5"/>
        <w:numPr>
          <w:ilvl w:val="2"/>
          <w:numId w:val="5"/>
        </w:numPr>
        <w:spacing w:before="0" w:after="0" w:line="360" w:lineRule="auto"/>
        <w:rPr>
          <w:rFonts w:ascii="宋体" w:hAnsi="宋体"/>
        </w:rPr>
      </w:pPr>
      <w:r>
        <w:rPr>
          <w:rFonts w:hint="eastAsia" w:ascii="宋体" w:hAnsi="宋体"/>
        </w:rPr>
        <w:t>医保接口系统（含移动支付）</w:t>
      </w:r>
    </w:p>
    <w:p>
      <w:pPr>
        <w:spacing w:line="360" w:lineRule="auto"/>
        <w:ind w:firstLine="480" w:firstLineChars="200"/>
        <w:rPr>
          <w:rFonts w:hint="default"/>
          <w:sz w:val="24"/>
        </w:rPr>
      </w:pPr>
      <w:r>
        <w:rPr>
          <w:sz w:val="24"/>
        </w:rPr>
        <w:t>根据国家医保信息平台接口规范要求，改造相关业务系统，包含医保电子凭证系统。</w:t>
      </w:r>
    </w:p>
    <w:p>
      <w:pPr>
        <w:pStyle w:val="5"/>
        <w:numPr>
          <w:ilvl w:val="2"/>
          <w:numId w:val="5"/>
        </w:numPr>
        <w:spacing w:before="0" w:after="0" w:line="360" w:lineRule="auto"/>
        <w:rPr>
          <w:rFonts w:ascii="宋体" w:hAnsi="宋体"/>
        </w:rPr>
      </w:pPr>
      <w:r>
        <w:rPr>
          <w:rFonts w:hint="eastAsia" w:ascii="宋体" w:hAnsi="宋体"/>
        </w:rPr>
        <w:t>自助机接口系统</w:t>
      </w:r>
    </w:p>
    <w:p>
      <w:pPr>
        <w:spacing w:line="360" w:lineRule="auto"/>
        <w:ind w:firstLine="480" w:firstLineChars="200"/>
        <w:rPr>
          <w:rFonts w:hint="default"/>
          <w:sz w:val="24"/>
        </w:rPr>
      </w:pPr>
      <w:r>
        <w:rPr>
          <w:sz w:val="24"/>
        </w:rPr>
        <w:t>根据自助机接口规范要求，改造相关业务系统。</w:t>
      </w:r>
    </w:p>
    <w:p>
      <w:pPr>
        <w:pStyle w:val="5"/>
        <w:numPr>
          <w:ilvl w:val="2"/>
          <w:numId w:val="5"/>
        </w:numPr>
        <w:spacing w:before="0" w:after="0" w:line="360" w:lineRule="auto"/>
        <w:rPr>
          <w:rFonts w:ascii="宋体" w:hAnsi="宋体"/>
        </w:rPr>
      </w:pPr>
      <w:r>
        <w:rPr>
          <w:rFonts w:hint="eastAsia" w:ascii="宋体" w:hAnsi="宋体"/>
        </w:rPr>
        <w:t>电子发票接口系统</w:t>
      </w:r>
    </w:p>
    <w:p>
      <w:pPr>
        <w:spacing w:line="360" w:lineRule="auto"/>
        <w:ind w:firstLine="480" w:firstLineChars="200"/>
        <w:rPr>
          <w:rFonts w:hint="default"/>
          <w:sz w:val="24"/>
        </w:rPr>
      </w:pPr>
      <w:r>
        <w:rPr>
          <w:sz w:val="24"/>
        </w:rPr>
        <w:t>根据</w:t>
      </w:r>
      <w:r>
        <w:rPr>
          <w:rFonts w:ascii="宋体" w:hAnsi="宋体" w:cs="宋体"/>
          <w:color w:val="auto"/>
          <w:kern w:val="0"/>
          <w:sz w:val="24"/>
          <w:szCs w:val="24"/>
        </w:rPr>
        <w:t>电子发票接口规范要求</w:t>
      </w:r>
      <w:r>
        <w:rPr>
          <w:sz w:val="24"/>
        </w:rPr>
        <w:t>，改造相关业务系统。</w:t>
      </w:r>
    </w:p>
    <w:p>
      <w:pPr>
        <w:pStyle w:val="5"/>
        <w:numPr>
          <w:ilvl w:val="2"/>
          <w:numId w:val="5"/>
        </w:numPr>
        <w:spacing w:before="0" w:after="0" w:line="360" w:lineRule="auto"/>
        <w:rPr>
          <w:rFonts w:ascii="宋体" w:hAnsi="宋体"/>
        </w:rPr>
      </w:pPr>
      <w:r>
        <w:rPr>
          <w:rFonts w:hint="eastAsia" w:ascii="宋体" w:hAnsi="宋体"/>
        </w:rPr>
        <w:t>数字签名接口系统</w:t>
      </w:r>
    </w:p>
    <w:p>
      <w:pPr>
        <w:spacing w:line="360" w:lineRule="auto"/>
        <w:ind w:firstLine="480" w:firstLineChars="200"/>
        <w:rPr>
          <w:rFonts w:hint="default"/>
          <w:sz w:val="24"/>
        </w:rPr>
      </w:pPr>
      <w:r>
        <w:rPr>
          <w:sz w:val="24"/>
        </w:rPr>
        <w:t>根据数字签名（上海CA）接口规范要求，改造相关业务系统。。</w:t>
      </w:r>
    </w:p>
    <w:p>
      <w:pPr>
        <w:pStyle w:val="5"/>
        <w:numPr>
          <w:ilvl w:val="2"/>
          <w:numId w:val="5"/>
        </w:numPr>
        <w:spacing w:before="0" w:after="0" w:line="360" w:lineRule="auto"/>
        <w:rPr>
          <w:rFonts w:ascii="宋体" w:hAnsi="宋体"/>
        </w:rPr>
      </w:pPr>
      <w:r>
        <w:rPr>
          <w:rFonts w:hint="eastAsia" w:ascii="宋体" w:hAnsi="宋体"/>
        </w:rPr>
        <w:t>院感接口系统</w:t>
      </w:r>
    </w:p>
    <w:p>
      <w:pPr>
        <w:spacing w:line="360" w:lineRule="auto"/>
        <w:ind w:firstLine="480" w:firstLineChars="200"/>
        <w:rPr>
          <w:rFonts w:hint="default"/>
          <w:sz w:val="24"/>
        </w:rPr>
      </w:pPr>
      <w:r>
        <w:rPr>
          <w:sz w:val="24"/>
        </w:rPr>
        <w:t>根据院感（蓝蜻蜓）接口规范要求，改造相关业务系统。</w:t>
      </w:r>
    </w:p>
    <w:p>
      <w:pPr>
        <w:pStyle w:val="5"/>
        <w:numPr>
          <w:ilvl w:val="2"/>
          <w:numId w:val="5"/>
        </w:numPr>
        <w:spacing w:before="0" w:after="0" w:line="360" w:lineRule="auto"/>
        <w:rPr>
          <w:rFonts w:ascii="宋体" w:hAnsi="宋体"/>
        </w:rPr>
      </w:pPr>
      <w:r>
        <w:rPr>
          <w:rFonts w:hint="eastAsia" w:ascii="宋体" w:hAnsi="宋体"/>
        </w:rPr>
        <w:t>合理用药接口系统</w:t>
      </w:r>
    </w:p>
    <w:p>
      <w:pPr>
        <w:spacing w:line="360" w:lineRule="auto"/>
        <w:ind w:firstLine="480" w:firstLineChars="200"/>
        <w:rPr>
          <w:rFonts w:hint="default"/>
          <w:sz w:val="24"/>
        </w:rPr>
      </w:pPr>
      <w:r>
        <w:rPr>
          <w:sz w:val="24"/>
        </w:rPr>
        <w:t>根据合理用药（四川美康）接口规范要求，改造相关业务系统。</w:t>
      </w:r>
    </w:p>
    <w:p>
      <w:pPr>
        <w:pStyle w:val="5"/>
        <w:numPr>
          <w:ilvl w:val="2"/>
          <w:numId w:val="5"/>
        </w:numPr>
        <w:spacing w:before="0" w:after="0" w:line="360" w:lineRule="auto"/>
        <w:rPr>
          <w:rFonts w:ascii="宋体" w:hAnsi="宋体"/>
        </w:rPr>
      </w:pPr>
      <w:r>
        <w:rPr>
          <w:rFonts w:hint="eastAsia" w:ascii="宋体" w:hAnsi="宋体"/>
        </w:rPr>
        <w:t>河南省预约挂号服务平台对接</w:t>
      </w:r>
    </w:p>
    <w:p>
      <w:pPr>
        <w:spacing w:line="360" w:lineRule="auto"/>
        <w:ind w:firstLine="480" w:firstLineChars="200"/>
        <w:rPr>
          <w:rFonts w:hint="default"/>
          <w:sz w:val="24"/>
        </w:rPr>
      </w:pPr>
      <w:r>
        <w:rPr>
          <w:sz w:val="24"/>
        </w:rPr>
        <w:t>根据河南省118114预约挂号服务平台接口规范要求，改造相关业务系统。</w:t>
      </w:r>
    </w:p>
    <w:p>
      <w:pPr>
        <w:pStyle w:val="5"/>
        <w:numPr>
          <w:ilvl w:val="2"/>
          <w:numId w:val="5"/>
        </w:numPr>
        <w:spacing w:before="0" w:after="0" w:line="360" w:lineRule="auto"/>
        <w:rPr>
          <w:rFonts w:ascii="宋体" w:hAnsi="宋体"/>
          <w:color w:val="auto"/>
          <w:lang w:eastAsia="zh-CN"/>
        </w:rPr>
      </w:pPr>
      <w:r>
        <w:rPr>
          <w:rFonts w:ascii="宋体" w:hAnsi="宋体" w:cs="宋体"/>
          <w:color w:val="auto"/>
          <w:kern w:val="0"/>
        </w:rPr>
        <w:t>第三方支付平台对接</w:t>
      </w:r>
    </w:p>
    <w:p>
      <w:pPr>
        <w:spacing w:line="360" w:lineRule="auto"/>
        <w:ind w:firstLine="480" w:firstLineChars="200"/>
        <w:rPr>
          <w:rFonts w:ascii="Arial Unicode MS" w:hAnsi="Arial Unicode MS" w:eastAsia="Arial Unicode MS" w:cs="Arial Unicode MS"/>
          <w:color w:val="auto"/>
          <w:szCs w:val="21"/>
        </w:rPr>
      </w:pPr>
      <w:r>
        <w:rPr>
          <w:rFonts w:hint="default" w:cs="宋体"/>
          <w:color w:val="auto"/>
          <w:kern w:val="0"/>
          <w:sz w:val="24"/>
        </w:rPr>
        <w:t>根据</w:t>
      </w:r>
      <w:r>
        <w:rPr>
          <w:rFonts w:hint="default" w:ascii="微软雅黑" w:hAnsi="微软雅黑" w:eastAsia="微软雅黑" w:cs="微软雅黑"/>
          <w:color w:val="auto"/>
          <w:kern w:val="0"/>
          <w:sz w:val="24"/>
          <w:szCs w:val="24"/>
        </w:rPr>
        <w:t>医院的相关要求</w:t>
      </w:r>
      <w:r>
        <w:rPr>
          <w:rFonts w:hint="default" w:cs="宋体"/>
          <w:color w:val="auto"/>
          <w:kern w:val="0"/>
          <w:sz w:val="24"/>
        </w:rPr>
        <w:t>对接微信、支付宝等第三方支付平台。</w:t>
      </w:r>
    </w:p>
    <w:p>
      <w:pPr>
        <w:pStyle w:val="5"/>
        <w:numPr>
          <w:ilvl w:val="2"/>
          <w:numId w:val="5"/>
        </w:numPr>
        <w:spacing w:before="0" w:after="0" w:line="360" w:lineRule="auto"/>
        <w:rPr>
          <w:rFonts w:ascii="宋体" w:hAnsi="宋体"/>
        </w:rPr>
      </w:pPr>
      <w:r>
        <w:rPr>
          <w:rFonts w:hint="eastAsia" w:ascii="微软雅黑" w:hAnsi="微软雅黑" w:eastAsia="微软雅黑" w:cs="微软雅黑"/>
        </w:rPr>
        <w:t>临床辅助决策支持系统</w:t>
      </w:r>
      <w:r>
        <w:rPr>
          <w:rFonts w:hint="eastAsia" w:ascii="Malgun Gothic Semilight" w:hAnsi="Malgun Gothic Semilight" w:eastAsia="Malgun Gothic Semilight" w:cs="Malgun Gothic Semilight"/>
        </w:rPr>
        <w:t>（</w:t>
      </w:r>
      <w:r>
        <w:rPr>
          <w:rFonts w:hint="eastAsia" w:ascii="宋体" w:hAnsi="宋体"/>
        </w:rPr>
        <w:t>CDSS）</w:t>
      </w:r>
    </w:p>
    <w:tbl>
      <w:tblPr>
        <w:tblStyle w:val="5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488"/>
        <w:gridCol w:w="6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blHeader/>
          <w:jc w:val="center"/>
        </w:trPr>
        <w:tc>
          <w:tcPr>
            <w:tcW w:w="419" w:type="pct"/>
            <w:noWrap w:val="0"/>
            <w:vAlign w:val="top"/>
          </w:tcPr>
          <w:p>
            <w:pPr>
              <w:jc w:val="center"/>
              <w:rPr>
                <w:rFonts w:hint="default" w:ascii="宋体" w:hAnsi="宋体" w:cs="宋体"/>
                <w:b/>
                <w:kern w:val="0"/>
                <w:sz w:val="24"/>
                <w:szCs w:val="24"/>
              </w:rPr>
            </w:pPr>
            <w:r>
              <w:rPr>
                <w:rFonts w:ascii="微软雅黑" w:hAnsi="微软雅黑" w:eastAsia="微软雅黑" w:cs="微软雅黑"/>
                <w:b/>
                <w:kern w:val="0"/>
                <w:sz w:val="24"/>
                <w:szCs w:val="24"/>
                <w:lang w:bidi="ar"/>
              </w:rPr>
              <w:t>序</w:t>
            </w:r>
            <w:r>
              <w:rPr>
                <w:rFonts w:ascii="宋体" w:hAnsi="宋体" w:cs="宋体"/>
                <w:b/>
                <w:kern w:val="0"/>
                <w:sz w:val="24"/>
                <w:szCs w:val="24"/>
                <w:lang w:bidi="ar"/>
              </w:rPr>
              <w:t>号</w:t>
            </w:r>
          </w:p>
        </w:tc>
        <w:tc>
          <w:tcPr>
            <w:tcW w:w="873" w:type="pct"/>
            <w:noWrap w:val="0"/>
            <w:vAlign w:val="top"/>
          </w:tcPr>
          <w:p>
            <w:pPr>
              <w:jc w:val="center"/>
              <w:rPr>
                <w:rFonts w:hint="default" w:ascii="宋体" w:hAnsi="宋体" w:cs="宋体"/>
                <w:b/>
                <w:kern w:val="0"/>
                <w:sz w:val="24"/>
                <w:szCs w:val="24"/>
              </w:rPr>
            </w:pPr>
            <w:r>
              <w:rPr>
                <w:rFonts w:ascii="宋体" w:hAnsi="宋体" w:cs="宋体"/>
                <w:b/>
                <w:kern w:val="0"/>
                <w:sz w:val="24"/>
                <w:szCs w:val="24"/>
                <w:lang w:bidi="ar"/>
              </w:rPr>
              <w:t>功能模块</w:t>
            </w:r>
          </w:p>
        </w:tc>
        <w:tc>
          <w:tcPr>
            <w:tcW w:w="3707" w:type="pct"/>
            <w:noWrap w:val="0"/>
            <w:vAlign w:val="top"/>
          </w:tcPr>
          <w:p>
            <w:pPr>
              <w:jc w:val="center"/>
              <w:rPr>
                <w:rFonts w:hint="default" w:ascii="宋体" w:hAnsi="宋体" w:cs="宋体"/>
                <w:b/>
                <w:kern w:val="0"/>
                <w:sz w:val="24"/>
                <w:szCs w:val="24"/>
              </w:rPr>
            </w:pPr>
            <w:r>
              <w:rPr>
                <w:rFonts w:ascii="宋体" w:hAnsi="宋体" w:cs="宋体"/>
                <w:b/>
                <w:kern w:val="0"/>
                <w:sz w:val="24"/>
                <w:szCs w:val="24"/>
                <w:lang w:bidi="ar"/>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60"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1</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疾病知识</w:t>
            </w:r>
          </w:p>
        </w:tc>
        <w:tc>
          <w:tcPr>
            <w:tcW w:w="3707" w:type="pct"/>
            <w:noWrap w:val="0"/>
            <w:vAlign w:val="top"/>
          </w:tcPr>
          <w:p>
            <w:pPr>
              <w:rPr>
                <w:rFonts w:hint="default" w:ascii="宋体" w:hAnsi="宋体"/>
                <w:sz w:val="24"/>
                <w:szCs w:val="24"/>
              </w:rPr>
            </w:pPr>
            <w:r>
              <w:rPr>
                <w:rFonts w:ascii="宋体" w:hAnsi="宋体" w:cs="宋体"/>
                <w:sz w:val="24"/>
                <w:szCs w:val="24"/>
                <w:lang w:bidi="ar"/>
              </w:rPr>
              <w:t>至少能够提供10000+疾病，精选疾病知识，科室全覆盖，常见病种全覆盖，包含疾病概述、病原学、流行病学、临床表现、辅助检查、诊断、鉴别诊断、治疗、预防等条目。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2</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典型病例</w:t>
            </w:r>
          </w:p>
        </w:tc>
        <w:tc>
          <w:tcPr>
            <w:tcW w:w="3707" w:type="pct"/>
            <w:noWrap w:val="0"/>
            <w:vAlign w:val="top"/>
          </w:tcPr>
          <w:p>
            <w:pPr>
              <w:rPr>
                <w:rFonts w:hint="default" w:ascii="宋体" w:hAnsi="宋体"/>
                <w:sz w:val="24"/>
                <w:szCs w:val="24"/>
              </w:rPr>
            </w:pPr>
            <w:r>
              <w:rPr>
                <w:rFonts w:ascii="宋体" w:hAnsi="宋体" w:cs="宋体"/>
                <w:sz w:val="24"/>
                <w:szCs w:val="24"/>
                <w:lang w:bidi="ar"/>
              </w:rPr>
              <w:t>至少能够提供3800+病例，包含临床决策分析过程、经验总结、专家述评。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0"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3</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症状体征</w:t>
            </w:r>
          </w:p>
        </w:tc>
        <w:tc>
          <w:tcPr>
            <w:tcW w:w="3707" w:type="pct"/>
            <w:noWrap w:val="0"/>
            <w:vAlign w:val="top"/>
          </w:tcPr>
          <w:p>
            <w:pPr>
              <w:rPr>
                <w:rFonts w:hint="default" w:ascii="宋体" w:hAnsi="宋体"/>
                <w:sz w:val="24"/>
                <w:szCs w:val="24"/>
              </w:rPr>
            </w:pPr>
            <w:r>
              <w:rPr>
                <w:rFonts w:ascii="宋体" w:hAnsi="宋体" w:cs="宋体"/>
                <w:sz w:val="24"/>
                <w:szCs w:val="24"/>
                <w:lang w:bidi="ar"/>
              </w:rPr>
              <w:t>从症状体征出发，分析常见病因、诊断思维以及临床处理过程。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4</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检查</w:t>
            </w:r>
          </w:p>
        </w:tc>
        <w:tc>
          <w:tcPr>
            <w:tcW w:w="3707" w:type="pct"/>
            <w:noWrap w:val="0"/>
            <w:vAlign w:val="top"/>
          </w:tcPr>
          <w:p>
            <w:pPr>
              <w:rPr>
                <w:rFonts w:hint="default" w:ascii="宋体" w:hAnsi="宋体"/>
                <w:sz w:val="24"/>
                <w:szCs w:val="24"/>
              </w:rPr>
            </w:pPr>
            <w:r>
              <w:rPr>
                <w:rFonts w:ascii="宋体" w:hAnsi="宋体" w:cs="宋体"/>
                <w:sz w:val="24"/>
                <w:szCs w:val="24"/>
                <w:lang w:bidi="ar"/>
              </w:rPr>
              <w:t>汇集丰富的临床检查相关知识，包含概述、适应证、禁忌证、检查前准备、检查过程、临床应用、结果分析、注意事项等。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5</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检验项</w:t>
            </w:r>
          </w:p>
        </w:tc>
        <w:tc>
          <w:tcPr>
            <w:tcW w:w="3707" w:type="pct"/>
            <w:noWrap w:val="0"/>
            <w:vAlign w:val="top"/>
          </w:tcPr>
          <w:p>
            <w:pPr>
              <w:rPr>
                <w:rFonts w:hint="default" w:ascii="宋体" w:hAnsi="宋体"/>
                <w:sz w:val="24"/>
                <w:szCs w:val="24"/>
              </w:rPr>
            </w:pPr>
            <w:r>
              <w:rPr>
                <w:rFonts w:ascii="宋体" w:hAnsi="宋体" w:cs="宋体"/>
                <w:sz w:val="24"/>
                <w:szCs w:val="24"/>
                <w:lang w:bidi="ar"/>
              </w:rPr>
              <w:t>介绍临床检验相关知识，包含检验原理、临床意义。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6</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临床操作</w:t>
            </w:r>
          </w:p>
        </w:tc>
        <w:tc>
          <w:tcPr>
            <w:tcW w:w="3707" w:type="pct"/>
            <w:noWrap w:val="0"/>
            <w:vAlign w:val="top"/>
          </w:tcPr>
          <w:p>
            <w:pPr>
              <w:rPr>
                <w:rFonts w:hint="default" w:ascii="宋体" w:hAnsi="宋体"/>
                <w:sz w:val="24"/>
                <w:szCs w:val="24"/>
              </w:rPr>
            </w:pPr>
            <w:r>
              <w:rPr>
                <w:rFonts w:ascii="宋体" w:hAnsi="宋体" w:cs="宋体"/>
                <w:sz w:val="24"/>
                <w:szCs w:val="24"/>
                <w:lang w:bidi="ar"/>
              </w:rPr>
              <w:t>至少能够提供400+常见临床操作，包含适应证、操作准备、操作步骤、并发症等详细介绍。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7</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手术操作</w:t>
            </w:r>
          </w:p>
        </w:tc>
        <w:tc>
          <w:tcPr>
            <w:tcW w:w="3707" w:type="pct"/>
            <w:noWrap w:val="0"/>
            <w:vAlign w:val="top"/>
          </w:tcPr>
          <w:p>
            <w:pPr>
              <w:rPr>
                <w:rFonts w:hint="default" w:ascii="宋体" w:hAnsi="宋体"/>
                <w:sz w:val="24"/>
                <w:szCs w:val="24"/>
              </w:rPr>
            </w:pPr>
            <w:r>
              <w:rPr>
                <w:rFonts w:ascii="宋体" w:hAnsi="宋体" w:cs="宋体"/>
                <w:sz w:val="24"/>
                <w:szCs w:val="24"/>
                <w:lang w:bidi="ar"/>
              </w:rPr>
              <w:t>至少能够提供800+手术知识，包含概述、适应证、禁忌证、术前准备、麻醉和体位、手术步骤、注意事项、术后处理、并发症等。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8</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护理操作</w:t>
            </w:r>
          </w:p>
        </w:tc>
        <w:tc>
          <w:tcPr>
            <w:tcW w:w="3707" w:type="pct"/>
            <w:noWrap w:val="0"/>
            <w:vAlign w:val="top"/>
          </w:tcPr>
          <w:p>
            <w:pPr>
              <w:rPr>
                <w:rFonts w:hint="default" w:ascii="宋体" w:hAnsi="宋体"/>
                <w:sz w:val="24"/>
                <w:szCs w:val="24"/>
              </w:rPr>
            </w:pPr>
            <w:r>
              <w:rPr>
                <w:rFonts w:ascii="宋体" w:hAnsi="宋体" w:cs="宋体"/>
                <w:sz w:val="24"/>
                <w:szCs w:val="24"/>
                <w:lang w:bidi="ar"/>
              </w:rPr>
              <w:t>常见护理操作，包含概述、目的、适应证、禁忌证、评估、操作前</w:t>
            </w:r>
          </w:p>
          <w:p>
            <w:pPr>
              <w:rPr>
                <w:rFonts w:hint="default" w:ascii="宋体" w:hAnsi="宋体"/>
                <w:sz w:val="24"/>
                <w:szCs w:val="24"/>
              </w:rPr>
            </w:pPr>
            <w:r>
              <w:rPr>
                <w:rFonts w:ascii="宋体" w:hAnsi="宋体" w:cs="宋体"/>
                <w:sz w:val="24"/>
                <w:szCs w:val="24"/>
                <w:lang w:bidi="ar"/>
              </w:rPr>
              <w:t>准备、操作步骤、注意事项、评价、健康指导等知识。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9</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国家临床路径</w:t>
            </w:r>
          </w:p>
        </w:tc>
        <w:tc>
          <w:tcPr>
            <w:tcW w:w="3707" w:type="pct"/>
            <w:noWrap w:val="0"/>
            <w:vAlign w:val="top"/>
          </w:tcPr>
          <w:p>
            <w:pPr>
              <w:rPr>
                <w:rFonts w:hint="default" w:ascii="宋体" w:hAnsi="宋体"/>
                <w:sz w:val="24"/>
                <w:szCs w:val="24"/>
              </w:rPr>
            </w:pPr>
            <w:r>
              <w:rPr>
                <w:rFonts w:ascii="宋体" w:hAnsi="宋体" w:cs="宋体"/>
                <w:sz w:val="24"/>
                <w:szCs w:val="24"/>
                <w:lang w:bidi="ar"/>
              </w:rPr>
              <w:t>至少提供临床路径</w:t>
            </w:r>
            <w:r>
              <w:rPr>
                <w:rFonts w:ascii="宋体" w:hAnsi="宋体"/>
                <w:sz w:val="24"/>
                <w:szCs w:val="24"/>
                <w:lang w:bidi="ar"/>
              </w:rPr>
              <w:t xml:space="preserve"> </w:t>
            </w:r>
            <w:r>
              <w:rPr>
                <w:rFonts w:ascii="宋体" w:hAnsi="宋体" w:cs="宋体"/>
                <w:sz w:val="24"/>
                <w:szCs w:val="24"/>
                <w:lang w:bidi="ar"/>
              </w:rPr>
              <w:t>1200+条，支持在线阅读及下载，更好指导临床诊疗。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10</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指南</w:t>
            </w:r>
          </w:p>
        </w:tc>
        <w:tc>
          <w:tcPr>
            <w:tcW w:w="3707" w:type="pct"/>
            <w:noWrap w:val="0"/>
            <w:vAlign w:val="top"/>
          </w:tcPr>
          <w:p>
            <w:pPr>
              <w:rPr>
                <w:rFonts w:hint="default" w:ascii="宋体" w:hAnsi="宋体"/>
                <w:sz w:val="24"/>
                <w:szCs w:val="24"/>
              </w:rPr>
            </w:pPr>
            <w:r>
              <w:rPr>
                <w:rFonts w:ascii="宋体" w:hAnsi="宋体" w:cs="宋体"/>
                <w:sz w:val="24"/>
                <w:szCs w:val="24"/>
                <w:lang w:bidi="ar"/>
              </w:rPr>
              <w:t>至少提供500+临床指南规范和专家共识。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8"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11</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医患沟通</w:t>
            </w:r>
          </w:p>
        </w:tc>
        <w:tc>
          <w:tcPr>
            <w:tcW w:w="3707" w:type="pct"/>
            <w:noWrap w:val="0"/>
            <w:vAlign w:val="top"/>
          </w:tcPr>
          <w:p>
            <w:pPr>
              <w:rPr>
                <w:rFonts w:hint="default" w:ascii="宋体" w:hAnsi="宋体"/>
                <w:sz w:val="24"/>
                <w:szCs w:val="24"/>
              </w:rPr>
            </w:pPr>
            <w:r>
              <w:rPr>
                <w:rFonts w:ascii="宋体" w:hAnsi="宋体" w:cs="宋体"/>
                <w:sz w:val="24"/>
                <w:szCs w:val="24"/>
                <w:lang w:bidi="ar"/>
              </w:rPr>
              <w:t>至少提供1300+医患沟通知识和案例。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12</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医疗损害防范</w:t>
            </w:r>
          </w:p>
        </w:tc>
        <w:tc>
          <w:tcPr>
            <w:tcW w:w="3707" w:type="pct"/>
            <w:noWrap w:val="0"/>
            <w:vAlign w:val="top"/>
          </w:tcPr>
          <w:p>
            <w:pPr>
              <w:rPr>
                <w:rFonts w:hint="default" w:ascii="宋体" w:hAnsi="宋体"/>
                <w:sz w:val="24"/>
                <w:szCs w:val="24"/>
              </w:rPr>
            </w:pPr>
            <w:r>
              <w:rPr>
                <w:rFonts w:ascii="宋体" w:hAnsi="宋体" w:cs="宋体"/>
                <w:sz w:val="24"/>
                <w:szCs w:val="24"/>
                <w:lang w:bidi="ar"/>
              </w:rPr>
              <w:t>至少提供360+医疗损害防范知识介绍。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13</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临床伦理思维</w:t>
            </w:r>
          </w:p>
        </w:tc>
        <w:tc>
          <w:tcPr>
            <w:tcW w:w="3707" w:type="pct"/>
            <w:noWrap w:val="0"/>
            <w:vAlign w:val="top"/>
          </w:tcPr>
          <w:p>
            <w:pPr>
              <w:rPr>
                <w:rFonts w:hint="default" w:ascii="宋体" w:hAnsi="宋体"/>
                <w:sz w:val="24"/>
                <w:szCs w:val="24"/>
              </w:rPr>
            </w:pPr>
            <w:r>
              <w:rPr>
                <w:rFonts w:ascii="宋体" w:hAnsi="宋体" w:cs="宋体"/>
                <w:sz w:val="24"/>
                <w:szCs w:val="24"/>
                <w:lang w:bidi="ar"/>
              </w:rPr>
              <w:t>精选典型临床伦理知识和案例。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14</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法律法规</w:t>
            </w:r>
          </w:p>
        </w:tc>
        <w:tc>
          <w:tcPr>
            <w:tcW w:w="3707" w:type="pct"/>
            <w:noWrap w:val="0"/>
            <w:vAlign w:val="top"/>
          </w:tcPr>
          <w:p>
            <w:pPr>
              <w:rPr>
                <w:rFonts w:hint="default" w:ascii="宋体" w:hAnsi="宋体"/>
                <w:sz w:val="24"/>
                <w:szCs w:val="24"/>
              </w:rPr>
            </w:pPr>
            <w:r>
              <w:rPr>
                <w:rFonts w:ascii="宋体" w:hAnsi="宋体" w:cs="宋体"/>
                <w:sz w:val="24"/>
                <w:szCs w:val="24"/>
                <w:lang w:bidi="ar"/>
              </w:rPr>
              <w:t>至少提供700+医疗相关法律法规。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58"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15</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药物信息</w:t>
            </w:r>
          </w:p>
        </w:tc>
        <w:tc>
          <w:tcPr>
            <w:tcW w:w="3707" w:type="pct"/>
            <w:noWrap w:val="0"/>
            <w:vAlign w:val="top"/>
          </w:tcPr>
          <w:p>
            <w:pPr>
              <w:rPr>
                <w:rFonts w:hint="default" w:ascii="宋体" w:hAnsi="宋体"/>
                <w:sz w:val="24"/>
                <w:szCs w:val="24"/>
              </w:rPr>
            </w:pPr>
            <w:r>
              <w:rPr>
                <w:rFonts w:ascii="宋体" w:hAnsi="宋体" w:cs="宋体"/>
                <w:sz w:val="24"/>
                <w:szCs w:val="24"/>
                <w:lang w:bidi="ar"/>
              </w:rPr>
              <w:t>至少提供45000+临床常用西药、中药说明书，并精选《新编药物学》等药学专著内容，满足即时检索与深度学习的不同需求。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16</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超说明书用药</w:t>
            </w:r>
          </w:p>
        </w:tc>
        <w:tc>
          <w:tcPr>
            <w:tcW w:w="3707" w:type="pct"/>
            <w:noWrap w:val="0"/>
            <w:vAlign w:val="top"/>
          </w:tcPr>
          <w:p>
            <w:pPr>
              <w:rPr>
                <w:rFonts w:hint="default" w:ascii="宋体" w:hAnsi="宋体"/>
                <w:sz w:val="24"/>
                <w:szCs w:val="24"/>
              </w:rPr>
            </w:pPr>
            <w:r>
              <w:rPr>
                <w:rFonts w:ascii="宋体" w:hAnsi="宋体" w:cs="宋体"/>
                <w:sz w:val="24"/>
                <w:szCs w:val="24"/>
                <w:lang w:bidi="ar"/>
              </w:rPr>
              <w:t>包含已批准的适应证、说明书之外的用法、依据等级和参考资料等，对权衡说明书之外的用法提供了较为详实、可靠的参考信息。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4"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17</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药物相互作用</w:t>
            </w:r>
          </w:p>
        </w:tc>
        <w:tc>
          <w:tcPr>
            <w:tcW w:w="3707" w:type="pct"/>
            <w:noWrap w:val="0"/>
            <w:vAlign w:val="top"/>
          </w:tcPr>
          <w:p>
            <w:pPr>
              <w:rPr>
                <w:rFonts w:hint="default" w:ascii="宋体" w:hAnsi="宋体"/>
                <w:sz w:val="24"/>
                <w:szCs w:val="24"/>
              </w:rPr>
            </w:pPr>
            <w:r>
              <w:rPr>
                <w:rFonts w:ascii="宋体" w:hAnsi="宋体" w:cs="宋体"/>
                <w:sz w:val="24"/>
                <w:szCs w:val="24"/>
                <w:lang w:bidi="ar"/>
              </w:rPr>
              <w:t>至少提供3000+药物相互作用数据，基于权威文献及临床经验，凝练出适合临床的中肯的合理用药建议，颇具参考价值。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18</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常见病处方</w:t>
            </w:r>
          </w:p>
        </w:tc>
        <w:tc>
          <w:tcPr>
            <w:tcW w:w="3707" w:type="pct"/>
            <w:noWrap w:val="0"/>
            <w:vAlign w:val="top"/>
          </w:tcPr>
          <w:p>
            <w:pPr>
              <w:rPr>
                <w:rFonts w:hint="default" w:ascii="宋体" w:hAnsi="宋体"/>
                <w:sz w:val="24"/>
                <w:szCs w:val="24"/>
              </w:rPr>
            </w:pPr>
            <w:r>
              <w:rPr>
                <w:rFonts w:ascii="宋体" w:hAnsi="宋体" w:cs="宋体"/>
                <w:sz w:val="24"/>
                <w:szCs w:val="24"/>
                <w:lang w:bidi="ar"/>
              </w:rPr>
              <w:t>至少提供300+常见疾病的千余种处方，可根据不同病症推荐处方，处方撰写简明扼要、查阅方便、易于参考。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1"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19</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用药案例</w:t>
            </w:r>
          </w:p>
        </w:tc>
        <w:tc>
          <w:tcPr>
            <w:tcW w:w="3707" w:type="pct"/>
            <w:noWrap w:val="0"/>
            <w:vAlign w:val="top"/>
          </w:tcPr>
          <w:p>
            <w:pPr>
              <w:rPr>
                <w:rFonts w:hint="default" w:ascii="宋体" w:hAnsi="宋体"/>
                <w:sz w:val="24"/>
                <w:szCs w:val="24"/>
              </w:rPr>
            </w:pPr>
            <w:r>
              <w:rPr>
                <w:rFonts w:ascii="宋体" w:hAnsi="宋体" w:cs="宋体"/>
                <w:sz w:val="24"/>
                <w:szCs w:val="24"/>
                <w:lang w:bidi="ar"/>
              </w:rPr>
              <w:t>至少提供2000+临床真实用药案例，涵盖用药错误、处方点评中的不当用药、不良反应报告中反映出的用药问题等。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20</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用药问答</w:t>
            </w:r>
          </w:p>
        </w:tc>
        <w:tc>
          <w:tcPr>
            <w:tcW w:w="3707" w:type="pct"/>
            <w:noWrap w:val="0"/>
            <w:vAlign w:val="top"/>
          </w:tcPr>
          <w:p>
            <w:pPr>
              <w:rPr>
                <w:rFonts w:hint="default" w:ascii="宋体" w:hAnsi="宋体"/>
                <w:sz w:val="24"/>
                <w:szCs w:val="24"/>
              </w:rPr>
            </w:pPr>
            <w:r>
              <w:rPr>
                <w:rFonts w:ascii="宋体" w:hAnsi="宋体" w:cs="宋体"/>
                <w:sz w:val="24"/>
                <w:szCs w:val="24"/>
                <w:lang w:bidi="ar"/>
              </w:rPr>
              <w:t>至少提供1000+用药咨询问答，涵盖一问一答，知识链接和参考文献，快速解答用药疑惑。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21</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基本药物目录</w:t>
            </w:r>
          </w:p>
        </w:tc>
        <w:tc>
          <w:tcPr>
            <w:tcW w:w="3707" w:type="pct"/>
            <w:noWrap w:val="0"/>
            <w:vAlign w:val="top"/>
          </w:tcPr>
          <w:p>
            <w:pPr>
              <w:rPr>
                <w:rFonts w:hint="default" w:ascii="宋体" w:hAnsi="宋体"/>
                <w:sz w:val="24"/>
                <w:szCs w:val="24"/>
              </w:rPr>
            </w:pPr>
            <w:r>
              <w:rPr>
                <w:rFonts w:ascii="宋体" w:hAnsi="宋体" w:cs="宋体"/>
                <w:sz w:val="24"/>
                <w:szCs w:val="24"/>
                <w:lang w:bidi="ar"/>
              </w:rPr>
              <w:t>可查询国家基本药物目录（2018年版）。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22</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医保药品目录</w:t>
            </w:r>
          </w:p>
        </w:tc>
        <w:tc>
          <w:tcPr>
            <w:tcW w:w="3707" w:type="pct"/>
            <w:noWrap w:val="0"/>
            <w:vAlign w:val="top"/>
          </w:tcPr>
          <w:p>
            <w:pPr>
              <w:rPr>
                <w:rFonts w:hint="default" w:ascii="宋体" w:hAnsi="宋体"/>
                <w:sz w:val="24"/>
                <w:szCs w:val="24"/>
              </w:rPr>
            </w:pPr>
            <w:r>
              <w:rPr>
                <w:rFonts w:ascii="宋体" w:hAnsi="宋体" w:cs="宋体"/>
                <w:sz w:val="24"/>
                <w:szCs w:val="24"/>
                <w:lang w:bidi="ar"/>
              </w:rPr>
              <w:t>可查询《国家基本医疗保险、工伤保险和生育保险药品目录》。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89"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23</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高级搜索</w:t>
            </w:r>
          </w:p>
        </w:tc>
        <w:tc>
          <w:tcPr>
            <w:tcW w:w="3707" w:type="pct"/>
            <w:noWrap w:val="0"/>
            <w:vAlign w:val="top"/>
          </w:tcPr>
          <w:p>
            <w:pPr>
              <w:rPr>
                <w:rFonts w:hint="default" w:ascii="宋体" w:hAnsi="宋体"/>
                <w:sz w:val="24"/>
                <w:szCs w:val="24"/>
              </w:rPr>
            </w:pPr>
            <w:r>
              <w:rPr>
                <w:rFonts w:ascii="宋体" w:hAnsi="宋体" w:cs="宋体"/>
                <w:sz w:val="24"/>
                <w:szCs w:val="24"/>
                <w:lang w:bidi="ar"/>
              </w:rPr>
              <w:t>支持高级搜索，支持通过多种方式（关键字、标题首字母）检索知识库内容，涉及疾病知识、检验检查知识、评估表、药品说明书等知识内容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24</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知识库对接</w:t>
            </w:r>
          </w:p>
        </w:tc>
        <w:tc>
          <w:tcPr>
            <w:tcW w:w="3707" w:type="pct"/>
            <w:noWrap w:val="0"/>
            <w:vAlign w:val="top"/>
          </w:tcPr>
          <w:p>
            <w:pPr>
              <w:rPr>
                <w:rFonts w:hint="default" w:ascii="宋体" w:hAnsi="宋体"/>
                <w:sz w:val="24"/>
                <w:szCs w:val="24"/>
              </w:rPr>
            </w:pPr>
            <w:r>
              <w:rPr>
                <w:rFonts w:ascii="宋体" w:hAnsi="宋体" w:cs="宋体"/>
                <w:sz w:val="24"/>
                <w:szCs w:val="24"/>
                <w:lang w:bidi="ar"/>
              </w:rPr>
              <w:t>支持通过CS、BS、API方式进行对接，搭载第三方渠道，在医院HIS 系统、病历系统、手麻系统等进行使用。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3"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25</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知识库应用</w:t>
            </w:r>
          </w:p>
        </w:tc>
        <w:tc>
          <w:tcPr>
            <w:tcW w:w="3707" w:type="pct"/>
            <w:noWrap w:val="0"/>
            <w:vAlign w:val="top"/>
          </w:tcPr>
          <w:p>
            <w:pPr>
              <w:rPr>
                <w:rFonts w:hint="default" w:ascii="宋体" w:hAnsi="宋体"/>
                <w:sz w:val="24"/>
                <w:szCs w:val="24"/>
              </w:rPr>
            </w:pPr>
            <w:r>
              <w:rPr>
                <w:rFonts w:ascii="宋体" w:hAnsi="宋体" w:cs="宋体"/>
                <w:sz w:val="24"/>
                <w:szCs w:val="24"/>
                <w:lang w:bidi="ar"/>
              </w:rPr>
              <w:t>可以自由搜索，也可以在不同应用场景自动调用，如：在新开医嘱时，可实现右键打开新开项目知识库。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26</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知识库更新</w:t>
            </w:r>
          </w:p>
        </w:tc>
        <w:tc>
          <w:tcPr>
            <w:tcW w:w="3707" w:type="pct"/>
            <w:noWrap w:val="0"/>
            <w:vAlign w:val="top"/>
          </w:tcPr>
          <w:p>
            <w:pPr>
              <w:rPr>
                <w:rFonts w:hint="default" w:ascii="宋体" w:hAnsi="宋体"/>
                <w:sz w:val="24"/>
                <w:szCs w:val="24"/>
              </w:rPr>
            </w:pPr>
            <w:r>
              <w:rPr>
                <w:rFonts w:ascii="宋体" w:hAnsi="宋体" w:cs="宋体"/>
                <w:sz w:val="24"/>
                <w:szCs w:val="24"/>
                <w:lang w:bidi="ar"/>
              </w:rPr>
              <w:t>知识库更新频率不低于3个月/次，要求通过远程服务方式直接更新，无需用户操作，并且更新内容永久免费。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 w:hRule="atLeast"/>
          <w:jc w:val="center"/>
        </w:trPr>
        <w:tc>
          <w:tcPr>
            <w:tcW w:w="419" w:type="pct"/>
            <w:noWrap w:val="0"/>
            <w:vAlign w:val="center"/>
          </w:tcPr>
          <w:p>
            <w:pPr>
              <w:jc w:val="center"/>
              <w:rPr>
                <w:rFonts w:hint="default" w:ascii="宋体" w:hAnsi="宋体"/>
                <w:sz w:val="24"/>
                <w:szCs w:val="24"/>
              </w:rPr>
            </w:pPr>
            <w:r>
              <w:rPr>
                <w:rFonts w:ascii="宋体" w:hAnsi="宋体"/>
                <w:sz w:val="24"/>
                <w:szCs w:val="24"/>
              </w:rPr>
              <w:t>27</w:t>
            </w:r>
          </w:p>
        </w:tc>
        <w:tc>
          <w:tcPr>
            <w:tcW w:w="873" w:type="pct"/>
            <w:noWrap w:val="0"/>
            <w:vAlign w:val="center"/>
          </w:tcPr>
          <w:p>
            <w:pPr>
              <w:jc w:val="left"/>
              <w:rPr>
                <w:rFonts w:hint="default" w:ascii="宋体" w:hAnsi="宋体"/>
                <w:sz w:val="24"/>
                <w:szCs w:val="24"/>
              </w:rPr>
            </w:pPr>
            <w:r>
              <w:rPr>
                <w:rFonts w:ascii="宋体" w:hAnsi="宋体" w:cs="宋体"/>
                <w:sz w:val="24"/>
                <w:szCs w:val="24"/>
                <w:lang w:bidi="ar"/>
              </w:rPr>
              <w:t>知识库来源</w:t>
            </w:r>
          </w:p>
        </w:tc>
        <w:tc>
          <w:tcPr>
            <w:tcW w:w="3707" w:type="pct"/>
            <w:noWrap w:val="0"/>
            <w:vAlign w:val="top"/>
          </w:tcPr>
          <w:p>
            <w:pPr>
              <w:rPr>
                <w:rFonts w:hint="default" w:ascii="宋体" w:hAnsi="宋体"/>
                <w:sz w:val="24"/>
                <w:szCs w:val="24"/>
              </w:rPr>
            </w:pPr>
            <w:r>
              <w:rPr>
                <w:rFonts w:ascii="宋体" w:hAnsi="宋体" w:cs="宋体"/>
                <w:sz w:val="24"/>
                <w:szCs w:val="24"/>
                <w:lang w:bidi="ar"/>
              </w:rPr>
              <w:t>医学知识来源单位为中央级医药卫生专业出版单位。</w:t>
            </w:r>
          </w:p>
        </w:tc>
      </w:tr>
    </w:tbl>
    <w:p>
      <w:pPr>
        <w:pStyle w:val="5"/>
        <w:numPr>
          <w:ilvl w:val="2"/>
          <w:numId w:val="5"/>
        </w:numPr>
        <w:spacing w:before="0" w:after="0" w:line="360" w:lineRule="auto"/>
        <w:rPr>
          <w:rFonts w:ascii="宋体" w:hAnsi="宋体"/>
        </w:rPr>
      </w:pPr>
      <w:r>
        <w:rPr>
          <w:rFonts w:hint="eastAsia" w:ascii="宋体" w:hAnsi="宋体"/>
        </w:rPr>
        <w:t>麻醉管理系统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87"/>
        <w:gridCol w:w="1116"/>
        <w:gridCol w:w="745"/>
        <w:gridCol w:w="992"/>
        <w:gridCol w:w="45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blHeader/>
        </w:trPr>
        <w:tc>
          <w:tcPr>
            <w:tcW w:w="638"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系统分类</w:t>
            </w:r>
          </w:p>
        </w:tc>
        <w:tc>
          <w:tcPr>
            <w:tcW w:w="655"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业务模块</w:t>
            </w:r>
          </w:p>
        </w:tc>
        <w:tc>
          <w:tcPr>
            <w:tcW w:w="1018" w:type="pct"/>
            <w:gridSpan w:val="2"/>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2688"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638"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麻醉管理</w:t>
            </w:r>
          </w:p>
        </w:tc>
        <w:tc>
          <w:tcPr>
            <w:tcW w:w="655"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患者管理</w:t>
            </w:r>
          </w:p>
        </w:tc>
        <w:tc>
          <w:tcPr>
            <w:tcW w:w="1018" w:type="pct"/>
            <w:gridSpan w:val="2"/>
            <w:noWrap w:val="0"/>
            <w:vAlign w:val="center"/>
          </w:tcPr>
          <w:p>
            <w:pPr>
              <w:rPr>
                <w:rFonts w:hint="default" w:ascii="宋体" w:hAnsi="宋体" w:cs="宋体"/>
                <w:kern w:val="0"/>
                <w:sz w:val="24"/>
                <w:szCs w:val="24"/>
              </w:rPr>
            </w:pPr>
            <w:r>
              <w:rPr>
                <w:rFonts w:ascii="宋体" w:hAnsi="宋体" w:cs="宋体"/>
                <w:kern w:val="0"/>
                <w:sz w:val="24"/>
                <w:szCs w:val="24"/>
              </w:rPr>
              <w:t>病历数据集成</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能够自动获取患者检验、检查，以及电子病历系统中的各项数据；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638"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1018" w:type="pct"/>
            <w:gridSpan w:val="2"/>
            <w:noWrap w:val="0"/>
            <w:vAlign w:val="center"/>
          </w:tcPr>
          <w:p>
            <w:pPr>
              <w:rPr>
                <w:rFonts w:hint="default" w:ascii="宋体" w:hAnsi="宋体" w:cs="宋体"/>
                <w:kern w:val="0"/>
                <w:sz w:val="24"/>
                <w:szCs w:val="24"/>
              </w:rPr>
            </w:pPr>
            <w:r>
              <w:rPr>
                <w:rFonts w:ascii="宋体" w:hAnsi="宋体" w:cs="宋体"/>
                <w:kern w:val="0"/>
                <w:sz w:val="24"/>
                <w:szCs w:val="24"/>
              </w:rPr>
              <w:t>术前访视</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支持麻醉医生进行术前访视记录；支持科室模板与个人模板功能实现快速填写；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638"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1018" w:type="pct"/>
            <w:gridSpan w:val="2"/>
            <w:noWrap w:val="0"/>
            <w:vAlign w:val="center"/>
          </w:tcPr>
          <w:p>
            <w:pPr>
              <w:rPr>
                <w:rFonts w:hint="default" w:ascii="宋体" w:hAnsi="宋体" w:cs="宋体"/>
                <w:kern w:val="0"/>
                <w:sz w:val="24"/>
                <w:szCs w:val="24"/>
              </w:rPr>
            </w:pPr>
            <w:r>
              <w:rPr>
                <w:rFonts w:ascii="宋体" w:hAnsi="宋体" w:cs="宋体"/>
                <w:kern w:val="0"/>
                <w:sz w:val="24"/>
                <w:szCs w:val="24"/>
              </w:rPr>
              <w:t>麻醉知情同意书</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支持麻醉知情同意书、疼痛治疗知情同意书、分娩镇痛麻醉知情同意书的电子化文书；支持科室模板与个人模板功能实现快速填写；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0" w:hRule="atLeast"/>
        </w:trPr>
        <w:tc>
          <w:tcPr>
            <w:tcW w:w="638"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1018" w:type="pct"/>
            <w:gridSpan w:val="2"/>
            <w:noWrap w:val="0"/>
            <w:vAlign w:val="center"/>
          </w:tcPr>
          <w:p>
            <w:pPr>
              <w:rPr>
                <w:rFonts w:hint="default" w:ascii="宋体" w:hAnsi="宋体" w:cs="宋体"/>
                <w:kern w:val="0"/>
                <w:sz w:val="24"/>
                <w:szCs w:val="24"/>
              </w:rPr>
            </w:pPr>
            <w:r>
              <w:rPr>
                <w:rFonts w:ascii="宋体" w:hAnsi="宋体" w:cs="宋体"/>
                <w:kern w:val="0"/>
                <w:sz w:val="24"/>
                <w:szCs w:val="24"/>
              </w:rPr>
              <w:t>麻醉记录</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该单据需要完全符合中华人民共和国卫生行业标准WS329-2011中的所有规范要求；操作模式需满足所见即所得（WYSIWYG）技术要求；支持多倍缩放，缩放图形不失真；提供抢救模式、无痛分娩特殊手术模式支持；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5" w:hRule="atLeast"/>
        </w:trPr>
        <w:tc>
          <w:tcPr>
            <w:tcW w:w="638"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1018" w:type="pct"/>
            <w:gridSpan w:val="2"/>
            <w:noWrap w:val="0"/>
            <w:vAlign w:val="center"/>
          </w:tcPr>
          <w:p>
            <w:pPr>
              <w:rPr>
                <w:rFonts w:hint="default" w:ascii="宋体" w:hAnsi="宋体" w:cs="宋体"/>
                <w:kern w:val="0"/>
                <w:sz w:val="24"/>
                <w:szCs w:val="24"/>
              </w:rPr>
            </w:pPr>
            <w:r>
              <w:rPr>
                <w:rFonts w:ascii="宋体" w:hAnsi="宋体" w:cs="宋体"/>
                <w:kern w:val="0"/>
                <w:sz w:val="24"/>
                <w:szCs w:val="24"/>
              </w:rPr>
              <w:t>麻醉小结</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完整符合WS329-2011标准麻醉小结所有要求；通过麻醉记录单、麻醉模板、HIS系统数据自动生成麻醉小结单；预置麻醉小结常用项目（麻醉平面、气管型号、维持方法等）供智能选择功能；支持麻醉小结与卫计委质控指标项目关联功能；支持单页打印和连续打印功能，以及集中打印和打印预览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638"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1018" w:type="pct"/>
            <w:gridSpan w:val="2"/>
            <w:noWrap w:val="0"/>
            <w:vAlign w:val="center"/>
          </w:tcPr>
          <w:p>
            <w:pPr>
              <w:rPr>
                <w:rFonts w:hint="default" w:ascii="宋体" w:hAnsi="宋体" w:cs="宋体"/>
                <w:kern w:val="0"/>
                <w:sz w:val="24"/>
                <w:szCs w:val="24"/>
              </w:rPr>
            </w:pPr>
            <w:r>
              <w:rPr>
                <w:rFonts w:ascii="宋体" w:hAnsi="宋体" w:cs="宋体"/>
                <w:kern w:val="0"/>
                <w:sz w:val="24"/>
                <w:szCs w:val="24"/>
              </w:rPr>
              <w:t>麻醉交班</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支持术中麻醉人员交班功能；能够自动记录交班时的患者生命体征、用药等情况；能够通过时间线方式展示出交班完整过程；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638"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1018" w:type="pct"/>
            <w:gridSpan w:val="2"/>
            <w:noWrap w:val="0"/>
            <w:vAlign w:val="center"/>
          </w:tcPr>
          <w:p>
            <w:pPr>
              <w:rPr>
                <w:rFonts w:hint="default" w:ascii="宋体" w:hAnsi="宋体" w:cs="宋体"/>
                <w:kern w:val="0"/>
                <w:sz w:val="24"/>
                <w:szCs w:val="24"/>
              </w:rPr>
            </w:pPr>
            <w:r>
              <w:rPr>
                <w:rFonts w:ascii="宋体" w:hAnsi="宋体" w:cs="宋体"/>
                <w:kern w:val="0"/>
                <w:sz w:val="24"/>
                <w:szCs w:val="24"/>
              </w:rPr>
              <w:t>术后随访</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支持麻醉医生进行术后访视记录；支持科室模板与个人模板功能实现快速填写；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638" w:type="pct"/>
            <w:vMerge w:val="continue"/>
            <w:noWrap w:val="0"/>
            <w:vAlign w:val="center"/>
          </w:tcPr>
          <w:p>
            <w:pPr>
              <w:jc w:val="left"/>
              <w:rPr>
                <w:rFonts w:hint="default" w:ascii="宋体" w:hAnsi="宋体" w:cs="宋体"/>
                <w:kern w:val="0"/>
                <w:sz w:val="24"/>
                <w:szCs w:val="24"/>
              </w:rPr>
            </w:pPr>
          </w:p>
        </w:tc>
        <w:tc>
          <w:tcPr>
            <w:tcW w:w="655" w:type="pct"/>
            <w:vMerge w:val="restart"/>
            <w:noWrap w:val="0"/>
            <w:vAlign w:val="center"/>
          </w:tcPr>
          <w:p>
            <w:pPr>
              <w:rPr>
                <w:rFonts w:hint="default" w:ascii="宋体" w:hAnsi="宋体" w:cs="宋体"/>
                <w:kern w:val="0"/>
                <w:sz w:val="24"/>
                <w:szCs w:val="24"/>
              </w:rPr>
            </w:pPr>
            <w:r>
              <w:rPr>
                <w:rFonts w:ascii="宋体" w:hAnsi="宋体" w:cs="宋体"/>
                <w:kern w:val="0"/>
                <w:sz w:val="24"/>
                <w:szCs w:val="24"/>
              </w:rPr>
              <w:t>复苏管理</w:t>
            </w:r>
          </w:p>
        </w:tc>
        <w:tc>
          <w:tcPr>
            <w:tcW w:w="1018" w:type="pct"/>
            <w:gridSpan w:val="2"/>
            <w:noWrap w:val="0"/>
            <w:vAlign w:val="center"/>
          </w:tcPr>
          <w:p>
            <w:pPr>
              <w:rPr>
                <w:rFonts w:hint="default" w:ascii="宋体" w:hAnsi="宋体" w:cs="宋体"/>
                <w:kern w:val="0"/>
                <w:sz w:val="24"/>
                <w:szCs w:val="24"/>
              </w:rPr>
            </w:pPr>
            <w:r>
              <w:rPr>
                <w:rFonts w:ascii="宋体" w:hAnsi="宋体" w:cs="宋体"/>
                <w:kern w:val="0"/>
                <w:sz w:val="24"/>
                <w:szCs w:val="24"/>
              </w:rPr>
              <w:t>复苏申请</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能够与术中麻醉记录功能进行集成，接收麻醉医生发送的复苏申请并保留床位；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trPr>
        <w:tc>
          <w:tcPr>
            <w:tcW w:w="638"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1018" w:type="pct"/>
            <w:gridSpan w:val="2"/>
            <w:noWrap w:val="0"/>
            <w:vAlign w:val="center"/>
          </w:tcPr>
          <w:p>
            <w:pPr>
              <w:rPr>
                <w:rFonts w:hint="default" w:ascii="宋体" w:hAnsi="宋体" w:cs="宋体"/>
                <w:kern w:val="0"/>
                <w:sz w:val="24"/>
                <w:szCs w:val="24"/>
              </w:rPr>
            </w:pPr>
            <w:r>
              <w:rPr>
                <w:rFonts w:ascii="宋体" w:hAnsi="宋体" w:cs="宋体"/>
                <w:kern w:val="0"/>
                <w:sz w:val="24"/>
                <w:szCs w:val="24"/>
              </w:rPr>
              <w:t>复苏记录</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操作模式需满足所见即所得（WYSIWYG）技术要求；支持多倍缩放，缩放图形不失真；能够完整记录复苏过程中麻醉用药、复苏事件、生命体征等信息；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638" w:type="pct"/>
            <w:vMerge w:val="continue"/>
            <w:noWrap w:val="0"/>
            <w:vAlign w:val="center"/>
          </w:tcPr>
          <w:p>
            <w:pPr>
              <w:jc w:val="left"/>
              <w:rPr>
                <w:rFonts w:hint="default" w:ascii="宋体" w:hAnsi="宋体" w:cs="宋体"/>
                <w:kern w:val="0"/>
                <w:sz w:val="24"/>
                <w:szCs w:val="24"/>
              </w:rPr>
            </w:pPr>
          </w:p>
        </w:tc>
        <w:tc>
          <w:tcPr>
            <w:tcW w:w="655" w:type="pct"/>
            <w:vMerge w:val="continue"/>
            <w:noWrap w:val="0"/>
            <w:vAlign w:val="center"/>
          </w:tcPr>
          <w:p>
            <w:pPr>
              <w:jc w:val="left"/>
              <w:rPr>
                <w:rFonts w:hint="default" w:ascii="宋体" w:hAnsi="宋体" w:cs="宋体"/>
                <w:kern w:val="0"/>
                <w:sz w:val="24"/>
                <w:szCs w:val="24"/>
              </w:rPr>
            </w:pPr>
          </w:p>
        </w:tc>
        <w:tc>
          <w:tcPr>
            <w:tcW w:w="1018" w:type="pct"/>
            <w:gridSpan w:val="2"/>
            <w:noWrap w:val="0"/>
            <w:vAlign w:val="center"/>
          </w:tcPr>
          <w:p>
            <w:pPr>
              <w:rPr>
                <w:rFonts w:hint="default" w:ascii="宋体" w:hAnsi="宋体" w:cs="宋体"/>
                <w:kern w:val="0"/>
                <w:sz w:val="24"/>
                <w:szCs w:val="24"/>
              </w:rPr>
            </w:pPr>
            <w:r>
              <w:rPr>
                <w:rFonts w:ascii="宋体" w:hAnsi="宋体" w:cs="宋体"/>
                <w:kern w:val="0"/>
                <w:sz w:val="24"/>
                <w:szCs w:val="24"/>
              </w:rPr>
              <w:t>病房交接</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能够自动带入复苏出室时的患者生命体征；支持科室模板与个人模板功能实现快速填写；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638" w:type="pct"/>
            <w:vMerge w:val="continue"/>
            <w:noWrap w:val="0"/>
            <w:vAlign w:val="center"/>
          </w:tcPr>
          <w:p>
            <w:pPr>
              <w:jc w:val="left"/>
              <w:rPr>
                <w:rFonts w:hint="default" w:ascii="宋体" w:hAnsi="宋体" w:cs="宋体"/>
                <w:kern w:val="0"/>
                <w:sz w:val="24"/>
                <w:szCs w:val="24"/>
              </w:rPr>
            </w:pPr>
          </w:p>
        </w:tc>
        <w:tc>
          <w:tcPr>
            <w:tcW w:w="1674" w:type="pct"/>
            <w:gridSpan w:val="3"/>
            <w:noWrap w:val="0"/>
            <w:vAlign w:val="center"/>
          </w:tcPr>
          <w:p>
            <w:pPr>
              <w:jc w:val="left"/>
              <w:rPr>
                <w:rFonts w:hint="default" w:ascii="宋体" w:hAnsi="宋体" w:cs="宋体"/>
                <w:kern w:val="0"/>
                <w:sz w:val="24"/>
                <w:szCs w:val="24"/>
              </w:rPr>
            </w:pPr>
            <w:r>
              <w:rPr>
                <w:rFonts w:ascii="宋体" w:hAnsi="宋体" w:cs="宋体"/>
                <w:kern w:val="0"/>
                <w:sz w:val="24"/>
                <w:szCs w:val="24"/>
              </w:rPr>
              <w:t>工作量统计</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包括：麻醉医生工作量统计；麻醉医生ASA工作量统计；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638" w:type="pct"/>
            <w:vMerge w:val="continue"/>
            <w:noWrap w:val="0"/>
            <w:vAlign w:val="center"/>
          </w:tcPr>
          <w:p>
            <w:pPr>
              <w:jc w:val="left"/>
              <w:rPr>
                <w:rFonts w:hint="default" w:ascii="宋体" w:hAnsi="宋体" w:cs="宋体"/>
                <w:kern w:val="0"/>
                <w:sz w:val="24"/>
                <w:szCs w:val="24"/>
              </w:rPr>
            </w:pPr>
          </w:p>
        </w:tc>
        <w:tc>
          <w:tcPr>
            <w:tcW w:w="1674" w:type="pct"/>
            <w:gridSpan w:val="3"/>
            <w:noWrap w:val="0"/>
            <w:vAlign w:val="center"/>
          </w:tcPr>
          <w:p>
            <w:pPr>
              <w:jc w:val="left"/>
              <w:rPr>
                <w:rFonts w:hint="default" w:ascii="宋体" w:hAnsi="宋体" w:cs="宋体"/>
                <w:kern w:val="0"/>
                <w:sz w:val="24"/>
                <w:szCs w:val="24"/>
              </w:rPr>
            </w:pPr>
            <w:r>
              <w:rPr>
                <w:rFonts w:ascii="宋体" w:hAnsi="宋体" w:cs="宋体"/>
                <w:kern w:val="0"/>
                <w:sz w:val="24"/>
                <w:szCs w:val="24"/>
              </w:rPr>
              <w:t>质控统计</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包括：三甲评审指标统计；麻醉质控指标统计；麻醉效果评估统计；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638" w:type="pct"/>
            <w:vMerge w:val="restart"/>
            <w:noWrap w:val="0"/>
            <w:vAlign w:val="center"/>
          </w:tcPr>
          <w:p>
            <w:pPr>
              <w:ind w:firstLine="240" w:firstLineChars="100"/>
              <w:jc w:val="left"/>
              <w:rPr>
                <w:rFonts w:hint="default" w:ascii="宋体" w:hAnsi="宋体" w:cs="宋体"/>
                <w:kern w:val="0"/>
                <w:sz w:val="24"/>
                <w:szCs w:val="24"/>
              </w:rPr>
            </w:pPr>
            <w:r>
              <w:rPr>
                <w:rFonts w:ascii="宋体" w:hAnsi="宋体" w:cs="宋体"/>
                <w:kern w:val="0"/>
                <w:sz w:val="24"/>
                <w:szCs w:val="24"/>
              </w:rPr>
              <w:t>基础平台</w:t>
            </w:r>
          </w:p>
        </w:tc>
        <w:tc>
          <w:tcPr>
            <w:tcW w:w="1092" w:type="pct"/>
            <w:gridSpan w:val="2"/>
            <w:vMerge w:val="restart"/>
            <w:noWrap w:val="0"/>
            <w:vAlign w:val="center"/>
          </w:tcPr>
          <w:p>
            <w:pPr>
              <w:rPr>
                <w:rFonts w:hint="default" w:ascii="宋体" w:hAnsi="宋体" w:cs="宋体"/>
                <w:kern w:val="0"/>
                <w:sz w:val="24"/>
                <w:szCs w:val="24"/>
              </w:rPr>
            </w:pPr>
            <w:r>
              <w:rPr>
                <w:rFonts w:ascii="宋体" w:hAnsi="宋体" w:cs="宋体"/>
                <w:kern w:val="0"/>
                <w:sz w:val="24"/>
                <w:szCs w:val="24"/>
              </w:rPr>
              <w:t>人员权限</w:t>
            </w:r>
          </w:p>
        </w:tc>
        <w:tc>
          <w:tcPr>
            <w:tcW w:w="582" w:type="pct"/>
            <w:noWrap w:val="0"/>
            <w:vAlign w:val="center"/>
          </w:tcPr>
          <w:p>
            <w:pPr>
              <w:rPr>
                <w:rFonts w:hint="default" w:ascii="宋体" w:hAnsi="宋体" w:cs="宋体"/>
                <w:kern w:val="0"/>
                <w:sz w:val="24"/>
                <w:szCs w:val="24"/>
              </w:rPr>
            </w:pPr>
            <w:r>
              <w:rPr>
                <w:rFonts w:ascii="宋体" w:hAnsi="宋体" w:cs="宋体"/>
                <w:kern w:val="0"/>
                <w:sz w:val="24"/>
                <w:szCs w:val="24"/>
              </w:rPr>
              <w:t>机构人员维护</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支持组织机构和人员数据的维护功能；支持批量分配系统账号功能；支持人员转科功能；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638" w:type="pct"/>
            <w:vMerge w:val="continue"/>
            <w:noWrap w:val="0"/>
            <w:vAlign w:val="center"/>
          </w:tcPr>
          <w:p>
            <w:pPr>
              <w:jc w:val="left"/>
              <w:rPr>
                <w:rFonts w:hint="default" w:ascii="宋体" w:hAnsi="宋体" w:cs="宋体"/>
                <w:kern w:val="0"/>
                <w:sz w:val="24"/>
                <w:szCs w:val="24"/>
              </w:rPr>
            </w:pPr>
          </w:p>
        </w:tc>
        <w:tc>
          <w:tcPr>
            <w:tcW w:w="1092" w:type="pct"/>
            <w:gridSpan w:val="2"/>
            <w:vMerge w:val="continue"/>
            <w:noWrap w:val="0"/>
            <w:vAlign w:val="center"/>
          </w:tcPr>
          <w:p>
            <w:pPr>
              <w:jc w:val="left"/>
              <w:rPr>
                <w:rFonts w:hint="default" w:ascii="宋体" w:hAnsi="宋体" w:cs="宋体"/>
                <w:kern w:val="0"/>
                <w:sz w:val="24"/>
                <w:szCs w:val="24"/>
              </w:rPr>
            </w:pPr>
          </w:p>
        </w:tc>
        <w:tc>
          <w:tcPr>
            <w:tcW w:w="582" w:type="pct"/>
            <w:noWrap w:val="0"/>
            <w:vAlign w:val="center"/>
          </w:tcPr>
          <w:p>
            <w:pPr>
              <w:rPr>
                <w:rFonts w:hint="default" w:ascii="宋体" w:hAnsi="宋体" w:cs="宋体"/>
                <w:kern w:val="0"/>
                <w:sz w:val="24"/>
                <w:szCs w:val="24"/>
              </w:rPr>
            </w:pPr>
            <w:r>
              <w:rPr>
                <w:rFonts w:ascii="宋体" w:hAnsi="宋体" w:cs="宋体"/>
                <w:kern w:val="0"/>
                <w:sz w:val="24"/>
                <w:szCs w:val="24"/>
              </w:rPr>
              <w:t>角色和权限</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支持用户自定义角色功能；支持为每类角色分配不同权限功能；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trPr>
        <w:tc>
          <w:tcPr>
            <w:tcW w:w="638" w:type="pct"/>
            <w:vMerge w:val="continue"/>
            <w:noWrap w:val="0"/>
            <w:vAlign w:val="center"/>
          </w:tcPr>
          <w:p>
            <w:pPr>
              <w:jc w:val="left"/>
              <w:rPr>
                <w:rFonts w:hint="default" w:ascii="宋体" w:hAnsi="宋体" w:cs="宋体"/>
                <w:kern w:val="0"/>
                <w:sz w:val="24"/>
                <w:szCs w:val="24"/>
              </w:rPr>
            </w:pPr>
          </w:p>
        </w:tc>
        <w:tc>
          <w:tcPr>
            <w:tcW w:w="1092" w:type="pct"/>
            <w:gridSpan w:val="2"/>
            <w:vMerge w:val="continue"/>
            <w:noWrap w:val="0"/>
            <w:vAlign w:val="center"/>
          </w:tcPr>
          <w:p>
            <w:pPr>
              <w:jc w:val="left"/>
              <w:rPr>
                <w:rFonts w:hint="default" w:ascii="宋体" w:hAnsi="宋体" w:cs="宋体"/>
                <w:kern w:val="0"/>
                <w:sz w:val="24"/>
                <w:szCs w:val="24"/>
              </w:rPr>
            </w:pPr>
          </w:p>
        </w:tc>
        <w:tc>
          <w:tcPr>
            <w:tcW w:w="582" w:type="pct"/>
            <w:noWrap w:val="0"/>
            <w:vAlign w:val="center"/>
          </w:tcPr>
          <w:p>
            <w:pPr>
              <w:rPr>
                <w:rFonts w:hint="default" w:ascii="宋体" w:hAnsi="宋体" w:cs="宋体"/>
                <w:kern w:val="0"/>
                <w:sz w:val="24"/>
                <w:szCs w:val="24"/>
              </w:rPr>
            </w:pPr>
            <w:r>
              <w:rPr>
                <w:rFonts w:ascii="宋体" w:hAnsi="宋体" w:cs="宋体"/>
                <w:kern w:val="0"/>
                <w:sz w:val="24"/>
                <w:szCs w:val="24"/>
              </w:rPr>
              <w:t>麻醉字典</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支持各类麻醉字典的维护功能，包括：麻醉药品；麻醉方法；麻醉器械；麻醉事件；监测项目；血液成分；神经阻滞；血管穿刺；用药途径；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38" w:type="pct"/>
            <w:vMerge w:val="continue"/>
            <w:noWrap w:val="0"/>
            <w:vAlign w:val="center"/>
          </w:tcPr>
          <w:p>
            <w:pPr>
              <w:jc w:val="left"/>
              <w:rPr>
                <w:rFonts w:hint="default" w:ascii="宋体" w:hAnsi="宋体" w:cs="宋体"/>
                <w:kern w:val="0"/>
                <w:sz w:val="24"/>
                <w:szCs w:val="24"/>
              </w:rPr>
            </w:pPr>
          </w:p>
        </w:tc>
        <w:tc>
          <w:tcPr>
            <w:tcW w:w="1092" w:type="pct"/>
            <w:gridSpan w:val="2"/>
            <w:vMerge w:val="restart"/>
            <w:noWrap w:val="0"/>
            <w:vAlign w:val="center"/>
          </w:tcPr>
          <w:p>
            <w:pPr>
              <w:rPr>
                <w:rFonts w:hint="default" w:ascii="宋体" w:hAnsi="宋体" w:cs="宋体"/>
                <w:kern w:val="0"/>
                <w:sz w:val="24"/>
                <w:szCs w:val="24"/>
              </w:rPr>
            </w:pPr>
            <w:r>
              <w:rPr>
                <w:rFonts w:ascii="宋体" w:hAnsi="宋体" w:cs="宋体"/>
                <w:kern w:val="0"/>
                <w:sz w:val="24"/>
                <w:szCs w:val="24"/>
              </w:rPr>
              <w:t>登录模式</w:t>
            </w:r>
          </w:p>
        </w:tc>
        <w:tc>
          <w:tcPr>
            <w:tcW w:w="582" w:type="pct"/>
            <w:noWrap w:val="0"/>
            <w:vAlign w:val="center"/>
          </w:tcPr>
          <w:p>
            <w:pPr>
              <w:rPr>
                <w:rFonts w:hint="default" w:ascii="宋体" w:hAnsi="宋体" w:cs="宋体"/>
                <w:kern w:val="0"/>
                <w:sz w:val="24"/>
                <w:szCs w:val="24"/>
              </w:rPr>
            </w:pPr>
            <w:r>
              <w:rPr>
                <w:rFonts w:ascii="宋体" w:hAnsi="宋体" w:cs="宋体"/>
                <w:kern w:val="0"/>
                <w:sz w:val="24"/>
                <w:szCs w:val="24"/>
              </w:rPr>
              <w:t>工号密码登录</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通过工号和密码登录后使用系统；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38" w:type="pct"/>
            <w:vMerge w:val="continue"/>
            <w:noWrap w:val="0"/>
            <w:vAlign w:val="center"/>
          </w:tcPr>
          <w:p>
            <w:pPr>
              <w:jc w:val="left"/>
              <w:rPr>
                <w:rFonts w:hint="default" w:ascii="宋体" w:hAnsi="宋体" w:cs="宋体"/>
                <w:kern w:val="0"/>
                <w:sz w:val="24"/>
                <w:szCs w:val="24"/>
              </w:rPr>
            </w:pPr>
          </w:p>
        </w:tc>
        <w:tc>
          <w:tcPr>
            <w:tcW w:w="1092" w:type="pct"/>
            <w:gridSpan w:val="2"/>
            <w:vMerge w:val="continue"/>
            <w:noWrap w:val="0"/>
            <w:vAlign w:val="center"/>
          </w:tcPr>
          <w:p>
            <w:pPr>
              <w:jc w:val="left"/>
              <w:rPr>
                <w:rFonts w:hint="default" w:ascii="宋体" w:hAnsi="宋体" w:cs="宋体"/>
                <w:kern w:val="0"/>
                <w:sz w:val="24"/>
                <w:szCs w:val="24"/>
              </w:rPr>
            </w:pPr>
          </w:p>
        </w:tc>
        <w:tc>
          <w:tcPr>
            <w:tcW w:w="582" w:type="pct"/>
            <w:noWrap w:val="0"/>
            <w:vAlign w:val="center"/>
          </w:tcPr>
          <w:p>
            <w:pPr>
              <w:rPr>
                <w:rFonts w:hint="default" w:ascii="宋体" w:hAnsi="宋体" w:cs="宋体"/>
                <w:kern w:val="0"/>
                <w:sz w:val="24"/>
                <w:szCs w:val="24"/>
              </w:rPr>
            </w:pPr>
            <w:r>
              <w:rPr>
                <w:rFonts w:ascii="宋体" w:hAnsi="宋体" w:cs="宋体"/>
                <w:kern w:val="0"/>
                <w:sz w:val="24"/>
                <w:szCs w:val="24"/>
              </w:rPr>
              <w:t>人脸识别登录</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支持人脸识别身份登录系统功能；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638" w:type="pct"/>
            <w:vMerge w:val="continue"/>
            <w:noWrap w:val="0"/>
            <w:vAlign w:val="center"/>
          </w:tcPr>
          <w:p>
            <w:pPr>
              <w:jc w:val="left"/>
              <w:rPr>
                <w:rFonts w:hint="default" w:ascii="宋体" w:hAnsi="宋体" w:cs="宋体"/>
                <w:kern w:val="0"/>
                <w:sz w:val="24"/>
                <w:szCs w:val="24"/>
              </w:rPr>
            </w:pPr>
          </w:p>
        </w:tc>
        <w:tc>
          <w:tcPr>
            <w:tcW w:w="1092" w:type="pct"/>
            <w:gridSpan w:val="2"/>
            <w:vMerge w:val="restart"/>
            <w:noWrap w:val="0"/>
            <w:vAlign w:val="center"/>
          </w:tcPr>
          <w:p>
            <w:pPr>
              <w:rPr>
                <w:rFonts w:hint="default" w:ascii="宋体" w:hAnsi="宋体" w:cs="宋体"/>
                <w:kern w:val="0"/>
                <w:sz w:val="24"/>
                <w:szCs w:val="24"/>
              </w:rPr>
            </w:pPr>
            <w:r>
              <w:rPr>
                <w:rFonts w:ascii="宋体" w:hAnsi="宋体" w:cs="宋体"/>
                <w:kern w:val="0"/>
                <w:sz w:val="24"/>
                <w:szCs w:val="24"/>
              </w:rPr>
              <w:t>远程指导与沟通</w:t>
            </w:r>
          </w:p>
        </w:tc>
        <w:tc>
          <w:tcPr>
            <w:tcW w:w="582" w:type="pct"/>
            <w:noWrap w:val="0"/>
            <w:vAlign w:val="center"/>
          </w:tcPr>
          <w:p>
            <w:pPr>
              <w:rPr>
                <w:rFonts w:hint="default" w:ascii="宋体" w:hAnsi="宋体" w:cs="宋体"/>
                <w:kern w:val="0"/>
                <w:sz w:val="24"/>
                <w:szCs w:val="24"/>
              </w:rPr>
            </w:pPr>
            <w:r>
              <w:rPr>
                <w:rFonts w:ascii="宋体" w:hAnsi="宋体" w:cs="宋体"/>
                <w:kern w:val="0"/>
                <w:sz w:val="24"/>
                <w:szCs w:val="24"/>
              </w:rPr>
              <w:t>治疗间音视频</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支持治疗间相互发起音视频会诊和通讯功能；支持多人同时接入一个治疗间功能；支持远程发起音视频会诊功能；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638" w:type="pct"/>
            <w:vMerge w:val="continue"/>
            <w:noWrap w:val="0"/>
            <w:vAlign w:val="center"/>
          </w:tcPr>
          <w:p>
            <w:pPr>
              <w:jc w:val="left"/>
              <w:rPr>
                <w:rFonts w:hint="default" w:ascii="宋体" w:hAnsi="宋体" w:cs="宋体"/>
                <w:kern w:val="0"/>
                <w:sz w:val="24"/>
                <w:szCs w:val="24"/>
              </w:rPr>
            </w:pPr>
          </w:p>
        </w:tc>
        <w:tc>
          <w:tcPr>
            <w:tcW w:w="1092" w:type="pct"/>
            <w:gridSpan w:val="2"/>
            <w:vMerge w:val="continue"/>
            <w:noWrap w:val="0"/>
            <w:vAlign w:val="center"/>
          </w:tcPr>
          <w:p>
            <w:pPr>
              <w:jc w:val="left"/>
              <w:rPr>
                <w:rFonts w:hint="default" w:ascii="宋体" w:hAnsi="宋体" w:cs="宋体"/>
                <w:kern w:val="0"/>
                <w:sz w:val="24"/>
                <w:szCs w:val="24"/>
              </w:rPr>
            </w:pPr>
          </w:p>
        </w:tc>
        <w:tc>
          <w:tcPr>
            <w:tcW w:w="582" w:type="pct"/>
            <w:noWrap w:val="0"/>
            <w:vAlign w:val="center"/>
          </w:tcPr>
          <w:p>
            <w:pPr>
              <w:rPr>
                <w:rFonts w:hint="default" w:ascii="宋体" w:hAnsi="宋体" w:cs="宋体"/>
                <w:kern w:val="0"/>
                <w:sz w:val="24"/>
                <w:szCs w:val="24"/>
              </w:rPr>
            </w:pPr>
            <w:r>
              <w:rPr>
                <w:rFonts w:ascii="宋体" w:hAnsi="宋体" w:cs="宋体"/>
                <w:kern w:val="0"/>
                <w:sz w:val="24"/>
                <w:szCs w:val="24"/>
              </w:rPr>
              <w:t>护士站音视频</w:t>
            </w:r>
          </w:p>
        </w:tc>
        <w:tc>
          <w:tcPr>
            <w:tcW w:w="268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支持护士站发起音视频呼叫功能；护士站与治疗间音视频直通功能；</w:t>
            </w:r>
          </w:p>
        </w:tc>
      </w:tr>
    </w:tbl>
    <w:p>
      <w:pPr>
        <w:pStyle w:val="5"/>
        <w:numPr>
          <w:ilvl w:val="2"/>
          <w:numId w:val="5"/>
        </w:numPr>
        <w:spacing w:before="0" w:after="0" w:line="360" w:lineRule="auto"/>
        <w:rPr>
          <w:rFonts w:ascii="宋体" w:hAnsi="宋体"/>
        </w:rPr>
      </w:pPr>
      <w:r>
        <w:rPr>
          <w:rFonts w:hint="eastAsia" w:ascii="宋体" w:hAnsi="宋体"/>
        </w:rPr>
        <w:t>康复治疗管理信息系统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4"/>
        <w:gridCol w:w="1118"/>
        <w:gridCol w:w="1488"/>
        <w:gridCol w:w="52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72" w:hRule="atLeast"/>
          <w:tblHeader/>
        </w:trPr>
        <w:tc>
          <w:tcPr>
            <w:tcW w:w="419" w:type="pct"/>
            <w:noWrap/>
            <w:vAlign w:val="center"/>
          </w:tcPr>
          <w:p>
            <w:pPr>
              <w:jc w:val="center"/>
              <w:textAlignment w:val="center"/>
              <w:rPr>
                <w:rFonts w:hint="default" w:ascii="宋体" w:hAnsi="宋体" w:cs="宋体"/>
                <w:b/>
                <w:bCs/>
                <w:sz w:val="24"/>
              </w:rPr>
            </w:pPr>
            <w:r>
              <w:rPr>
                <w:rFonts w:ascii="宋体" w:hAnsi="宋体" w:cs="宋体"/>
                <w:b/>
                <w:bCs/>
                <w:kern w:val="0"/>
                <w:sz w:val="24"/>
                <w:lang w:bidi="ar"/>
              </w:rPr>
              <w:t>序号</w:t>
            </w:r>
          </w:p>
        </w:tc>
        <w:tc>
          <w:tcPr>
            <w:tcW w:w="1529" w:type="pct"/>
            <w:gridSpan w:val="2"/>
            <w:noWrap w:val="0"/>
            <w:vAlign w:val="center"/>
          </w:tcPr>
          <w:p>
            <w:pPr>
              <w:jc w:val="center"/>
              <w:textAlignment w:val="center"/>
              <w:rPr>
                <w:rFonts w:hint="default" w:ascii="宋体" w:hAnsi="宋体" w:cs="宋体"/>
                <w:b/>
                <w:bCs/>
                <w:sz w:val="24"/>
              </w:rPr>
            </w:pPr>
            <w:r>
              <w:rPr>
                <w:rFonts w:ascii="宋体" w:hAnsi="宋体" w:cs="宋体"/>
                <w:b/>
                <w:bCs/>
                <w:kern w:val="0"/>
                <w:sz w:val="24"/>
                <w:lang w:bidi="ar"/>
              </w:rPr>
              <w:t>功能模块</w:t>
            </w:r>
          </w:p>
        </w:tc>
        <w:tc>
          <w:tcPr>
            <w:tcW w:w="3052" w:type="pct"/>
            <w:noWrap/>
            <w:vAlign w:val="center"/>
          </w:tcPr>
          <w:p>
            <w:pPr>
              <w:jc w:val="center"/>
              <w:textAlignment w:val="center"/>
              <w:rPr>
                <w:rFonts w:hint="default" w:ascii="宋体" w:hAnsi="宋体" w:cs="宋体"/>
                <w:b/>
                <w:bCs/>
                <w:sz w:val="24"/>
              </w:rPr>
            </w:pPr>
            <w:r>
              <w:rPr>
                <w:rFonts w:ascii="宋体" w:hAnsi="宋体" w:cs="宋体"/>
                <w:b/>
                <w:bCs/>
                <w:kern w:val="0"/>
                <w:sz w:val="24"/>
                <w:lang w:bidi="ar"/>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0"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1</w:t>
            </w:r>
          </w:p>
        </w:tc>
        <w:tc>
          <w:tcPr>
            <w:tcW w:w="656" w:type="pct"/>
            <w:noWrap w:val="0"/>
            <w:vAlign w:val="center"/>
          </w:tcPr>
          <w:p>
            <w:pPr>
              <w:jc w:val="left"/>
              <w:textAlignment w:val="center"/>
              <w:rPr>
                <w:rFonts w:hint="default" w:ascii="宋体" w:hAnsi="宋体" w:cs="宋体"/>
                <w:sz w:val="24"/>
              </w:rPr>
            </w:pPr>
            <w:r>
              <w:rPr>
                <w:rFonts w:ascii="宋体" w:hAnsi="宋体" w:cs="宋体"/>
                <w:sz w:val="24"/>
              </w:rPr>
              <w:t>患者管理</w:t>
            </w:r>
          </w:p>
        </w:tc>
        <w:tc>
          <w:tcPr>
            <w:tcW w:w="873" w:type="pct"/>
            <w:noWrap w:val="0"/>
            <w:vAlign w:val="center"/>
          </w:tcPr>
          <w:p>
            <w:pPr>
              <w:jc w:val="left"/>
              <w:rPr>
                <w:rFonts w:hint="default" w:ascii="宋体" w:hAnsi="宋体" w:cs="宋体"/>
                <w:sz w:val="24"/>
              </w:rPr>
            </w:pPr>
            <w:r>
              <w:rPr>
                <w:rFonts w:ascii="宋体" w:hAnsi="宋体" w:cs="宋体"/>
                <w:kern w:val="0"/>
                <w:sz w:val="24"/>
                <w:lang w:bidi="ar"/>
              </w:rPr>
              <w:t>患者一览</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支持查阅患者就诊记录、基本信息、医嘱记录、检查报告、检验报告、病历文书、等详细临床资料，使治疗师在短时间内对患者就诊情况有整体了解，为患者提供高效、快捷、准确的医疗服务。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2</w:t>
            </w:r>
          </w:p>
        </w:tc>
        <w:tc>
          <w:tcPr>
            <w:tcW w:w="656" w:type="pct"/>
            <w:noWrap w:val="0"/>
            <w:vAlign w:val="center"/>
          </w:tcPr>
          <w:p>
            <w:pPr>
              <w:jc w:val="left"/>
              <w:textAlignment w:val="center"/>
              <w:rPr>
                <w:rFonts w:hint="default" w:ascii="宋体" w:hAnsi="宋体" w:cs="宋体"/>
                <w:sz w:val="24"/>
              </w:rPr>
            </w:pPr>
            <w:r>
              <w:rPr>
                <w:rFonts w:ascii="宋体" w:hAnsi="宋体" w:cs="宋体"/>
                <w:kern w:val="0"/>
                <w:sz w:val="24"/>
                <w:lang w:bidi="ar"/>
              </w:rPr>
              <w:t>待办提醒</w:t>
            </w:r>
          </w:p>
        </w:tc>
        <w:tc>
          <w:tcPr>
            <w:tcW w:w="873" w:type="pct"/>
            <w:noWrap w:val="0"/>
            <w:vAlign w:val="center"/>
          </w:tcPr>
          <w:p>
            <w:pPr>
              <w:jc w:val="left"/>
              <w:rPr>
                <w:rFonts w:hint="default" w:ascii="宋体" w:hAnsi="宋体" w:cs="宋体"/>
                <w:sz w:val="24"/>
              </w:rPr>
            </w:pPr>
            <w:r>
              <w:rPr>
                <w:rFonts w:ascii="宋体" w:hAnsi="宋体" w:cs="宋体"/>
                <w:kern w:val="0"/>
                <w:sz w:val="24"/>
                <w:lang w:bidi="ar"/>
              </w:rPr>
              <w:t>待办提醒</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支持待执行治疗记录查看。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3</w:t>
            </w:r>
          </w:p>
        </w:tc>
        <w:tc>
          <w:tcPr>
            <w:tcW w:w="656" w:type="pct"/>
            <w:vMerge w:val="restart"/>
            <w:noWrap w:val="0"/>
            <w:vAlign w:val="center"/>
          </w:tcPr>
          <w:p>
            <w:pPr>
              <w:jc w:val="left"/>
              <w:textAlignment w:val="center"/>
              <w:rPr>
                <w:rFonts w:hint="default" w:ascii="宋体" w:hAnsi="宋体" w:cs="宋体"/>
                <w:sz w:val="24"/>
              </w:rPr>
            </w:pPr>
            <w:r>
              <w:rPr>
                <w:rFonts w:ascii="宋体" w:hAnsi="宋体" w:cs="宋体"/>
                <w:kern w:val="0"/>
                <w:sz w:val="24"/>
                <w:lang w:bidi="ar"/>
              </w:rPr>
              <w:t>消息通知</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通知治疗师</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支持治疗安排消息通知治疗师。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4</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通知患者</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支持治疗安排消息通知患者。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5</w:t>
            </w:r>
          </w:p>
        </w:tc>
        <w:tc>
          <w:tcPr>
            <w:tcW w:w="656" w:type="pct"/>
            <w:vMerge w:val="restart"/>
            <w:noWrap w:val="0"/>
            <w:vAlign w:val="center"/>
          </w:tcPr>
          <w:p>
            <w:pPr>
              <w:jc w:val="left"/>
              <w:textAlignment w:val="center"/>
              <w:rPr>
                <w:rFonts w:hint="default" w:ascii="宋体" w:hAnsi="宋体" w:cs="宋体"/>
                <w:sz w:val="24"/>
              </w:rPr>
            </w:pPr>
            <w:r>
              <w:rPr>
                <w:rFonts w:ascii="宋体" w:hAnsi="宋体" w:cs="宋体"/>
                <w:kern w:val="0"/>
                <w:sz w:val="24"/>
                <w:lang w:bidi="ar"/>
              </w:rPr>
              <w:t>基础数据管理</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康复治疗项目维护</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支持对康复类医嘱项目进行标记及康复治疗项目信息维护。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6</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治疗设备管理</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支持治疗设备信息维护。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7</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治疗室管理</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支持治疗室信息维护，并为患者治疗安排打印提供具体位置标注。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36"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8</w:t>
            </w:r>
          </w:p>
        </w:tc>
        <w:tc>
          <w:tcPr>
            <w:tcW w:w="656" w:type="pct"/>
            <w:vMerge w:val="restart"/>
            <w:noWrap w:val="0"/>
            <w:vAlign w:val="center"/>
          </w:tcPr>
          <w:p>
            <w:pPr>
              <w:jc w:val="left"/>
              <w:textAlignment w:val="center"/>
              <w:rPr>
                <w:rFonts w:hint="default" w:ascii="宋体" w:hAnsi="宋体" w:cs="宋体"/>
                <w:sz w:val="24"/>
              </w:rPr>
            </w:pPr>
            <w:r>
              <w:rPr>
                <w:rFonts w:ascii="宋体" w:hAnsi="宋体" w:cs="宋体"/>
                <w:kern w:val="0"/>
                <w:sz w:val="24"/>
                <w:lang w:bidi="ar"/>
              </w:rPr>
              <w:t>人员管理</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科室、康复单元管理</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支持多个康复科室组成康复单元，对于康复单元内的患者，治疗师、治疗设备、治疗室等医疗资源共享。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9</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角色管理、权限分配</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支持多角色维护，并提供一键复制其他角色权限功能。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10</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治疗师、康复医疗团队维护</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支持治疗师信息维护，并支持创建康复医疗团队。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36"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11</w:t>
            </w:r>
          </w:p>
        </w:tc>
        <w:tc>
          <w:tcPr>
            <w:tcW w:w="656" w:type="pct"/>
            <w:vMerge w:val="restart"/>
            <w:noWrap w:val="0"/>
            <w:vAlign w:val="center"/>
          </w:tcPr>
          <w:p>
            <w:pPr>
              <w:jc w:val="left"/>
              <w:textAlignment w:val="center"/>
              <w:rPr>
                <w:rFonts w:hint="default" w:ascii="宋体" w:hAnsi="宋体" w:cs="宋体"/>
                <w:sz w:val="24"/>
              </w:rPr>
            </w:pPr>
            <w:r>
              <w:rPr>
                <w:rFonts w:ascii="宋体" w:hAnsi="宋体" w:cs="宋体"/>
                <w:kern w:val="0"/>
                <w:sz w:val="24"/>
                <w:lang w:bidi="ar"/>
              </w:rPr>
              <w:t>治疗师排班</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治疗师排班</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支持按人员、按日期复合批量排班，支持复制上周排班、历史排班查看等功能，支持排班记录导出。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12</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班次管理</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支持班次信息维护。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13</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节假日管理</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支持节假日管理及标记。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14</w:t>
            </w:r>
          </w:p>
        </w:tc>
        <w:tc>
          <w:tcPr>
            <w:tcW w:w="656" w:type="pct"/>
            <w:vMerge w:val="restart"/>
            <w:noWrap w:val="0"/>
            <w:vAlign w:val="center"/>
          </w:tcPr>
          <w:p>
            <w:pPr>
              <w:jc w:val="left"/>
              <w:textAlignment w:val="center"/>
              <w:rPr>
                <w:rFonts w:hint="default" w:ascii="宋体" w:hAnsi="宋体" w:cs="宋体"/>
                <w:sz w:val="24"/>
              </w:rPr>
            </w:pPr>
            <w:r>
              <w:rPr>
                <w:rFonts w:ascii="宋体" w:hAnsi="宋体" w:cs="宋体"/>
                <w:kern w:val="0"/>
                <w:sz w:val="24"/>
                <w:lang w:bidi="ar"/>
              </w:rPr>
              <w:t>治疗安排</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自动排程</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支持根据医生下达的康复治疗医嘱，遵循排程规则自动进行治疗安排。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15</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卡片拖动式手动排程</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支持对患者卡片进行拖动式排程，操作简单方便，排程时并支持查看医嘱详情。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16</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自定义组合排程</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支持同一患者可搭配治疗的项目自定义组合排程。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17</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异常排程一键调整</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支持对治疗师请假、设备故障等异常排程进行一键调整。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18</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排程撤回</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支持排程后撤回排程信息。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19</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多维度治疗安排一览</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支持按治疗师、患者、治疗室、治疗设备等维度查看对应的治疗安排详情。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20</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患者治疗安排打印</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支持患者治疗安排批量打印，并提供扫码在线查看功能。</w:t>
            </w:r>
          </w:p>
          <w:p>
            <w:pP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21</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排程规则配置</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支持排程规则配置，合理化利用医疗资源。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22</w:t>
            </w:r>
          </w:p>
        </w:tc>
        <w:tc>
          <w:tcPr>
            <w:tcW w:w="656" w:type="pct"/>
            <w:noWrap w:val="0"/>
            <w:vAlign w:val="center"/>
          </w:tcPr>
          <w:p>
            <w:pPr>
              <w:jc w:val="left"/>
              <w:textAlignment w:val="center"/>
              <w:rPr>
                <w:rFonts w:hint="default" w:ascii="宋体" w:hAnsi="宋体" w:cs="宋体"/>
                <w:sz w:val="24"/>
              </w:rPr>
            </w:pPr>
            <w:r>
              <w:rPr>
                <w:rFonts w:ascii="宋体" w:hAnsi="宋体" w:cs="宋体"/>
                <w:kern w:val="0"/>
                <w:sz w:val="24"/>
                <w:lang w:bidi="ar"/>
              </w:rPr>
              <w:t>治疗项目执行</w:t>
            </w:r>
          </w:p>
        </w:tc>
        <w:tc>
          <w:tcPr>
            <w:tcW w:w="873" w:type="pct"/>
            <w:noWrap w:val="0"/>
            <w:vAlign w:val="center"/>
          </w:tcPr>
          <w:p>
            <w:pPr>
              <w:jc w:val="left"/>
              <w:rPr>
                <w:rFonts w:hint="default" w:ascii="宋体" w:hAnsi="宋体" w:cs="宋体"/>
                <w:sz w:val="24"/>
              </w:rPr>
            </w:pPr>
            <w:r>
              <w:rPr>
                <w:rFonts w:ascii="宋体" w:hAnsi="宋体" w:cs="宋体"/>
                <w:sz w:val="24"/>
              </w:rPr>
              <w:t>治疗项目执行</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支持对待执行治疗项目进行批量执行，并提供按患者、治疗师等检索功能。支持已执行记录查看。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36"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23</w:t>
            </w:r>
          </w:p>
        </w:tc>
        <w:tc>
          <w:tcPr>
            <w:tcW w:w="656" w:type="pct"/>
            <w:vMerge w:val="restart"/>
            <w:noWrap w:val="0"/>
            <w:vAlign w:val="center"/>
          </w:tcPr>
          <w:p>
            <w:pPr>
              <w:jc w:val="left"/>
              <w:textAlignment w:val="center"/>
              <w:rPr>
                <w:rFonts w:hint="default" w:ascii="宋体" w:hAnsi="宋体" w:cs="宋体"/>
                <w:sz w:val="24"/>
              </w:rPr>
            </w:pPr>
            <w:r>
              <w:rPr>
                <w:rFonts w:ascii="宋体" w:hAnsi="宋体" w:cs="宋体"/>
                <w:kern w:val="0"/>
                <w:sz w:val="24"/>
                <w:lang w:bidi="ar"/>
              </w:rPr>
              <w:t>康复评定</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康复评定</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可根据患者的病症提供推荐评定方案和历史评定方案，快速选择评定量表，评定量表数据结构化存储。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24</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康复评定对比</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支持对历次评定数据进行对比分析，包括数值对比和图形化对比。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25</w:t>
            </w:r>
          </w:p>
        </w:tc>
        <w:tc>
          <w:tcPr>
            <w:tcW w:w="656" w:type="pct"/>
            <w:noWrap w:val="0"/>
            <w:vAlign w:val="center"/>
          </w:tcPr>
          <w:p>
            <w:pPr>
              <w:jc w:val="left"/>
              <w:textAlignment w:val="center"/>
              <w:rPr>
                <w:rFonts w:hint="default" w:ascii="宋体" w:hAnsi="宋体" w:cs="宋体"/>
                <w:sz w:val="24"/>
              </w:rPr>
            </w:pPr>
            <w:r>
              <w:rPr>
                <w:rFonts w:ascii="宋体" w:hAnsi="宋体" w:cs="宋体"/>
                <w:kern w:val="0"/>
                <w:sz w:val="24"/>
                <w:lang w:bidi="ar"/>
              </w:rPr>
              <w:t>康复治疗方案</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康复治疗方案</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支持根据患者病情制定康复目标、推荐康复训练方案。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26</w:t>
            </w:r>
          </w:p>
        </w:tc>
        <w:tc>
          <w:tcPr>
            <w:tcW w:w="656" w:type="pct"/>
            <w:noWrap w:val="0"/>
            <w:vAlign w:val="center"/>
          </w:tcPr>
          <w:p>
            <w:pPr>
              <w:jc w:val="left"/>
              <w:textAlignment w:val="center"/>
              <w:rPr>
                <w:rFonts w:hint="default" w:ascii="宋体" w:hAnsi="宋体" w:cs="宋体"/>
                <w:sz w:val="24"/>
              </w:rPr>
            </w:pPr>
            <w:r>
              <w:rPr>
                <w:rFonts w:ascii="宋体" w:hAnsi="宋体" w:cs="宋体"/>
                <w:kern w:val="0"/>
                <w:sz w:val="24"/>
                <w:lang w:bidi="ar"/>
              </w:rPr>
              <w:t>康复治疗记录</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康复治疗记录</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提供康复治疗记录结构化编写功能，治疗师可快速准确的完成文书编辑。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36"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27</w:t>
            </w:r>
          </w:p>
        </w:tc>
        <w:tc>
          <w:tcPr>
            <w:tcW w:w="656" w:type="pct"/>
            <w:vMerge w:val="restart"/>
            <w:noWrap w:val="0"/>
            <w:vAlign w:val="center"/>
          </w:tcPr>
          <w:p>
            <w:pPr>
              <w:jc w:val="left"/>
              <w:textAlignment w:val="center"/>
              <w:rPr>
                <w:rFonts w:hint="default" w:ascii="宋体" w:hAnsi="宋体" w:cs="宋体"/>
                <w:sz w:val="24"/>
              </w:rPr>
            </w:pPr>
            <w:r>
              <w:rPr>
                <w:rFonts w:ascii="宋体" w:hAnsi="宋体" w:cs="宋体"/>
                <w:kern w:val="0"/>
                <w:sz w:val="24"/>
                <w:lang w:bidi="ar"/>
              </w:rPr>
              <w:t>统计报表</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工作量统计</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支持按治疗师、治疗项目、治疗室、治疗设备、患者等维度进行工作量统计，并提供工作量统计明细导出。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28</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统计分析</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提供按科室、治疗室、治疗项目、治疗师以及个人维度的工作量环比和同比分析。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29</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统计报表自定义分组</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支持统计分析报表菜单自定义分组。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30</w:t>
            </w:r>
          </w:p>
        </w:tc>
        <w:tc>
          <w:tcPr>
            <w:tcW w:w="656" w:type="pct"/>
            <w:vMerge w:val="restart"/>
            <w:noWrap w:val="0"/>
            <w:vAlign w:val="center"/>
          </w:tcPr>
          <w:p>
            <w:pPr>
              <w:jc w:val="left"/>
              <w:textAlignment w:val="center"/>
              <w:rPr>
                <w:rFonts w:hint="default" w:ascii="宋体" w:hAnsi="宋体" w:cs="宋体"/>
                <w:sz w:val="24"/>
              </w:rPr>
            </w:pPr>
            <w:r>
              <w:rPr>
                <w:rFonts w:ascii="宋体" w:hAnsi="宋体" w:cs="宋体"/>
                <w:kern w:val="0"/>
                <w:sz w:val="24"/>
                <w:lang w:bidi="ar"/>
              </w:rPr>
              <w:t>科室事务</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腕带打印</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支持患者（包括成人及儿童）腕带打印。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31</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治疗设备二维码打印</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支持治疗设备二维码卡片打印。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8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32</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门诊患者二维码打印</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支持门诊患者二维码卡片打印。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33</w:t>
            </w:r>
          </w:p>
        </w:tc>
        <w:tc>
          <w:tcPr>
            <w:tcW w:w="656" w:type="pct"/>
            <w:noWrap w:val="0"/>
            <w:vAlign w:val="center"/>
          </w:tcPr>
          <w:p>
            <w:pPr>
              <w:jc w:val="left"/>
              <w:textAlignment w:val="center"/>
              <w:rPr>
                <w:rFonts w:hint="default" w:ascii="宋体" w:hAnsi="宋体" w:cs="宋体"/>
                <w:sz w:val="24"/>
              </w:rPr>
            </w:pPr>
            <w:r>
              <w:rPr>
                <w:rFonts w:ascii="宋体" w:hAnsi="宋体" w:cs="宋体"/>
                <w:kern w:val="0"/>
                <w:sz w:val="24"/>
                <w:lang w:bidi="ar"/>
              </w:rPr>
              <w:t>出科病历管理</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出科病历查看</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出科、出院患者病历查看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34</w:t>
            </w:r>
          </w:p>
        </w:tc>
        <w:tc>
          <w:tcPr>
            <w:tcW w:w="656" w:type="pct"/>
            <w:vMerge w:val="restart"/>
            <w:noWrap w:val="0"/>
            <w:vAlign w:val="center"/>
          </w:tcPr>
          <w:p>
            <w:pPr>
              <w:jc w:val="left"/>
              <w:textAlignment w:val="center"/>
              <w:rPr>
                <w:rFonts w:hint="default" w:ascii="宋体" w:hAnsi="宋体" w:cs="宋体"/>
                <w:sz w:val="24"/>
              </w:rPr>
            </w:pPr>
            <w:r>
              <w:rPr>
                <w:rFonts w:ascii="宋体" w:hAnsi="宋体" w:cs="宋体"/>
                <w:kern w:val="0"/>
                <w:sz w:val="24"/>
                <w:lang w:bidi="ar"/>
              </w:rPr>
              <w:t>知识库管理</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病种知识库</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维护病种和相关的诊断信息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35</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康复评定方案库</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根据病种制定推荐的评定方案，可供康复评定时快速选择使用。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36</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康复目标知识库维护</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根据病种维护相关的康复目标，可供制定康复目标时选择使用。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37</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康复治疗方案知识库维护</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根据病种维护相关的推荐治疗方案，可供制定康复训练方案时选择使用。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38</w:t>
            </w:r>
          </w:p>
        </w:tc>
        <w:tc>
          <w:tcPr>
            <w:tcW w:w="656" w:type="pct"/>
            <w:vMerge w:val="restart"/>
            <w:noWrap w:val="0"/>
            <w:vAlign w:val="center"/>
          </w:tcPr>
          <w:p>
            <w:pPr>
              <w:jc w:val="left"/>
              <w:textAlignment w:val="center"/>
              <w:rPr>
                <w:rFonts w:hint="default" w:ascii="宋体" w:hAnsi="宋体" w:cs="宋体"/>
                <w:sz w:val="24"/>
              </w:rPr>
            </w:pPr>
            <w:r>
              <w:rPr>
                <w:rFonts w:ascii="宋体" w:hAnsi="宋体" w:cs="宋体"/>
                <w:kern w:val="0"/>
                <w:sz w:val="24"/>
                <w:lang w:bidi="ar"/>
              </w:rPr>
              <w:t>模板管理</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康复专科电子病历模板制作</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支持自定义康复治疗电子病历模板，支持按科室、全院权限开放康复电子病历模板。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39</w:t>
            </w:r>
          </w:p>
        </w:tc>
        <w:tc>
          <w:tcPr>
            <w:tcW w:w="656" w:type="pct"/>
            <w:vMerge w:val="continue"/>
            <w:noWrap w:val="0"/>
            <w:vAlign w:val="center"/>
          </w:tcPr>
          <w:p>
            <w:pPr>
              <w:jc w:val="left"/>
              <w:textAlignment w:val="center"/>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儿童腕带模板制作</w:t>
            </w:r>
          </w:p>
        </w:tc>
        <w:tc>
          <w:tcPr>
            <w:tcW w:w="3052" w:type="pct"/>
            <w:noWrap/>
            <w:vAlign w:val="center"/>
          </w:tcPr>
          <w:p>
            <w:pPr>
              <w:jc w:val="left"/>
              <w:textAlignment w:val="center"/>
              <w:rPr>
                <w:rFonts w:hint="default" w:ascii="宋体" w:hAnsi="宋体" w:cs="宋体"/>
                <w:sz w:val="24"/>
              </w:rPr>
            </w:pPr>
            <w:r>
              <w:rPr>
                <w:rFonts w:ascii="宋体" w:hAnsi="宋体" w:cs="宋体"/>
                <w:kern w:val="0"/>
                <w:sz w:val="24"/>
                <w:lang w:bidi="ar"/>
              </w:rPr>
              <w:t>支持儿童腕带打印样式自定义设置。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40</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成人腕带模板制作</w:t>
            </w:r>
          </w:p>
        </w:tc>
        <w:tc>
          <w:tcPr>
            <w:tcW w:w="3052" w:type="pct"/>
            <w:noWrap/>
            <w:vAlign w:val="center"/>
          </w:tcPr>
          <w:p>
            <w:pPr>
              <w:jc w:val="left"/>
              <w:textAlignment w:val="center"/>
              <w:rPr>
                <w:rFonts w:hint="default" w:ascii="宋体" w:hAnsi="宋体" w:cs="宋体"/>
                <w:sz w:val="24"/>
              </w:rPr>
            </w:pPr>
            <w:r>
              <w:rPr>
                <w:rFonts w:ascii="宋体" w:hAnsi="宋体" w:cs="宋体"/>
                <w:kern w:val="0"/>
                <w:sz w:val="24"/>
                <w:lang w:bidi="ar"/>
              </w:rPr>
              <w:t>支持成人腕带打印样式自定义设置。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41</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治疗设备二维码模板制作</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支持设备二维码卡片打印样式自定义设置。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42</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门诊患者二维码模板制作</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支持门诊患者二维码卡片打印样式自定义设置。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43</w:t>
            </w:r>
          </w:p>
        </w:tc>
        <w:tc>
          <w:tcPr>
            <w:tcW w:w="656" w:type="pct"/>
            <w:vMerge w:val="restart"/>
            <w:noWrap w:val="0"/>
            <w:vAlign w:val="center"/>
          </w:tcPr>
          <w:p>
            <w:pPr>
              <w:jc w:val="left"/>
              <w:textAlignment w:val="center"/>
              <w:rPr>
                <w:rFonts w:hint="default" w:ascii="宋体" w:hAnsi="宋体" w:cs="宋体"/>
                <w:sz w:val="24"/>
              </w:rPr>
            </w:pPr>
            <w:r>
              <w:rPr>
                <w:rFonts w:ascii="宋体" w:hAnsi="宋体" w:cs="宋体"/>
                <w:kern w:val="0"/>
                <w:sz w:val="24"/>
                <w:lang w:bidi="ar"/>
              </w:rPr>
              <w:t>移动端</w:t>
            </w: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患者一览</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支持查阅患者就诊记录、基本信息、医嘱记录、检查报告、检验报告等详细临床资料。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44</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日程安排</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支持治疗师实时查看自己的治疗工作任务，并可对未排程患者和治疗安排变动及时调整。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0"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45</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治疗项目执行</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支持通过扫描患者腕带的方式自动识别进入对应患者待执行治疗项目页面，选择要执行的治疗项目进行执行，使用设备的治疗项目扫码患者腕带后，可再扫描该设备的二维码直接选定该治疗项目进行执行。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46</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消息通知</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支持治疗师实时接收治疗安排消息通知。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419" w:type="pct"/>
            <w:noWrap/>
            <w:vAlign w:val="center"/>
          </w:tcPr>
          <w:p>
            <w:pPr>
              <w:jc w:val="center"/>
              <w:textAlignment w:val="center"/>
              <w:rPr>
                <w:rFonts w:hint="default" w:ascii="宋体" w:hAnsi="宋体" w:cs="宋体"/>
                <w:sz w:val="24"/>
              </w:rPr>
            </w:pPr>
            <w:r>
              <w:rPr>
                <w:rFonts w:ascii="宋体" w:hAnsi="宋体" w:cs="宋体"/>
                <w:kern w:val="0"/>
                <w:sz w:val="24"/>
                <w:lang w:bidi="ar"/>
              </w:rPr>
              <w:t>47</w:t>
            </w:r>
          </w:p>
        </w:tc>
        <w:tc>
          <w:tcPr>
            <w:tcW w:w="656" w:type="pct"/>
            <w:vMerge w:val="continue"/>
            <w:noWrap w:val="0"/>
            <w:vAlign w:val="center"/>
          </w:tcPr>
          <w:p>
            <w:pPr>
              <w:jc w:val="left"/>
              <w:rPr>
                <w:rFonts w:hint="default" w:ascii="宋体" w:hAnsi="宋体" w:cs="宋体"/>
                <w:sz w:val="24"/>
              </w:rPr>
            </w:pPr>
          </w:p>
        </w:tc>
        <w:tc>
          <w:tcPr>
            <w:tcW w:w="873" w:type="pct"/>
            <w:noWrap w:val="0"/>
            <w:vAlign w:val="center"/>
          </w:tcPr>
          <w:p>
            <w:pPr>
              <w:jc w:val="left"/>
              <w:textAlignment w:val="center"/>
              <w:rPr>
                <w:rFonts w:hint="default" w:ascii="宋体" w:hAnsi="宋体" w:cs="宋体"/>
                <w:sz w:val="24"/>
              </w:rPr>
            </w:pPr>
            <w:r>
              <w:rPr>
                <w:rFonts w:ascii="宋体" w:hAnsi="宋体" w:cs="宋体"/>
                <w:kern w:val="0"/>
                <w:sz w:val="24"/>
                <w:lang w:bidi="ar"/>
              </w:rPr>
              <w:t>工作量统计</w:t>
            </w:r>
          </w:p>
        </w:tc>
        <w:tc>
          <w:tcPr>
            <w:tcW w:w="3052" w:type="pct"/>
            <w:noWrap w:val="0"/>
            <w:vAlign w:val="center"/>
          </w:tcPr>
          <w:p>
            <w:pPr>
              <w:jc w:val="left"/>
              <w:textAlignment w:val="center"/>
              <w:rPr>
                <w:rFonts w:hint="default" w:ascii="宋体" w:hAnsi="宋体" w:cs="宋体"/>
                <w:sz w:val="24"/>
              </w:rPr>
            </w:pPr>
            <w:r>
              <w:rPr>
                <w:rFonts w:ascii="宋体" w:hAnsi="宋体" w:cs="宋体"/>
                <w:kern w:val="0"/>
                <w:sz w:val="24"/>
                <w:lang w:bidi="ar"/>
              </w:rPr>
              <w:t>支持实时查看治疗师工作量统计及工作量统计明细。</w:t>
            </w:r>
          </w:p>
        </w:tc>
      </w:tr>
    </w:tbl>
    <w:p>
      <w:pPr>
        <w:pStyle w:val="5"/>
        <w:numPr>
          <w:ilvl w:val="2"/>
          <w:numId w:val="5"/>
        </w:numPr>
        <w:spacing w:before="0" w:after="0" w:line="360" w:lineRule="auto"/>
        <w:rPr>
          <w:rFonts w:ascii="宋体" w:hAnsi="宋体"/>
        </w:rPr>
      </w:pPr>
      <w:r>
        <w:rPr>
          <w:rFonts w:hint="eastAsia" w:ascii="宋体" w:hAnsi="宋体"/>
        </w:rPr>
        <w:t>优抚对象管理系统</w:t>
      </w:r>
    </w:p>
    <w:p>
      <w:pPr>
        <w:ind w:firstLine="480" w:firstLineChars="200"/>
        <w:rPr>
          <w:rFonts w:hint="default" w:ascii="宋体" w:hAnsi="宋体"/>
          <w:sz w:val="24"/>
          <w:szCs w:val="24"/>
        </w:rPr>
      </w:pPr>
      <w:r>
        <w:rPr>
          <w:rFonts w:ascii="宋体" w:hAnsi="宋体"/>
          <w:sz w:val="24"/>
          <w:szCs w:val="24"/>
        </w:rPr>
        <w:t>对医院入住退役军人优抚对象信息进行统一分类管理，针对退役军人病患进行单独的汇总统计、分析、查询，可按照病区查询统计退役军人病患数量、医保缴纳情况、是否本地就医等，病患信息数据与院内信息化系统数据实时同步。</w:t>
      </w:r>
    </w:p>
    <w:p>
      <w:pPr>
        <w:pStyle w:val="5"/>
        <w:numPr>
          <w:ilvl w:val="2"/>
          <w:numId w:val="5"/>
        </w:numPr>
        <w:spacing w:before="0" w:after="0" w:line="360" w:lineRule="auto"/>
        <w:rPr>
          <w:rFonts w:ascii="宋体" w:hAnsi="宋体"/>
        </w:rPr>
      </w:pPr>
      <w:r>
        <w:rPr>
          <w:rFonts w:hint="eastAsia" w:ascii="宋体" w:hAnsi="宋体"/>
        </w:rPr>
        <w:t>电子病历分级评价辅助上报系统</w:t>
      </w:r>
    </w:p>
    <w:tbl>
      <w:tblPr>
        <w:tblStyle w:val="5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116"/>
        <w:gridCol w:w="66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noWrap w:val="0"/>
            <w:vAlign w:val="top"/>
          </w:tcPr>
          <w:p>
            <w:pPr>
              <w:jc w:val="center"/>
              <w:rPr>
                <w:rFonts w:hint="default" w:ascii="宋体" w:hAnsi="宋体"/>
                <w:b/>
                <w:bCs/>
                <w:sz w:val="24"/>
                <w:szCs w:val="24"/>
              </w:rPr>
            </w:pPr>
            <w:r>
              <w:rPr>
                <w:rFonts w:ascii="宋体" w:hAnsi="宋体"/>
                <w:b/>
                <w:bCs/>
                <w:sz w:val="24"/>
                <w:szCs w:val="24"/>
              </w:rPr>
              <w:t>序号</w:t>
            </w:r>
          </w:p>
        </w:tc>
        <w:tc>
          <w:tcPr>
            <w:tcW w:w="655" w:type="pct"/>
            <w:noWrap w:val="0"/>
            <w:vAlign w:val="top"/>
          </w:tcPr>
          <w:p>
            <w:pPr>
              <w:jc w:val="center"/>
              <w:rPr>
                <w:rFonts w:hint="default" w:ascii="宋体" w:hAnsi="宋体"/>
                <w:b/>
                <w:bCs/>
                <w:sz w:val="24"/>
                <w:szCs w:val="24"/>
              </w:rPr>
            </w:pPr>
            <w:r>
              <w:rPr>
                <w:rFonts w:ascii="宋体" w:hAnsi="宋体"/>
                <w:b/>
                <w:bCs/>
                <w:sz w:val="24"/>
                <w:szCs w:val="24"/>
              </w:rPr>
              <w:t>功能模块</w:t>
            </w:r>
          </w:p>
        </w:tc>
        <w:tc>
          <w:tcPr>
            <w:tcW w:w="3926" w:type="pct"/>
            <w:noWrap w:val="0"/>
            <w:vAlign w:val="top"/>
          </w:tcPr>
          <w:p>
            <w:pPr>
              <w:jc w:val="center"/>
              <w:rPr>
                <w:rFonts w:hint="default" w:ascii="宋体" w:hAnsi="宋体"/>
                <w:b/>
                <w:bCs/>
                <w:sz w:val="24"/>
                <w:szCs w:val="24"/>
              </w:rPr>
            </w:pPr>
            <w:r>
              <w:rPr>
                <w:rFonts w:ascii="宋体" w:hAnsi="宋体"/>
                <w:b/>
                <w:bCs/>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noWrap w:val="0"/>
            <w:vAlign w:val="center"/>
          </w:tcPr>
          <w:p>
            <w:pPr>
              <w:jc w:val="center"/>
              <w:rPr>
                <w:rFonts w:hint="default" w:ascii="宋体" w:hAnsi="宋体"/>
                <w:sz w:val="24"/>
                <w:szCs w:val="24"/>
              </w:rPr>
            </w:pPr>
            <w:r>
              <w:rPr>
                <w:rFonts w:ascii="宋体" w:hAnsi="宋体"/>
                <w:sz w:val="24"/>
                <w:szCs w:val="24"/>
              </w:rPr>
              <w:t>1</w:t>
            </w:r>
          </w:p>
        </w:tc>
        <w:tc>
          <w:tcPr>
            <w:tcW w:w="655" w:type="pct"/>
            <w:noWrap w:val="0"/>
            <w:vAlign w:val="center"/>
          </w:tcPr>
          <w:p>
            <w:pPr>
              <w:jc w:val="left"/>
              <w:rPr>
                <w:rFonts w:hint="default" w:ascii="宋体" w:hAnsi="宋体"/>
                <w:sz w:val="24"/>
                <w:szCs w:val="24"/>
              </w:rPr>
            </w:pPr>
            <w:r>
              <w:rPr>
                <w:rFonts w:ascii="宋体" w:hAnsi="宋体"/>
                <w:sz w:val="24"/>
                <w:szCs w:val="24"/>
              </w:rPr>
              <w:t>数据库接口维护</w:t>
            </w:r>
          </w:p>
        </w:tc>
        <w:tc>
          <w:tcPr>
            <w:tcW w:w="3926" w:type="pct"/>
            <w:noWrap w:val="0"/>
            <w:vAlign w:val="center"/>
          </w:tcPr>
          <w:p>
            <w:pPr>
              <w:rPr>
                <w:rFonts w:hint="default" w:ascii="宋体" w:hAnsi="宋体"/>
                <w:sz w:val="24"/>
                <w:szCs w:val="24"/>
              </w:rPr>
            </w:pPr>
            <w:r>
              <w:rPr>
                <w:rFonts w:ascii="宋体" w:hAnsi="宋体"/>
                <w:sz w:val="24"/>
                <w:szCs w:val="24"/>
              </w:rPr>
              <w:t>支持根据不同的第三方厂商维护数据源；</w:t>
            </w:r>
          </w:p>
          <w:p>
            <w:pPr>
              <w:rPr>
                <w:rFonts w:hint="default" w:ascii="宋体" w:hAnsi="宋体"/>
                <w:sz w:val="24"/>
                <w:szCs w:val="24"/>
              </w:rPr>
            </w:pPr>
            <w:r>
              <w:rPr>
                <w:rFonts w:ascii="宋体" w:hAnsi="宋体"/>
                <w:sz w:val="24"/>
                <w:szCs w:val="24"/>
              </w:rPr>
              <w:t>支持SQLSERVER、MYSQL、ORACLE数据连接方式；</w:t>
            </w:r>
          </w:p>
          <w:p>
            <w:pPr>
              <w:jc w:val="left"/>
              <w:rPr>
                <w:rFonts w:hint="default" w:ascii="宋体" w:hAnsi="宋体"/>
                <w:sz w:val="24"/>
                <w:szCs w:val="24"/>
              </w:rPr>
            </w:pPr>
            <w:r>
              <w:rPr>
                <w:rFonts w:ascii="宋体" w:hAnsi="宋体"/>
                <w:sz w:val="24"/>
                <w:szCs w:val="24"/>
              </w:rPr>
              <w:t xml:space="preserve">支持自定义统计区间。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noWrap w:val="0"/>
            <w:vAlign w:val="center"/>
          </w:tcPr>
          <w:p>
            <w:pPr>
              <w:jc w:val="center"/>
              <w:rPr>
                <w:rFonts w:hint="default" w:ascii="宋体" w:hAnsi="宋体"/>
                <w:sz w:val="24"/>
                <w:szCs w:val="24"/>
              </w:rPr>
            </w:pPr>
            <w:r>
              <w:rPr>
                <w:rFonts w:ascii="宋体" w:hAnsi="宋体"/>
                <w:sz w:val="24"/>
                <w:szCs w:val="24"/>
              </w:rPr>
              <w:t>2</w:t>
            </w:r>
          </w:p>
        </w:tc>
        <w:tc>
          <w:tcPr>
            <w:tcW w:w="655" w:type="pct"/>
            <w:noWrap w:val="0"/>
            <w:vAlign w:val="center"/>
          </w:tcPr>
          <w:p>
            <w:pPr>
              <w:jc w:val="left"/>
              <w:rPr>
                <w:rFonts w:hint="default" w:ascii="宋体" w:hAnsi="宋体"/>
                <w:sz w:val="24"/>
                <w:szCs w:val="24"/>
              </w:rPr>
            </w:pPr>
            <w:r>
              <w:rPr>
                <w:rFonts w:ascii="宋体" w:hAnsi="宋体"/>
                <w:sz w:val="24"/>
                <w:szCs w:val="24"/>
              </w:rPr>
              <w:t>基础指标维护</w:t>
            </w:r>
          </w:p>
        </w:tc>
        <w:tc>
          <w:tcPr>
            <w:tcW w:w="3926" w:type="pct"/>
            <w:noWrap w:val="0"/>
            <w:vAlign w:val="center"/>
          </w:tcPr>
          <w:p>
            <w:pPr>
              <w:rPr>
                <w:rFonts w:hint="default" w:ascii="宋体" w:hAnsi="宋体"/>
                <w:sz w:val="24"/>
                <w:szCs w:val="24"/>
              </w:rPr>
            </w:pPr>
            <w:r>
              <w:rPr>
                <w:rFonts w:ascii="宋体" w:hAnsi="宋体"/>
                <w:sz w:val="24"/>
                <w:szCs w:val="24"/>
              </w:rPr>
              <w:t>依据国家电子病历分级评价平台要求，对于可通过业务系统提取到的指标维护其取值来源和数据脚本；</w:t>
            </w:r>
          </w:p>
          <w:p>
            <w:pPr>
              <w:jc w:val="left"/>
              <w:rPr>
                <w:rFonts w:hint="default" w:ascii="宋体" w:hAnsi="宋体"/>
                <w:sz w:val="24"/>
                <w:szCs w:val="24"/>
              </w:rPr>
            </w:pPr>
            <w:r>
              <w:rPr>
                <w:rFonts w:ascii="宋体" w:hAnsi="宋体"/>
                <w:sz w:val="24"/>
                <w:szCs w:val="24"/>
              </w:rPr>
              <w:t>内置数据来源于HIS的数据脚本。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19" w:type="pct"/>
            <w:noWrap w:val="0"/>
            <w:vAlign w:val="center"/>
          </w:tcPr>
          <w:p>
            <w:pPr>
              <w:jc w:val="center"/>
              <w:rPr>
                <w:rFonts w:hint="default" w:ascii="宋体" w:hAnsi="宋体"/>
                <w:sz w:val="24"/>
                <w:szCs w:val="24"/>
              </w:rPr>
            </w:pPr>
            <w:r>
              <w:rPr>
                <w:rFonts w:ascii="宋体" w:hAnsi="宋体"/>
                <w:sz w:val="24"/>
                <w:szCs w:val="24"/>
              </w:rPr>
              <w:t>3</w:t>
            </w:r>
          </w:p>
        </w:tc>
        <w:tc>
          <w:tcPr>
            <w:tcW w:w="655" w:type="pct"/>
            <w:noWrap w:val="0"/>
            <w:vAlign w:val="center"/>
          </w:tcPr>
          <w:p>
            <w:pPr>
              <w:jc w:val="left"/>
              <w:rPr>
                <w:rFonts w:hint="default" w:ascii="宋体" w:hAnsi="宋体"/>
                <w:sz w:val="24"/>
                <w:szCs w:val="24"/>
              </w:rPr>
            </w:pPr>
            <w:r>
              <w:rPr>
                <w:rFonts w:ascii="宋体" w:hAnsi="宋体"/>
                <w:sz w:val="24"/>
                <w:szCs w:val="24"/>
              </w:rPr>
              <w:t>EMR指标维护</w:t>
            </w:r>
          </w:p>
        </w:tc>
        <w:tc>
          <w:tcPr>
            <w:tcW w:w="3926" w:type="pct"/>
            <w:noWrap w:val="0"/>
            <w:vAlign w:val="center"/>
          </w:tcPr>
          <w:p>
            <w:pPr>
              <w:rPr>
                <w:rFonts w:hint="default" w:ascii="宋体" w:hAnsi="宋体"/>
                <w:sz w:val="24"/>
                <w:szCs w:val="24"/>
              </w:rPr>
            </w:pPr>
            <w:r>
              <w:rPr>
                <w:rFonts w:ascii="宋体" w:hAnsi="宋体"/>
                <w:sz w:val="24"/>
                <w:szCs w:val="24"/>
              </w:rPr>
              <w:t>依据国家电子病历分级评价平台要求，涵盖0-8级EMR数据要求的指标；</w:t>
            </w:r>
          </w:p>
          <w:p>
            <w:pPr>
              <w:jc w:val="left"/>
              <w:rPr>
                <w:rFonts w:hint="default" w:ascii="宋体" w:hAnsi="宋体"/>
                <w:sz w:val="24"/>
                <w:szCs w:val="24"/>
              </w:rPr>
            </w:pPr>
            <w:r>
              <w:rPr>
                <w:rFonts w:ascii="宋体" w:hAnsi="宋体"/>
                <w:sz w:val="24"/>
                <w:szCs w:val="24"/>
              </w:rPr>
              <w:t>支持维护指标取值来源和取值脚本。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noWrap w:val="0"/>
            <w:vAlign w:val="center"/>
          </w:tcPr>
          <w:p>
            <w:pPr>
              <w:jc w:val="center"/>
              <w:rPr>
                <w:rFonts w:hint="default" w:ascii="宋体" w:hAnsi="宋体"/>
                <w:sz w:val="24"/>
                <w:szCs w:val="24"/>
              </w:rPr>
            </w:pPr>
            <w:r>
              <w:rPr>
                <w:rFonts w:ascii="宋体" w:hAnsi="宋体"/>
                <w:sz w:val="24"/>
                <w:szCs w:val="24"/>
              </w:rPr>
              <w:t>4</w:t>
            </w:r>
          </w:p>
        </w:tc>
        <w:tc>
          <w:tcPr>
            <w:tcW w:w="655" w:type="pct"/>
            <w:noWrap w:val="0"/>
            <w:vAlign w:val="center"/>
          </w:tcPr>
          <w:p>
            <w:pPr>
              <w:jc w:val="left"/>
              <w:rPr>
                <w:rFonts w:hint="default" w:ascii="宋体" w:hAnsi="宋体"/>
                <w:sz w:val="24"/>
                <w:szCs w:val="24"/>
              </w:rPr>
            </w:pPr>
            <w:r>
              <w:rPr>
                <w:rFonts w:ascii="宋体" w:hAnsi="宋体"/>
                <w:sz w:val="24"/>
                <w:szCs w:val="24"/>
              </w:rPr>
              <w:t>数据质量指标维护</w:t>
            </w:r>
          </w:p>
        </w:tc>
        <w:tc>
          <w:tcPr>
            <w:tcW w:w="3926" w:type="pct"/>
            <w:noWrap w:val="0"/>
            <w:vAlign w:val="center"/>
          </w:tcPr>
          <w:p>
            <w:pPr>
              <w:rPr>
                <w:rFonts w:hint="default" w:ascii="宋体" w:hAnsi="宋体"/>
                <w:sz w:val="24"/>
                <w:szCs w:val="24"/>
              </w:rPr>
            </w:pPr>
            <w:r>
              <w:rPr>
                <w:rFonts w:ascii="宋体" w:hAnsi="宋体"/>
                <w:sz w:val="24"/>
                <w:szCs w:val="24"/>
              </w:rPr>
              <w:t>依据国家电子病历分级评价平台要求，涵盖0-8级EMR数据要求的指标，支持维护指标取值来源和取值脚本；</w:t>
            </w:r>
          </w:p>
          <w:p>
            <w:pPr>
              <w:jc w:val="left"/>
              <w:rPr>
                <w:rFonts w:hint="default" w:ascii="宋体" w:hAnsi="宋体"/>
                <w:sz w:val="24"/>
                <w:szCs w:val="24"/>
              </w:rPr>
            </w:pPr>
            <w:r>
              <w:rPr>
                <w:rFonts w:ascii="宋体" w:hAnsi="宋体"/>
                <w:sz w:val="24"/>
                <w:szCs w:val="24"/>
              </w:rPr>
              <w:t>内置数据来源于HIS的数据脚本。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noWrap w:val="0"/>
            <w:vAlign w:val="center"/>
          </w:tcPr>
          <w:p>
            <w:pPr>
              <w:jc w:val="center"/>
              <w:rPr>
                <w:rFonts w:hint="default" w:ascii="宋体" w:hAnsi="宋体"/>
                <w:sz w:val="24"/>
                <w:szCs w:val="24"/>
              </w:rPr>
            </w:pPr>
            <w:r>
              <w:rPr>
                <w:rFonts w:ascii="宋体" w:hAnsi="宋体"/>
                <w:sz w:val="24"/>
                <w:szCs w:val="24"/>
              </w:rPr>
              <w:t>5</w:t>
            </w:r>
          </w:p>
        </w:tc>
        <w:tc>
          <w:tcPr>
            <w:tcW w:w="655" w:type="pct"/>
            <w:noWrap w:val="0"/>
            <w:vAlign w:val="center"/>
          </w:tcPr>
          <w:p>
            <w:pPr>
              <w:jc w:val="left"/>
              <w:rPr>
                <w:rFonts w:hint="default" w:ascii="宋体" w:hAnsi="宋体"/>
                <w:sz w:val="24"/>
                <w:szCs w:val="24"/>
              </w:rPr>
            </w:pPr>
            <w:r>
              <w:rPr>
                <w:rFonts w:ascii="宋体" w:hAnsi="宋体"/>
                <w:sz w:val="24"/>
                <w:szCs w:val="24"/>
              </w:rPr>
              <w:t>基础数据指标提取</w:t>
            </w:r>
          </w:p>
        </w:tc>
        <w:tc>
          <w:tcPr>
            <w:tcW w:w="3926" w:type="pct"/>
            <w:noWrap w:val="0"/>
            <w:vAlign w:val="center"/>
          </w:tcPr>
          <w:p>
            <w:pPr>
              <w:rPr>
                <w:rFonts w:hint="default" w:ascii="宋体" w:hAnsi="宋体"/>
                <w:sz w:val="24"/>
                <w:szCs w:val="24"/>
              </w:rPr>
            </w:pPr>
            <w:r>
              <w:rPr>
                <w:rFonts w:ascii="宋体" w:hAnsi="宋体"/>
                <w:sz w:val="24"/>
                <w:szCs w:val="24"/>
              </w:rPr>
              <w:t>支持提取业务系统可统计的基础数据指标；</w:t>
            </w:r>
          </w:p>
          <w:p>
            <w:pPr>
              <w:jc w:val="left"/>
              <w:rPr>
                <w:rFonts w:hint="default" w:ascii="宋体" w:hAnsi="宋体"/>
                <w:sz w:val="24"/>
                <w:szCs w:val="24"/>
              </w:rPr>
            </w:pPr>
            <w:r>
              <w:rPr>
                <w:rFonts w:ascii="宋体" w:hAnsi="宋体"/>
                <w:sz w:val="24"/>
                <w:szCs w:val="24"/>
              </w:rPr>
              <w:t>支持指标手工填报。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noWrap w:val="0"/>
            <w:vAlign w:val="center"/>
          </w:tcPr>
          <w:p>
            <w:pPr>
              <w:jc w:val="center"/>
              <w:rPr>
                <w:rFonts w:hint="default" w:ascii="宋体" w:hAnsi="宋体"/>
                <w:sz w:val="24"/>
                <w:szCs w:val="24"/>
              </w:rPr>
            </w:pPr>
            <w:r>
              <w:rPr>
                <w:rFonts w:ascii="宋体" w:hAnsi="宋体"/>
                <w:sz w:val="24"/>
                <w:szCs w:val="24"/>
              </w:rPr>
              <w:t>6</w:t>
            </w:r>
          </w:p>
        </w:tc>
        <w:tc>
          <w:tcPr>
            <w:tcW w:w="655" w:type="pct"/>
            <w:noWrap w:val="0"/>
            <w:vAlign w:val="center"/>
          </w:tcPr>
          <w:p>
            <w:pPr>
              <w:jc w:val="left"/>
              <w:rPr>
                <w:rFonts w:hint="default" w:ascii="宋体" w:hAnsi="宋体"/>
                <w:sz w:val="24"/>
                <w:szCs w:val="24"/>
              </w:rPr>
            </w:pPr>
            <w:r>
              <w:rPr>
                <w:rFonts w:ascii="宋体" w:hAnsi="宋体"/>
                <w:sz w:val="24"/>
                <w:szCs w:val="24"/>
              </w:rPr>
              <w:t>EMR数据指标提取</w:t>
            </w:r>
          </w:p>
        </w:tc>
        <w:tc>
          <w:tcPr>
            <w:tcW w:w="3926" w:type="pct"/>
            <w:noWrap w:val="0"/>
            <w:vAlign w:val="center"/>
          </w:tcPr>
          <w:p>
            <w:pPr>
              <w:rPr>
                <w:rFonts w:hint="default" w:ascii="宋体" w:hAnsi="宋体"/>
                <w:sz w:val="24"/>
                <w:szCs w:val="24"/>
              </w:rPr>
            </w:pPr>
            <w:r>
              <w:rPr>
                <w:rFonts w:ascii="宋体" w:hAnsi="宋体"/>
                <w:sz w:val="24"/>
                <w:szCs w:val="24"/>
              </w:rPr>
              <w:t>支持提取业务系统可统计的EMR数据指标；</w:t>
            </w:r>
          </w:p>
          <w:p>
            <w:pPr>
              <w:rPr>
                <w:rFonts w:hint="default" w:ascii="宋体" w:hAnsi="宋体"/>
                <w:sz w:val="24"/>
                <w:szCs w:val="24"/>
              </w:rPr>
            </w:pPr>
            <w:r>
              <w:rPr>
                <w:rFonts w:ascii="宋体" w:hAnsi="宋体"/>
                <w:sz w:val="24"/>
                <w:szCs w:val="24"/>
              </w:rPr>
              <w:t>支持指标手工填报；</w:t>
            </w:r>
          </w:p>
          <w:p>
            <w:pPr>
              <w:jc w:val="left"/>
              <w:rPr>
                <w:rFonts w:hint="default" w:ascii="宋体" w:hAnsi="宋体"/>
                <w:sz w:val="24"/>
                <w:szCs w:val="24"/>
              </w:rPr>
            </w:pPr>
            <w:r>
              <w:rPr>
                <w:rFonts w:ascii="宋体" w:hAnsi="宋体"/>
                <w:sz w:val="24"/>
                <w:szCs w:val="24"/>
              </w:rPr>
              <w:t>支持电子病历应用情况低于0.8的指标高亮提醒。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19" w:type="pct"/>
            <w:noWrap w:val="0"/>
            <w:vAlign w:val="center"/>
          </w:tcPr>
          <w:p>
            <w:pPr>
              <w:jc w:val="center"/>
              <w:rPr>
                <w:rFonts w:hint="default" w:ascii="宋体" w:hAnsi="宋体"/>
                <w:sz w:val="24"/>
                <w:szCs w:val="24"/>
              </w:rPr>
            </w:pPr>
            <w:r>
              <w:rPr>
                <w:rFonts w:ascii="宋体" w:hAnsi="宋体"/>
                <w:sz w:val="24"/>
                <w:szCs w:val="24"/>
              </w:rPr>
              <w:t>7</w:t>
            </w:r>
          </w:p>
        </w:tc>
        <w:tc>
          <w:tcPr>
            <w:tcW w:w="655" w:type="pct"/>
            <w:noWrap w:val="0"/>
            <w:vAlign w:val="center"/>
          </w:tcPr>
          <w:p>
            <w:pPr>
              <w:jc w:val="left"/>
              <w:rPr>
                <w:rFonts w:hint="default" w:ascii="宋体" w:hAnsi="宋体"/>
                <w:sz w:val="24"/>
                <w:szCs w:val="24"/>
              </w:rPr>
            </w:pPr>
            <w:r>
              <w:rPr>
                <w:rFonts w:ascii="宋体" w:hAnsi="宋体"/>
                <w:sz w:val="24"/>
                <w:szCs w:val="24"/>
              </w:rPr>
              <w:t>数据质量指标提取</w:t>
            </w:r>
          </w:p>
        </w:tc>
        <w:tc>
          <w:tcPr>
            <w:tcW w:w="3926" w:type="pct"/>
            <w:noWrap w:val="0"/>
            <w:vAlign w:val="center"/>
          </w:tcPr>
          <w:p>
            <w:pPr>
              <w:rPr>
                <w:rFonts w:hint="default" w:ascii="宋体" w:hAnsi="宋体"/>
                <w:sz w:val="24"/>
                <w:szCs w:val="24"/>
              </w:rPr>
            </w:pPr>
            <w:r>
              <w:rPr>
                <w:rFonts w:ascii="宋体" w:hAnsi="宋体"/>
                <w:sz w:val="24"/>
                <w:szCs w:val="24"/>
              </w:rPr>
              <w:t>支持提取业务系统可统计的数据质量指标提取；</w:t>
            </w:r>
          </w:p>
          <w:p>
            <w:pPr>
              <w:rPr>
                <w:rFonts w:hint="default" w:ascii="宋体" w:hAnsi="宋体"/>
                <w:sz w:val="24"/>
                <w:szCs w:val="24"/>
              </w:rPr>
            </w:pPr>
            <w:r>
              <w:rPr>
                <w:rFonts w:ascii="宋体" w:hAnsi="宋体"/>
                <w:sz w:val="24"/>
                <w:szCs w:val="24"/>
              </w:rPr>
              <w:t>支持指标手工填报；</w:t>
            </w:r>
          </w:p>
          <w:p>
            <w:pPr>
              <w:jc w:val="left"/>
              <w:rPr>
                <w:rFonts w:hint="default" w:ascii="宋体" w:hAnsi="宋体"/>
                <w:sz w:val="24"/>
                <w:szCs w:val="24"/>
              </w:rPr>
            </w:pPr>
            <w:r>
              <w:rPr>
                <w:rFonts w:ascii="宋体" w:hAnsi="宋体"/>
                <w:sz w:val="24"/>
                <w:szCs w:val="24"/>
              </w:rPr>
              <w:t>支持数据质量符合要求率低于0.5的指标高亮提醒。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noWrap w:val="0"/>
            <w:vAlign w:val="center"/>
          </w:tcPr>
          <w:p>
            <w:pPr>
              <w:jc w:val="center"/>
              <w:rPr>
                <w:rFonts w:hint="default" w:ascii="宋体" w:hAnsi="宋体"/>
                <w:sz w:val="24"/>
                <w:szCs w:val="24"/>
              </w:rPr>
            </w:pPr>
            <w:r>
              <w:rPr>
                <w:rFonts w:ascii="宋体" w:hAnsi="宋体"/>
                <w:sz w:val="24"/>
                <w:szCs w:val="24"/>
              </w:rPr>
              <w:t>8</w:t>
            </w:r>
          </w:p>
        </w:tc>
        <w:tc>
          <w:tcPr>
            <w:tcW w:w="655" w:type="pct"/>
            <w:noWrap w:val="0"/>
            <w:vAlign w:val="center"/>
          </w:tcPr>
          <w:p>
            <w:pPr>
              <w:jc w:val="left"/>
              <w:rPr>
                <w:rFonts w:hint="default" w:ascii="宋体" w:hAnsi="宋体"/>
                <w:sz w:val="24"/>
                <w:szCs w:val="24"/>
              </w:rPr>
            </w:pPr>
            <w:r>
              <w:rPr>
                <w:rFonts w:ascii="宋体" w:hAnsi="宋体"/>
                <w:sz w:val="24"/>
                <w:szCs w:val="24"/>
              </w:rPr>
              <w:t>日志管理</w:t>
            </w:r>
          </w:p>
        </w:tc>
        <w:tc>
          <w:tcPr>
            <w:tcW w:w="3926" w:type="pct"/>
            <w:noWrap w:val="0"/>
            <w:vAlign w:val="center"/>
          </w:tcPr>
          <w:p>
            <w:pPr>
              <w:jc w:val="left"/>
              <w:rPr>
                <w:rFonts w:hint="default" w:ascii="宋体" w:hAnsi="宋体"/>
                <w:sz w:val="24"/>
                <w:szCs w:val="24"/>
              </w:rPr>
            </w:pPr>
            <w:r>
              <w:rPr>
                <w:rFonts w:ascii="宋体" w:hAnsi="宋体"/>
                <w:sz w:val="24"/>
                <w:szCs w:val="24"/>
              </w:rPr>
              <w:t>支持查询提取报错日志记录。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noWrap w:val="0"/>
            <w:vAlign w:val="center"/>
          </w:tcPr>
          <w:p>
            <w:pPr>
              <w:jc w:val="center"/>
              <w:rPr>
                <w:rFonts w:hint="default" w:ascii="宋体" w:hAnsi="宋体"/>
                <w:sz w:val="24"/>
                <w:szCs w:val="24"/>
              </w:rPr>
            </w:pPr>
            <w:r>
              <w:rPr>
                <w:rFonts w:ascii="宋体" w:hAnsi="宋体"/>
                <w:sz w:val="24"/>
                <w:szCs w:val="24"/>
              </w:rPr>
              <w:t>9</w:t>
            </w:r>
          </w:p>
        </w:tc>
        <w:tc>
          <w:tcPr>
            <w:tcW w:w="655" w:type="pct"/>
            <w:noWrap w:val="0"/>
            <w:vAlign w:val="center"/>
          </w:tcPr>
          <w:p>
            <w:pPr>
              <w:rPr>
                <w:rFonts w:hint="default" w:ascii="宋体" w:hAnsi="宋体" w:cs="宋体"/>
                <w:sz w:val="24"/>
                <w:szCs w:val="24"/>
              </w:rPr>
            </w:pPr>
            <w:r>
              <w:rPr>
                <w:rFonts w:ascii="宋体" w:hAnsi="宋体"/>
                <w:sz w:val="24"/>
                <w:szCs w:val="24"/>
              </w:rPr>
              <w:t>评级要求</w:t>
            </w:r>
          </w:p>
        </w:tc>
        <w:tc>
          <w:tcPr>
            <w:tcW w:w="3926" w:type="pct"/>
            <w:noWrap w:val="0"/>
            <w:vAlign w:val="center"/>
          </w:tcPr>
          <w:p>
            <w:pPr>
              <w:rPr>
                <w:rFonts w:hint="default" w:ascii="宋体" w:hAnsi="宋体" w:cs="宋体"/>
                <w:sz w:val="24"/>
                <w:szCs w:val="24"/>
              </w:rPr>
            </w:pPr>
            <w:r>
              <w:rPr>
                <w:rFonts w:ascii="宋体" w:hAnsi="宋体"/>
                <w:sz w:val="24"/>
                <w:szCs w:val="24"/>
              </w:rPr>
              <w:t>辅助完成电子病历分级评价数据填报。</w:t>
            </w:r>
          </w:p>
        </w:tc>
      </w:tr>
    </w:tbl>
    <w:p>
      <w:pPr>
        <w:rPr>
          <w:rFonts w:hint="default"/>
        </w:rPr>
      </w:pPr>
    </w:p>
    <w:p>
      <w:pPr>
        <w:pStyle w:val="5"/>
        <w:numPr>
          <w:ilvl w:val="2"/>
          <w:numId w:val="5"/>
        </w:numPr>
        <w:spacing w:before="0" w:after="0" w:line="360" w:lineRule="auto"/>
        <w:rPr>
          <w:rFonts w:ascii="宋体" w:hAnsi="宋体"/>
        </w:rPr>
      </w:pPr>
      <w:r>
        <w:rPr>
          <w:rFonts w:hint="eastAsia" w:ascii="宋体" w:hAnsi="宋体"/>
        </w:rPr>
        <w:t>电子病历评审咨询服务</w:t>
      </w:r>
    </w:p>
    <w:bookmarkEnd w:id="590"/>
    <w:p>
      <w:pPr>
        <w:rPr>
          <w:rFonts w:hint="default"/>
          <w:sz w:val="24"/>
          <w:szCs w:val="28"/>
        </w:rPr>
      </w:pPr>
      <w:r>
        <w:rPr>
          <w:sz w:val="24"/>
          <w:szCs w:val="28"/>
        </w:rPr>
        <w:t>含标准宣贯解读、现场评审指导以及实证材料汇总上报等服务。</w:t>
      </w:r>
    </w:p>
    <w:p>
      <w:pPr>
        <w:pStyle w:val="4"/>
        <w:spacing w:before="0" w:after="0" w:line="360" w:lineRule="auto"/>
      </w:pPr>
      <w:r>
        <w:rPr>
          <w:rFonts w:hint="eastAsia"/>
        </w:rPr>
        <w:t>1.2. 三级医院信息化系统</w:t>
      </w:r>
    </w:p>
    <w:p>
      <w:pPr>
        <w:pStyle w:val="5"/>
        <w:numPr>
          <w:ilvl w:val="2"/>
          <w:numId w:val="10"/>
        </w:numPr>
        <w:spacing w:before="0" w:after="0" w:line="360" w:lineRule="auto"/>
        <w:rPr>
          <w:rFonts w:ascii="宋体" w:hAnsi="宋体"/>
        </w:rPr>
      </w:pPr>
      <w:r>
        <w:rPr>
          <w:rFonts w:hint="eastAsia" w:ascii="宋体" w:hAnsi="宋体"/>
        </w:rPr>
        <w:t>传染病监测与上报系统</w:t>
      </w:r>
    </w:p>
    <w:tbl>
      <w:tblPr>
        <w:tblStyle w:val="51"/>
        <w:tblW w:w="512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9"/>
        <w:gridCol w:w="1492"/>
        <w:gridCol w:w="1739"/>
        <w:gridCol w:w="4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406" w:type="pct"/>
            <w:noWrap w:val="0"/>
            <w:vAlign w:val="center"/>
          </w:tcPr>
          <w:p>
            <w:pPr>
              <w:jc w:val="center"/>
              <w:rPr>
                <w:rFonts w:hint="default" w:ascii="宋体" w:hAnsi="宋体"/>
                <w:b/>
                <w:bCs/>
                <w:sz w:val="24"/>
                <w:szCs w:val="24"/>
              </w:rPr>
            </w:pPr>
            <w:r>
              <w:rPr>
                <w:rFonts w:ascii="宋体" w:hAnsi="宋体"/>
                <w:b/>
                <w:bCs/>
                <w:sz w:val="24"/>
                <w:szCs w:val="24"/>
              </w:rPr>
              <w:t>序号</w:t>
            </w:r>
          </w:p>
        </w:tc>
        <w:tc>
          <w:tcPr>
            <w:tcW w:w="855" w:type="pct"/>
            <w:noWrap w:val="0"/>
            <w:vAlign w:val="center"/>
          </w:tcPr>
          <w:p>
            <w:pPr>
              <w:jc w:val="center"/>
              <w:rPr>
                <w:rFonts w:hint="default" w:ascii="宋体" w:hAnsi="宋体"/>
                <w:b/>
                <w:bCs/>
                <w:sz w:val="24"/>
                <w:szCs w:val="24"/>
              </w:rPr>
            </w:pPr>
            <w:r>
              <w:rPr>
                <w:rFonts w:ascii="宋体" w:hAnsi="宋体"/>
                <w:b/>
                <w:bCs/>
                <w:sz w:val="24"/>
                <w:szCs w:val="24"/>
              </w:rPr>
              <w:t>一级功能模块</w:t>
            </w:r>
          </w:p>
        </w:tc>
        <w:tc>
          <w:tcPr>
            <w:tcW w:w="996" w:type="pct"/>
            <w:noWrap w:val="0"/>
            <w:vAlign w:val="center"/>
          </w:tcPr>
          <w:p>
            <w:pPr>
              <w:jc w:val="center"/>
              <w:rPr>
                <w:rFonts w:hint="default" w:ascii="宋体" w:hAnsi="宋体"/>
                <w:b/>
                <w:bCs/>
                <w:sz w:val="24"/>
                <w:szCs w:val="24"/>
              </w:rPr>
            </w:pPr>
            <w:r>
              <w:rPr>
                <w:rFonts w:ascii="宋体" w:hAnsi="宋体"/>
                <w:b/>
                <w:bCs/>
                <w:sz w:val="24"/>
                <w:szCs w:val="24"/>
              </w:rPr>
              <w:t>二级功能模块</w:t>
            </w:r>
          </w:p>
        </w:tc>
        <w:tc>
          <w:tcPr>
            <w:tcW w:w="2743" w:type="pct"/>
            <w:noWrap w:val="0"/>
            <w:vAlign w:val="center"/>
          </w:tcPr>
          <w:p>
            <w:pPr>
              <w:jc w:val="center"/>
              <w:rPr>
                <w:rFonts w:hint="default" w:ascii="宋体" w:hAnsi="宋体"/>
                <w:b/>
                <w:bCs/>
                <w:sz w:val="24"/>
                <w:szCs w:val="24"/>
              </w:rPr>
            </w:pPr>
            <w:r>
              <w:rPr>
                <w:rFonts w:ascii="宋体" w:hAnsi="宋体"/>
                <w:b/>
                <w:bCs/>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1" w:hRule="atLeast"/>
        </w:trPr>
        <w:tc>
          <w:tcPr>
            <w:tcW w:w="406" w:type="pct"/>
            <w:noWrap w:val="0"/>
            <w:vAlign w:val="center"/>
          </w:tcPr>
          <w:p>
            <w:pPr>
              <w:jc w:val="center"/>
              <w:textAlignment w:val="center"/>
              <w:rPr>
                <w:rFonts w:hint="default" w:ascii="宋体" w:hAnsi="宋体" w:cs="宋体"/>
                <w:kern w:val="0"/>
                <w:sz w:val="24"/>
                <w:szCs w:val="24"/>
                <w:lang w:bidi="ar"/>
              </w:rPr>
            </w:pPr>
            <w:r>
              <w:rPr>
                <w:rFonts w:ascii="宋体" w:hAnsi="宋体" w:cs="宋体"/>
                <w:kern w:val="0"/>
                <w:sz w:val="24"/>
                <w:szCs w:val="24"/>
                <w:lang w:bidi="ar"/>
              </w:rPr>
              <w:t>1</w:t>
            </w:r>
          </w:p>
        </w:tc>
        <w:tc>
          <w:tcPr>
            <w:tcW w:w="855" w:type="pct"/>
            <w:vMerge w:val="restar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传染病报告卡</w:t>
            </w: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报告卡填写</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由医师或技师根据业务系统中病人的诊断及检查检验结果判断是否上报，上报的基础数据是从业务系统中提取，支持手工录入。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2</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报告卡审核</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1、报告卡管理员，选中患者记录。</w:t>
            </w:r>
            <w:r>
              <w:rPr>
                <w:rFonts w:ascii="宋体" w:hAnsi="宋体" w:cs="宋体"/>
                <w:kern w:val="0"/>
                <w:sz w:val="24"/>
                <w:szCs w:val="24"/>
                <w:lang w:bidi="ar"/>
              </w:rPr>
              <w:br w:type="textWrapping"/>
            </w:r>
            <w:r>
              <w:rPr>
                <w:rFonts w:ascii="宋体" w:hAnsi="宋体" w:cs="宋体"/>
                <w:kern w:val="0"/>
                <w:sz w:val="24"/>
                <w:szCs w:val="24"/>
                <w:lang w:bidi="ar"/>
              </w:rPr>
              <w:t>2、根据需要作废或者审核记录。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3</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报告卡修改</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由原报告人对未审核或审核未通过或撤消审核的除了诊断和非死亡病例之外内容的修改，报告卡的修改是在原报告卡上修改，不产生新报告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4</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报告卡查询</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医师或技师对管辖患者传染报告卡查询，包括未审核、已审核、退卡、自动监测数据等。</w:t>
            </w:r>
            <w:r>
              <w:rPr>
                <w:rFonts w:ascii="宋体" w:hAnsi="宋体" w:cs="宋体"/>
                <w:kern w:val="0"/>
                <w:sz w:val="24"/>
                <w:szCs w:val="24"/>
                <w:lang w:bidi="ar"/>
              </w:rPr>
              <w:br w:type="textWrapping"/>
            </w:r>
            <w:r>
              <w:rPr>
                <w:rFonts w:ascii="宋体" w:hAnsi="宋体" w:cs="宋体"/>
                <w:kern w:val="0"/>
                <w:sz w:val="24"/>
                <w:szCs w:val="24"/>
                <w:lang w:bidi="ar"/>
              </w:rPr>
              <w:t>1、门诊病历查看：通过传输的门诊号提取出病人的病历首页，以表格的形式展示出来。</w:t>
            </w:r>
            <w:r>
              <w:rPr>
                <w:rFonts w:ascii="宋体" w:hAnsi="宋体" w:cs="宋体"/>
                <w:kern w:val="0"/>
                <w:sz w:val="24"/>
                <w:szCs w:val="24"/>
                <w:lang w:bidi="ar"/>
              </w:rPr>
              <w:br w:type="textWrapping"/>
            </w:r>
            <w:r>
              <w:rPr>
                <w:rFonts w:ascii="宋体" w:hAnsi="宋体" w:cs="宋体"/>
                <w:kern w:val="0"/>
                <w:sz w:val="24"/>
                <w:szCs w:val="24"/>
                <w:lang w:bidi="ar"/>
              </w:rPr>
              <w:t>2、住院病历查看：通过传输的住院号提取出病人的病历首页，以表格的形式展示出来。</w:t>
            </w:r>
            <w:r>
              <w:rPr>
                <w:rFonts w:ascii="宋体" w:hAnsi="宋体" w:cs="宋体"/>
                <w:kern w:val="0"/>
                <w:sz w:val="24"/>
                <w:szCs w:val="24"/>
                <w:lang w:bidi="ar"/>
              </w:rPr>
              <w:br w:type="textWrapping"/>
            </w:r>
            <w:r>
              <w:rPr>
                <w:rFonts w:ascii="宋体" w:hAnsi="宋体" w:cs="宋体"/>
                <w:kern w:val="0"/>
                <w:sz w:val="24"/>
                <w:szCs w:val="24"/>
                <w:lang w:bidi="ar"/>
              </w:rPr>
              <w:t>3、检查结果查看：通过接口从业务系统中检索检查结果，以列表的形式展示检查记录，并通过双击记录行，来展示对应的明细。</w:t>
            </w:r>
            <w:r>
              <w:rPr>
                <w:rFonts w:ascii="宋体" w:hAnsi="宋体" w:cs="宋体"/>
                <w:kern w:val="0"/>
                <w:sz w:val="24"/>
                <w:szCs w:val="24"/>
                <w:lang w:bidi="ar"/>
              </w:rPr>
              <w:br w:type="textWrapping"/>
            </w:r>
            <w:r>
              <w:rPr>
                <w:rFonts w:ascii="宋体" w:hAnsi="宋体" w:cs="宋体"/>
                <w:kern w:val="0"/>
                <w:sz w:val="24"/>
                <w:szCs w:val="24"/>
                <w:lang w:bidi="ar"/>
              </w:rPr>
              <w:t>4、检验结果查看：通过接口从业务系统中检索检验结果，以列表的形式展示检验记录，并通过双击记录行，来展示对应的明细。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5</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转诊单告知书</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通过此功能，方便医生打印《肺结核患者或疑似肺结核患者转诊/推荐单》和《艾滋病病毒抗体初筛阳性结果告知书》。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6</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报告卡订正</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诊断发生变化或病例患者死亡时，需要上报订正报告，由原报告人以初次报告为基础，生成新报告，订正项目包含“诊断”和“死亡”状态中的一种。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7</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重复卡查询</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根据患者信息查询同一患者同一传染病的多条记录。查重。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406" w:type="pct"/>
            <w:noWrap w:val="0"/>
            <w:vAlign w:val="center"/>
          </w:tcPr>
          <w:p>
            <w:pPr>
              <w:jc w:val="center"/>
              <w:textAlignment w:val="center"/>
              <w:rPr>
                <w:rFonts w:hint="default" w:ascii="宋体" w:hAnsi="宋体" w:cs="宋体"/>
                <w:kern w:val="0"/>
                <w:sz w:val="24"/>
                <w:szCs w:val="24"/>
                <w:lang w:bidi="ar"/>
              </w:rPr>
            </w:pPr>
            <w:r>
              <w:rPr>
                <w:rFonts w:ascii="宋体" w:hAnsi="宋体" w:cs="宋体"/>
                <w:kern w:val="0"/>
                <w:sz w:val="24"/>
                <w:szCs w:val="24"/>
                <w:lang w:bidi="ar"/>
              </w:rPr>
              <w:t>8</w:t>
            </w:r>
          </w:p>
        </w:tc>
        <w:tc>
          <w:tcPr>
            <w:tcW w:w="855" w:type="pct"/>
            <w:vMerge w:val="restar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报告卡监测</w:t>
            </w: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检测记录审核</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根据查询条件，查询出自动监测的数据，可对监测数据处理，包括提醒医生填报、删除等操作。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9</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门诊记录监测</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此功能是为了报告卡管理员即时查看门诊病人就诊记录，并与传染病报告卡信息表比对，标识出哪些病人报卡状态，选择其中一个，点按钮，可以查看病人的病历、检查结果、检验结果等病人就诊记录。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10</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住院记录监测</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此功能是为了报告卡管理员即时查看住院病人就诊记录，包括按入院日期、出院日期、归档日期查询，查询患者入院诊断、出院诊断，通过记录列表的链接，可以查看病人的病历、检查结果、检验结果等病人就诊记录。可以导出EXCEL表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4" w:hRule="atLeast"/>
        </w:trPr>
        <w:tc>
          <w:tcPr>
            <w:tcW w:w="406" w:type="pct"/>
            <w:noWrap w:val="0"/>
            <w:vAlign w:val="center"/>
          </w:tcPr>
          <w:p>
            <w:pPr>
              <w:jc w:val="center"/>
              <w:textAlignment w:val="center"/>
              <w:rPr>
                <w:rFonts w:hint="default" w:ascii="宋体" w:hAnsi="宋体" w:cs="宋体"/>
                <w:kern w:val="0"/>
                <w:sz w:val="24"/>
                <w:szCs w:val="24"/>
                <w:lang w:bidi="ar"/>
              </w:rPr>
            </w:pPr>
            <w:r>
              <w:rPr>
                <w:rFonts w:ascii="宋体" w:hAnsi="宋体" w:cs="宋体"/>
                <w:kern w:val="0"/>
                <w:sz w:val="24"/>
                <w:szCs w:val="24"/>
                <w:lang w:bidi="ar"/>
              </w:rPr>
              <w:t>11</w:t>
            </w:r>
          </w:p>
        </w:tc>
        <w:tc>
          <w:tcPr>
            <w:tcW w:w="855" w:type="pct"/>
            <w:vMerge w:val="restar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死亡报告卡</w:t>
            </w: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死亡卡填写</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1、选择死者，填写对应基本信息。</w:t>
            </w:r>
            <w:r>
              <w:rPr>
                <w:rFonts w:ascii="宋体" w:hAnsi="宋体" w:cs="宋体"/>
                <w:kern w:val="0"/>
                <w:sz w:val="24"/>
                <w:szCs w:val="24"/>
                <w:lang w:bidi="ar"/>
              </w:rPr>
              <w:br w:type="textWrapping"/>
            </w:r>
            <w:r>
              <w:rPr>
                <w:rFonts w:ascii="宋体" w:hAnsi="宋体" w:cs="宋体"/>
                <w:kern w:val="0"/>
                <w:sz w:val="24"/>
                <w:szCs w:val="24"/>
                <w:lang w:bidi="ar"/>
              </w:rPr>
              <w:t>2、选择原因、时间等信息。</w:t>
            </w:r>
            <w:r>
              <w:rPr>
                <w:rFonts w:ascii="宋体" w:hAnsi="宋体" w:cs="宋体"/>
                <w:kern w:val="0"/>
                <w:sz w:val="24"/>
                <w:szCs w:val="24"/>
                <w:lang w:bidi="ar"/>
              </w:rPr>
              <w:br w:type="textWrapping"/>
            </w:r>
            <w:r>
              <w:rPr>
                <w:rFonts w:ascii="宋体" w:hAnsi="宋体" w:cs="宋体"/>
                <w:kern w:val="0"/>
                <w:sz w:val="24"/>
                <w:szCs w:val="24"/>
                <w:lang w:bidi="ar"/>
              </w:rPr>
              <w:t>3、校验数据规则，上报。</w:t>
            </w:r>
            <w:r>
              <w:rPr>
                <w:rFonts w:ascii="宋体" w:hAnsi="宋体" w:cs="宋体"/>
                <w:kern w:val="0"/>
                <w:sz w:val="24"/>
                <w:szCs w:val="24"/>
                <w:lang w:bidi="ar"/>
              </w:rPr>
              <w:br w:type="textWrapping"/>
            </w:r>
            <w:r>
              <w:rPr>
                <w:rFonts w:ascii="宋体" w:hAnsi="宋体" w:cs="宋体"/>
                <w:kern w:val="0"/>
                <w:sz w:val="24"/>
                <w:szCs w:val="24"/>
                <w:lang w:bidi="ar"/>
              </w:rPr>
              <w:t>4、疾控科管理员可以填报全院死亡报告，支持基础数据从业务系统中提取，支持手工录入。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12</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死亡卡审核</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由疾控科管理员对医生上报的死亡报告审核，对审核不通过的，可回退到原报告人，可录入备注消息，说明退卡原因。可作废审核不通过的报告卡。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13</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死亡卡修改</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疾控科管理员对未审核或审核未通过的死亡报告卡的修改，报告卡的修改是在原报告卡上修改，不产生新报告。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14</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死亡卡查询</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1、疾控科管理员对全院死亡报告卡上报情况的查询，包括未审核、已审核、退卡、撤消审核等。</w:t>
            </w:r>
            <w:r>
              <w:rPr>
                <w:rFonts w:ascii="宋体" w:hAnsi="宋体" w:cs="宋体"/>
                <w:kern w:val="0"/>
                <w:sz w:val="24"/>
                <w:szCs w:val="24"/>
                <w:lang w:bidi="ar"/>
              </w:rPr>
              <w:br w:type="textWrapping"/>
            </w:r>
            <w:r>
              <w:rPr>
                <w:rFonts w:ascii="宋体" w:hAnsi="宋体" w:cs="宋体"/>
                <w:kern w:val="0"/>
                <w:sz w:val="24"/>
                <w:szCs w:val="24"/>
                <w:lang w:bidi="ar"/>
              </w:rPr>
              <w:t>2、门诊病历查看：通过传输的门诊号提取出病人的病历首页，以表格的形式展示出来。</w:t>
            </w:r>
            <w:r>
              <w:rPr>
                <w:rFonts w:ascii="宋体" w:hAnsi="宋体" w:cs="宋体"/>
                <w:kern w:val="0"/>
                <w:sz w:val="24"/>
                <w:szCs w:val="24"/>
                <w:lang w:bidi="ar"/>
              </w:rPr>
              <w:br w:type="textWrapping"/>
            </w:r>
            <w:r>
              <w:rPr>
                <w:rFonts w:ascii="宋体" w:hAnsi="宋体" w:cs="宋体"/>
                <w:kern w:val="0"/>
                <w:sz w:val="24"/>
                <w:szCs w:val="24"/>
                <w:lang w:bidi="ar"/>
              </w:rPr>
              <w:t>3、住院病历查看：通过传输的住院号提取出病人的病历，以表格或仿真病历的形式展示出来。</w:t>
            </w:r>
            <w:r>
              <w:rPr>
                <w:rFonts w:ascii="宋体" w:hAnsi="宋体" w:cs="宋体"/>
                <w:kern w:val="0"/>
                <w:sz w:val="24"/>
                <w:szCs w:val="24"/>
                <w:lang w:bidi="ar"/>
              </w:rPr>
              <w:br w:type="textWrapping"/>
            </w:r>
            <w:r>
              <w:rPr>
                <w:rFonts w:ascii="宋体" w:hAnsi="宋体" w:cs="宋体"/>
                <w:kern w:val="0"/>
                <w:sz w:val="24"/>
                <w:szCs w:val="24"/>
                <w:lang w:bidi="ar"/>
              </w:rPr>
              <w:t>4、检查结果查看：通过接口从业务系统中检索检查结果，以列表的形式展示检查记录，并通过双击记录行，来展示对应的明细。</w:t>
            </w:r>
            <w:r>
              <w:rPr>
                <w:rFonts w:ascii="宋体" w:hAnsi="宋体" w:cs="宋体"/>
                <w:kern w:val="0"/>
                <w:sz w:val="24"/>
                <w:szCs w:val="24"/>
                <w:lang w:bidi="ar"/>
              </w:rPr>
              <w:br w:type="textWrapping"/>
            </w:r>
            <w:r>
              <w:rPr>
                <w:rFonts w:ascii="宋体" w:hAnsi="宋体" w:cs="宋体"/>
                <w:kern w:val="0"/>
                <w:sz w:val="24"/>
                <w:szCs w:val="24"/>
                <w:lang w:bidi="ar"/>
              </w:rPr>
              <w:t>5、检验结果查看：通过接口从业务系统中检索检验结果，以列表的形式展示检验记录，并通过双击记录行，来展示对应的明细。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406" w:type="pct"/>
            <w:noWrap w:val="0"/>
            <w:vAlign w:val="center"/>
          </w:tcPr>
          <w:p>
            <w:pPr>
              <w:jc w:val="center"/>
              <w:textAlignment w:val="center"/>
              <w:rPr>
                <w:rFonts w:hint="default" w:ascii="宋体" w:hAnsi="宋体" w:cs="宋体"/>
                <w:kern w:val="0"/>
                <w:sz w:val="24"/>
                <w:szCs w:val="24"/>
                <w:lang w:bidi="ar"/>
              </w:rPr>
            </w:pPr>
            <w:r>
              <w:rPr>
                <w:rFonts w:ascii="宋体" w:hAnsi="宋体" w:cs="宋体"/>
                <w:kern w:val="0"/>
                <w:sz w:val="24"/>
                <w:szCs w:val="24"/>
                <w:lang w:bidi="ar"/>
              </w:rPr>
              <w:t>15</w:t>
            </w:r>
          </w:p>
        </w:tc>
        <w:tc>
          <w:tcPr>
            <w:tcW w:w="855" w:type="pct"/>
            <w:vMerge w:val="restar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肿瘤报告卡</w:t>
            </w: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肿瘤卡填写</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1、选择肿瘤患者，填写对应基本信息。</w:t>
            </w:r>
            <w:r>
              <w:rPr>
                <w:rFonts w:ascii="宋体" w:hAnsi="宋体" w:cs="宋体"/>
                <w:kern w:val="0"/>
                <w:sz w:val="24"/>
                <w:szCs w:val="24"/>
                <w:lang w:bidi="ar"/>
              </w:rPr>
              <w:br w:type="textWrapping"/>
            </w:r>
            <w:r>
              <w:rPr>
                <w:rFonts w:ascii="宋体" w:hAnsi="宋体" w:cs="宋体"/>
                <w:kern w:val="0"/>
                <w:sz w:val="24"/>
                <w:szCs w:val="24"/>
                <w:lang w:bidi="ar"/>
              </w:rPr>
              <w:t>2、选择肿瘤信息填写</w:t>
            </w:r>
            <w:r>
              <w:rPr>
                <w:rFonts w:ascii="宋体" w:hAnsi="宋体" w:cs="宋体"/>
                <w:kern w:val="0"/>
                <w:sz w:val="24"/>
                <w:szCs w:val="24"/>
                <w:lang w:bidi="ar"/>
              </w:rPr>
              <w:br w:type="textWrapping"/>
            </w:r>
            <w:r>
              <w:rPr>
                <w:rFonts w:ascii="宋体" w:hAnsi="宋体" w:cs="宋体"/>
                <w:kern w:val="0"/>
                <w:sz w:val="24"/>
                <w:szCs w:val="24"/>
                <w:lang w:bidi="ar"/>
              </w:rPr>
              <w:t>3、校验数据规则，上报。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16</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肿瘤卡审核</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1、报告卡管理员，选中肿瘤患者记录。</w:t>
            </w:r>
            <w:r>
              <w:rPr>
                <w:rFonts w:ascii="宋体" w:hAnsi="宋体" w:cs="宋体"/>
                <w:kern w:val="0"/>
                <w:sz w:val="24"/>
                <w:szCs w:val="24"/>
                <w:lang w:bidi="ar"/>
              </w:rPr>
              <w:br w:type="textWrapping"/>
            </w:r>
            <w:r>
              <w:rPr>
                <w:rFonts w:ascii="宋体" w:hAnsi="宋体" w:cs="宋体"/>
                <w:kern w:val="0"/>
                <w:sz w:val="24"/>
                <w:szCs w:val="24"/>
                <w:lang w:bidi="ar"/>
              </w:rPr>
              <w:t>2、根据需要作废或者审核记录。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17</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肿瘤卡修改</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修改错误的肿瘤卡内容。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18</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肿瘤卡查询</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1、输入查询条件</w:t>
            </w:r>
            <w:r>
              <w:rPr>
                <w:rFonts w:ascii="宋体" w:hAnsi="宋体" w:cs="宋体"/>
                <w:kern w:val="0"/>
                <w:sz w:val="24"/>
                <w:szCs w:val="24"/>
                <w:lang w:bidi="ar"/>
              </w:rPr>
              <w:br w:type="textWrapping"/>
            </w:r>
            <w:r>
              <w:rPr>
                <w:rFonts w:ascii="宋体" w:hAnsi="宋体" w:cs="宋体"/>
                <w:kern w:val="0"/>
                <w:sz w:val="24"/>
                <w:szCs w:val="24"/>
                <w:lang w:bidi="ar"/>
              </w:rPr>
              <w:t>2、查询所有的肿瘤卡记录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3" w:hRule="atLeast"/>
        </w:trPr>
        <w:tc>
          <w:tcPr>
            <w:tcW w:w="406" w:type="pct"/>
            <w:noWrap w:val="0"/>
            <w:vAlign w:val="center"/>
          </w:tcPr>
          <w:p>
            <w:pPr>
              <w:jc w:val="center"/>
              <w:textAlignment w:val="center"/>
              <w:rPr>
                <w:rFonts w:hint="default" w:ascii="宋体" w:hAnsi="宋体" w:cs="宋体"/>
                <w:kern w:val="0"/>
                <w:sz w:val="24"/>
                <w:szCs w:val="24"/>
                <w:lang w:bidi="ar"/>
              </w:rPr>
            </w:pPr>
            <w:r>
              <w:rPr>
                <w:rFonts w:ascii="宋体" w:hAnsi="宋体" w:cs="宋体"/>
                <w:kern w:val="0"/>
                <w:sz w:val="24"/>
                <w:szCs w:val="24"/>
                <w:lang w:bidi="ar"/>
              </w:rPr>
              <w:t>19</w:t>
            </w:r>
          </w:p>
        </w:tc>
        <w:tc>
          <w:tcPr>
            <w:tcW w:w="855" w:type="pct"/>
            <w:vMerge w:val="restar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心脑血管报告卡</w:t>
            </w: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报告卡填写</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1、选择患者，填写对应信息。</w:t>
            </w:r>
            <w:r>
              <w:rPr>
                <w:rFonts w:ascii="宋体" w:hAnsi="宋体" w:cs="宋体"/>
                <w:kern w:val="0"/>
                <w:sz w:val="24"/>
                <w:szCs w:val="24"/>
                <w:lang w:bidi="ar"/>
              </w:rPr>
              <w:br w:type="textWrapping"/>
            </w:r>
            <w:r>
              <w:rPr>
                <w:rFonts w:ascii="宋体" w:hAnsi="宋体" w:cs="宋体"/>
                <w:kern w:val="0"/>
                <w:sz w:val="24"/>
                <w:szCs w:val="24"/>
                <w:lang w:bidi="ar"/>
              </w:rPr>
              <w:t>2、选择所患传染病。</w:t>
            </w:r>
            <w:r>
              <w:rPr>
                <w:rFonts w:ascii="宋体" w:hAnsi="宋体" w:cs="宋体"/>
                <w:kern w:val="0"/>
                <w:sz w:val="24"/>
                <w:szCs w:val="24"/>
                <w:lang w:bidi="ar"/>
              </w:rPr>
              <w:br w:type="textWrapping"/>
            </w:r>
            <w:r>
              <w:rPr>
                <w:rFonts w:ascii="宋体" w:hAnsi="宋体" w:cs="宋体"/>
                <w:kern w:val="0"/>
                <w:sz w:val="24"/>
                <w:szCs w:val="24"/>
                <w:lang w:bidi="ar"/>
              </w:rPr>
              <w:t>3、校验数据规则，上报。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20</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报告卡审核</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1、报告卡管理员，选中患者记录。</w:t>
            </w:r>
            <w:r>
              <w:rPr>
                <w:rFonts w:ascii="宋体" w:hAnsi="宋体" w:cs="宋体"/>
                <w:kern w:val="0"/>
                <w:sz w:val="24"/>
                <w:szCs w:val="24"/>
                <w:lang w:bidi="ar"/>
              </w:rPr>
              <w:br w:type="textWrapping"/>
            </w:r>
            <w:r>
              <w:rPr>
                <w:rFonts w:ascii="宋体" w:hAnsi="宋体" w:cs="宋体"/>
                <w:kern w:val="0"/>
                <w:sz w:val="24"/>
                <w:szCs w:val="24"/>
                <w:lang w:bidi="ar"/>
              </w:rPr>
              <w:t>2、根据需要作废或者审核记录。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21</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报告卡修改</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修改错误的报告卡内容。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22</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报告卡查询</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1、输入查询条件</w:t>
            </w:r>
            <w:r>
              <w:rPr>
                <w:rFonts w:ascii="宋体" w:hAnsi="宋体" w:cs="宋体"/>
                <w:kern w:val="0"/>
                <w:sz w:val="24"/>
                <w:szCs w:val="24"/>
                <w:lang w:bidi="ar"/>
              </w:rPr>
              <w:br w:type="textWrapping"/>
            </w:r>
            <w:r>
              <w:rPr>
                <w:rFonts w:ascii="宋体" w:hAnsi="宋体" w:cs="宋体"/>
                <w:kern w:val="0"/>
                <w:sz w:val="24"/>
                <w:szCs w:val="24"/>
                <w:lang w:bidi="ar"/>
              </w:rPr>
              <w:t>2、查询所有的报告卡记录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4" w:hRule="atLeast"/>
        </w:trPr>
        <w:tc>
          <w:tcPr>
            <w:tcW w:w="406" w:type="pct"/>
            <w:noWrap w:val="0"/>
            <w:vAlign w:val="center"/>
          </w:tcPr>
          <w:p>
            <w:pPr>
              <w:jc w:val="center"/>
              <w:textAlignment w:val="center"/>
              <w:rPr>
                <w:rFonts w:hint="default" w:ascii="宋体" w:hAnsi="宋体" w:cs="宋体"/>
                <w:kern w:val="0"/>
                <w:sz w:val="24"/>
                <w:szCs w:val="24"/>
                <w:lang w:bidi="ar"/>
              </w:rPr>
            </w:pPr>
            <w:r>
              <w:rPr>
                <w:rFonts w:ascii="宋体" w:hAnsi="宋体" w:cs="宋体"/>
                <w:kern w:val="0"/>
                <w:sz w:val="24"/>
                <w:szCs w:val="24"/>
                <w:lang w:bidi="ar"/>
              </w:rPr>
              <w:t>23</w:t>
            </w:r>
          </w:p>
        </w:tc>
        <w:tc>
          <w:tcPr>
            <w:tcW w:w="855" w:type="pct"/>
            <w:vMerge w:val="restar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食源性报告卡</w:t>
            </w: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报告卡填写</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1、选择患者，填写对应信息。</w:t>
            </w:r>
            <w:r>
              <w:rPr>
                <w:rFonts w:ascii="宋体" w:hAnsi="宋体" w:cs="宋体"/>
                <w:kern w:val="0"/>
                <w:sz w:val="24"/>
                <w:szCs w:val="24"/>
                <w:lang w:bidi="ar"/>
              </w:rPr>
              <w:br w:type="textWrapping"/>
            </w:r>
            <w:r>
              <w:rPr>
                <w:rFonts w:ascii="宋体" w:hAnsi="宋体" w:cs="宋体"/>
                <w:kern w:val="0"/>
                <w:sz w:val="24"/>
                <w:szCs w:val="24"/>
                <w:lang w:bidi="ar"/>
              </w:rPr>
              <w:t>2、选择所患传染病。</w:t>
            </w:r>
            <w:r>
              <w:rPr>
                <w:rFonts w:ascii="宋体" w:hAnsi="宋体" w:cs="宋体"/>
                <w:kern w:val="0"/>
                <w:sz w:val="24"/>
                <w:szCs w:val="24"/>
                <w:lang w:bidi="ar"/>
              </w:rPr>
              <w:br w:type="textWrapping"/>
            </w:r>
            <w:r>
              <w:rPr>
                <w:rFonts w:ascii="宋体" w:hAnsi="宋体" w:cs="宋体"/>
                <w:kern w:val="0"/>
                <w:sz w:val="24"/>
                <w:szCs w:val="24"/>
                <w:lang w:bidi="ar"/>
              </w:rPr>
              <w:t>3、校验数据规则，上报。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24</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报告卡审核</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1、报告卡管理员，选中患者记录。</w:t>
            </w:r>
            <w:r>
              <w:rPr>
                <w:rFonts w:ascii="宋体" w:hAnsi="宋体" w:cs="宋体"/>
                <w:kern w:val="0"/>
                <w:sz w:val="24"/>
                <w:szCs w:val="24"/>
                <w:lang w:bidi="ar"/>
              </w:rPr>
              <w:br w:type="textWrapping"/>
            </w:r>
            <w:r>
              <w:rPr>
                <w:rFonts w:ascii="宋体" w:hAnsi="宋体" w:cs="宋体"/>
                <w:kern w:val="0"/>
                <w:sz w:val="24"/>
                <w:szCs w:val="24"/>
                <w:lang w:bidi="ar"/>
              </w:rPr>
              <w:t>2、根据需要作废或者审核记录。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25</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报告卡修改</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修改错误的报告卡内容。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26</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报告卡查询</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1、输入查询条件</w:t>
            </w:r>
            <w:r>
              <w:rPr>
                <w:rFonts w:ascii="宋体" w:hAnsi="宋体" w:cs="宋体"/>
                <w:kern w:val="0"/>
                <w:sz w:val="24"/>
                <w:szCs w:val="24"/>
                <w:lang w:bidi="ar"/>
              </w:rPr>
              <w:br w:type="textWrapping"/>
            </w:r>
            <w:r>
              <w:rPr>
                <w:rFonts w:ascii="宋体" w:hAnsi="宋体" w:cs="宋体"/>
                <w:kern w:val="0"/>
                <w:sz w:val="24"/>
                <w:szCs w:val="24"/>
                <w:lang w:bidi="ar"/>
              </w:rPr>
              <w:t>2、查询所有的报告卡记录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406" w:type="pct"/>
            <w:noWrap w:val="0"/>
            <w:vAlign w:val="center"/>
          </w:tcPr>
          <w:p>
            <w:pPr>
              <w:jc w:val="center"/>
              <w:textAlignment w:val="center"/>
              <w:rPr>
                <w:rFonts w:hint="default" w:ascii="宋体" w:hAnsi="宋体" w:cs="宋体"/>
                <w:kern w:val="0"/>
                <w:sz w:val="24"/>
                <w:szCs w:val="24"/>
                <w:lang w:bidi="ar"/>
              </w:rPr>
            </w:pPr>
            <w:r>
              <w:rPr>
                <w:rFonts w:ascii="宋体" w:hAnsi="宋体" w:cs="宋体"/>
                <w:kern w:val="0"/>
                <w:sz w:val="24"/>
                <w:szCs w:val="24"/>
                <w:lang w:bidi="ar"/>
              </w:rPr>
              <w:t>27</w:t>
            </w:r>
          </w:p>
        </w:tc>
        <w:tc>
          <w:tcPr>
            <w:tcW w:w="855" w:type="pct"/>
            <w:vMerge w:val="restar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统计分析</w:t>
            </w: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传染病病历漏报分析表</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按照科室分析某段时间内，(补报+超时未报)漏报/总数的比例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28</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传染病病历漏报通报表</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所有漏报数据的详细信息，包括漏报医生、科室、病人信息、通报类型等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29</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传染病病历统计明细表</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统计单个传染病的例数、同比增长比率、环比增长比率、构成比等信息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30</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传染病报告登记表</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所有登记的传染病患者信息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31</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传染病病历科室分布表</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柱状图、分析科室分布传染病的情况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32</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传染病发病趋势分析</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分析仅5年来所有传染病的例数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06" w:type="pct"/>
            <w:noWrap w:val="0"/>
            <w:vAlign w:val="center"/>
          </w:tcPr>
          <w:p>
            <w:pPr>
              <w:tabs>
                <w:tab w:val="left" w:pos="213"/>
              </w:tabs>
              <w:jc w:val="left"/>
              <w:rPr>
                <w:rFonts w:hint="default" w:ascii="宋体" w:hAnsi="宋体" w:cs="宋体"/>
                <w:sz w:val="24"/>
                <w:szCs w:val="24"/>
              </w:rPr>
            </w:pPr>
            <w:r>
              <w:rPr>
                <w:rFonts w:ascii="宋体" w:hAnsi="宋体" w:cs="宋体"/>
                <w:sz w:val="24"/>
                <w:szCs w:val="24"/>
              </w:rPr>
              <w:tab/>
            </w:r>
            <w:r>
              <w:rPr>
                <w:rFonts w:ascii="宋体" w:hAnsi="宋体" w:cs="宋体"/>
                <w:sz w:val="24"/>
                <w:szCs w:val="24"/>
              </w:rPr>
              <w:t>33</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分地区统计报表</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按照地区分布统计传染病例数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34</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分年龄统计报表</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按照年龄分布统计传染病例数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35</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分职业统计报表</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按照职业分布统计传染病例数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36</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死亡报告登记表</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死亡报告登记表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37</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肿瘤报告登记表</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肿瘤报告登记表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406" w:type="pct"/>
            <w:noWrap w:val="0"/>
            <w:vAlign w:val="center"/>
          </w:tcPr>
          <w:p>
            <w:pPr>
              <w:jc w:val="center"/>
              <w:textAlignment w:val="center"/>
              <w:rPr>
                <w:rFonts w:hint="default" w:ascii="宋体" w:hAnsi="宋体" w:cs="宋体"/>
                <w:kern w:val="0"/>
                <w:sz w:val="24"/>
                <w:szCs w:val="24"/>
                <w:lang w:bidi="ar"/>
              </w:rPr>
            </w:pPr>
            <w:r>
              <w:rPr>
                <w:rFonts w:ascii="宋体" w:hAnsi="宋体" w:cs="宋体"/>
                <w:kern w:val="0"/>
                <w:sz w:val="24"/>
                <w:szCs w:val="24"/>
                <w:lang w:bidi="ar"/>
              </w:rPr>
              <w:t>38</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心脑血管报告登记表</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心脑血管报告登记表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39</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食源性报告卡统计</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食源性报告卡统计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40</w:t>
            </w:r>
          </w:p>
        </w:tc>
        <w:tc>
          <w:tcPr>
            <w:tcW w:w="855" w:type="pct"/>
            <w:vMerge w:val="restar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基础数据维护</w:t>
            </w: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患者职业</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维护患者所有可以选择的职业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41</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传染病目录</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维护所有法定传染病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42</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监测参数</w:t>
            </w:r>
          </w:p>
        </w:tc>
        <w:tc>
          <w:tcPr>
            <w:tcW w:w="2743" w:type="pct"/>
            <w:noWrap w:val="0"/>
            <w:vAlign w:val="center"/>
          </w:tcPr>
          <w:p>
            <w:pPr>
              <w:rPr>
                <w:rFonts w:hint="default" w:ascii="宋体" w:hAnsi="宋体" w:cs="宋体"/>
                <w:sz w:val="24"/>
                <w:szCs w:val="24"/>
              </w:rPr>
            </w:pPr>
            <w:r>
              <w:rPr>
                <w:rFonts w:ascii="宋体" w:hAnsi="宋体" w:cs="宋体"/>
                <w:sz w:val="24"/>
                <w:szCs w:val="24"/>
              </w:rPr>
              <w:t>监测参数维护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43</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诊断标准维护</w:t>
            </w:r>
          </w:p>
        </w:tc>
        <w:tc>
          <w:tcPr>
            <w:tcW w:w="2743" w:type="pct"/>
            <w:noWrap w:val="0"/>
            <w:vAlign w:val="center"/>
          </w:tcPr>
          <w:p>
            <w:pPr>
              <w:rPr>
                <w:rFonts w:hint="default" w:ascii="宋体" w:hAnsi="宋体" w:cs="宋体"/>
                <w:sz w:val="24"/>
                <w:szCs w:val="24"/>
              </w:rPr>
            </w:pPr>
            <w:r>
              <w:rPr>
                <w:rFonts w:ascii="宋体" w:hAnsi="宋体" w:cs="宋体"/>
                <w:sz w:val="24"/>
                <w:szCs w:val="24"/>
              </w:rPr>
              <w:t>诊断标准维护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44</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行政区划分维护</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维护所有可选的行政区、国标地址等信息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45</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医院信息维护</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维护医院的名称、单位级别、管理类型、区域编码等信息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9"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46</w:t>
            </w:r>
          </w:p>
        </w:tc>
        <w:tc>
          <w:tcPr>
            <w:tcW w:w="855" w:type="pct"/>
            <w:vMerge w:val="restar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传染病自动监测预警程序</w:t>
            </w: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临床诊断自动监测预警</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根据患者的临床诊断，自动预警出来需要上报传染病的患者，并生成预警记录，交由传染病管理员审核并生成提醒记录。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47</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检验结果自动监测预警</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根据检验结果的异常情况，自动预警出来需要上报的传染病患者，并生成预警记录，交由传染病管理员审核并生成提醒记录。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48</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监测日志查询</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查询并管理自动监测预警程序的运行情况，可以查询每次自动监测预警运行情况。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49</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监测记录查询</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查询并管理自动监测预警记录，查询自动预警监测的患者基本信息。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406" w:type="pct"/>
            <w:noWrap w:val="0"/>
            <w:vAlign w:val="center"/>
          </w:tcPr>
          <w:p>
            <w:pPr>
              <w:jc w:val="center"/>
              <w:rPr>
                <w:rFonts w:hint="default" w:ascii="宋体" w:hAnsi="宋体" w:cs="宋体"/>
                <w:sz w:val="24"/>
                <w:szCs w:val="24"/>
              </w:rPr>
            </w:pPr>
            <w:r>
              <w:rPr>
                <w:rFonts w:ascii="宋体" w:hAnsi="宋体" w:cs="宋体"/>
                <w:sz w:val="24"/>
                <w:szCs w:val="24"/>
              </w:rPr>
              <w:t>50</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电子病历转换服务</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用于转换临床电子病历格式，把原来的C/S结构转换B/S结构，方便在前端查询。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406" w:type="pct"/>
            <w:noWrap w:val="0"/>
            <w:vAlign w:val="center"/>
          </w:tcPr>
          <w:p>
            <w:pPr>
              <w:jc w:val="center"/>
              <w:textAlignment w:val="center"/>
              <w:rPr>
                <w:rFonts w:hint="default" w:ascii="宋体" w:hAnsi="宋体" w:cs="宋体"/>
                <w:kern w:val="0"/>
                <w:sz w:val="24"/>
                <w:szCs w:val="24"/>
                <w:lang w:bidi="ar"/>
              </w:rPr>
            </w:pPr>
            <w:r>
              <w:rPr>
                <w:rFonts w:ascii="宋体" w:hAnsi="宋体" w:cs="宋体"/>
                <w:kern w:val="0"/>
                <w:sz w:val="24"/>
                <w:szCs w:val="24"/>
                <w:lang w:bidi="ar"/>
              </w:rPr>
              <w:t>51</w:t>
            </w:r>
          </w:p>
        </w:tc>
        <w:tc>
          <w:tcPr>
            <w:tcW w:w="855" w:type="pct"/>
            <w:vMerge w:val="continue"/>
            <w:noWrap w:val="0"/>
            <w:vAlign w:val="center"/>
          </w:tcPr>
          <w:p>
            <w:pPr>
              <w:jc w:val="left"/>
              <w:rPr>
                <w:rFonts w:hint="default" w:ascii="宋体" w:hAnsi="宋体" w:cs="宋体"/>
                <w:sz w:val="24"/>
                <w:szCs w:val="24"/>
              </w:rPr>
            </w:pPr>
          </w:p>
        </w:tc>
        <w:tc>
          <w:tcPr>
            <w:tcW w:w="996"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服务设置管理</w:t>
            </w:r>
          </w:p>
        </w:tc>
        <w:tc>
          <w:tcPr>
            <w:tcW w:w="2743" w:type="pct"/>
            <w:noWrap w:val="0"/>
            <w:vAlign w:val="center"/>
          </w:tcPr>
          <w:p>
            <w:pPr>
              <w:jc w:val="left"/>
              <w:textAlignment w:val="center"/>
              <w:rPr>
                <w:rFonts w:hint="default" w:ascii="宋体" w:hAnsi="宋体" w:cs="宋体"/>
                <w:sz w:val="24"/>
                <w:szCs w:val="24"/>
              </w:rPr>
            </w:pPr>
            <w:r>
              <w:rPr>
                <w:rFonts w:ascii="宋体" w:hAnsi="宋体" w:cs="宋体"/>
                <w:kern w:val="0"/>
                <w:sz w:val="24"/>
                <w:szCs w:val="24"/>
                <w:lang w:bidi="ar"/>
              </w:rPr>
              <w:t>根据医院实际情况配置服务参数。</w:t>
            </w:r>
          </w:p>
        </w:tc>
      </w:tr>
    </w:tbl>
    <w:p>
      <w:pPr>
        <w:pStyle w:val="5"/>
        <w:numPr>
          <w:ilvl w:val="2"/>
          <w:numId w:val="10"/>
        </w:numPr>
        <w:spacing w:before="0" w:after="0" w:line="360" w:lineRule="auto"/>
        <w:rPr>
          <w:rFonts w:ascii="宋体" w:hAnsi="宋体"/>
        </w:rPr>
      </w:pPr>
      <w:r>
        <w:rPr>
          <w:rFonts w:hint="eastAsia" w:ascii="宋体" w:hAnsi="宋体"/>
        </w:rPr>
        <w:t>医疗安全不良事件（包含药品、器械）</w:t>
      </w:r>
    </w:p>
    <w:p>
      <w:pPr>
        <w:pStyle w:val="6"/>
        <w:ind w:firstLine="0"/>
        <w:rPr>
          <w:rFonts w:ascii="宋体" w:hAnsi="宋体" w:cs="Times New Roman"/>
        </w:rPr>
      </w:pPr>
      <w:r>
        <w:rPr>
          <w:rFonts w:hint="eastAsia" w:cs="Calibri"/>
        </w:rPr>
        <w:t>(</w:t>
      </w:r>
      <w:r>
        <w:rPr>
          <w:rFonts w:cs="Calibri"/>
        </w:rPr>
        <w:t>1</w:t>
      </w:r>
      <w:r>
        <w:rPr>
          <w:rFonts w:hint="eastAsia" w:cs="Calibri"/>
        </w:rPr>
        <w:t xml:space="preserve">) </w:t>
      </w:r>
      <w:r>
        <w:rPr>
          <w:rFonts w:hint="eastAsia" w:ascii="宋体" w:hAnsi="宋体" w:cs="Times New Roman"/>
        </w:rPr>
        <w:t>医疗安全（不良事件管理系统）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8"/>
        <w:gridCol w:w="1338"/>
        <w:gridCol w:w="64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blHeader/>
        </w:trPr>
        <w:tc>
          <w:tcPr>
            <w:tcW w:w="433" w:type="pct"/>
            <w:noWrap/>
            <w:vAlign w:val="center"/>
          </w:tcPr>
          <w:p>
            <w:pPr>
              <w:jc w:val="center"/>
              <w:rPr>
                <w:rFonts w:hint="default" w:ascii="宋体" w:hAnsi="宋体"/>
                <w:b/>
                <w:bCs/>
                <w:sz w:val="24"/>
                <w:szCs w:val="24"/>
              </w:rPr>
            </w:pPr>
            <w:r>
              <w:rPr>
                <w:rFonts w:ascii="宋体" w:hAnsi="宋体"/>
                <w:b/>
                <w:bCs/>
                <w:sz w:val="24"/>
                <w:szCs w:val="24"/>
              </w:rPr>
              <w:t>序号</w:t>
            </w:r>
          </w:p>
        </w:tc>
        <w:tc>
          <w:tcPr>
            <w:tcW w:w="785" w:type="pct"/>
            <w:noWrap w:val="0"/>
            <w:vAlign w:val="center"/>
          </w:tcPr>
          <w:p>
            <w:pPr>
              <w:jc w:val="center"/>
              <w:rPr>
                <w:rFonts w:hint="default" w:ascii="宋体" w:hAnsi="宋体"/>
                <w:b/>
                <w:bCs/>
                <w:sz w:val="24"/>
                <w:szCs w:val="24"/>
              </w:rPr>
            </w:pPr>
            <w:r>
              <w:rPr>
                <w:rFonts w:ascii="宋体" w:hAnsi="宋体"/>
                <w:b/>
                <w:bCs/>
                <w:sz w:val="24"/>
                <w:szCs w:val="24"/>
              </w:rPr>
              <w:t>功能模块</w:t>
            </w:r>
          </w:p>
        </w:tc>
        <w:tc>
          <w:tcPr>
            <w:tcW w:w="3782" w:type="pct"/>
            <w:noWrap w:val="0"/>
            <w:vAlign w:val="center"/>
          </w:tcPr>
          <w:p>
            <w:pPr>
              <w:jc w:val="center"/>
              <w:rPr>
                <w:rFonts w:hint="default" w:ascii="宋体" w:hAnsi="宋体"/>
                <w:b/>
                <w:bCs/>
                <w:sz w:val="24"/>
                <w:szCs w:val="24"/>
              </w:rPr>
            </w:pPr>
            <w:r>
              <w:rPr>
                <w:rFonts w:ascii="宋体" w:hAnsi="宋体"/>
                <w:b/>
                <w:bCs/>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433" w:type="pct"/>
            <w:vMerge w:val="restar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1</w:t>
            </w:r>
          </w:p>
        </w:tc>
        <w:tc>
          <w:tcPr>
            <w:tcW w:w="78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不良事件上报</w:t>
            </w:r>
          </w:p>
        </w:tc>
        <w:tc>
          <w:tcPr>
            <w:tcW w:w="3782" w:type="pct"/>
            <w:noWrap w:val="0"/>
            <w:vAlign w:val="center"/>
          </w:tcPr>
          <w:p>
            <w:pPr>
              <w:jc w:val="left"/>
              <w:rPr>
                <w:rFonts w:hint="default" w:ascii="宋体" w:hAnsi="宋体" w:cs="宋体"/>
                <w:kern w:val="0"/>
                <w:sz w:val="24"/>
                <w:szCs w:val="24"/>
              </w:rPr>
            </w:pPr>
            <w:r>
              <w:rPr>
                <w:rFonts w:ascii="宋体" w:hAnsi="宋体" w:cs="宋体"/>
                <w:kern w:val="0"/>
                <w:sz w:val="24"/>
                <w:szCs w:val="24"/>
              </w:rPr>
              <w:t>1、提供医疗管理类、护理管理类、药品管理类、医技管理类、输血管理类等12大类，跌倒、坠床、压疮、管路护理等超过50子类的不良事件填报上报功能。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433" w:type="pct"/>
            <w:vMerge w:val="continue"/>
            <w:noWrap/>
            <w:vAlign w:val="center"/>
          </w:tcPr>
          <w:p>
            <w:pPr>
              <w:pStyle w:val="175"/>
              <w:ind w:firstLine="0" w:firstLineChars="0"/>
              <w:jc w:val="center"/>
              <w:rPr>
                <w:rFonts w:hint="default" w:ascii="宋体" w:hAnsi="宋体" w:eastAsia="宋体" w:cs="宋体"/>
                <w:kern w:val="0"/>
                <w:sz w:val="24"/>
                <w:szCs w:val="24"/>
              </w:rPr>
            </w:pPr>
          </w:p>
        </w:tc>
        <w:tc>
          <w:tcPr>
            <w:tcW w:w="785" w:type="pct"/>
            <w:vMerge w:val="continue"/>
            <w:noWrap w:val="0"/>
            <w:vAlign w:val="center"/>
          </w:tcPr>
          <w:p>
            <w:pPr>
              <w:jc w:val="left"/>
              <w:rPr>
                <w:rFonts w:hint="default" w:ascii="宋体" w:hAnsi="宋体" w:cs="宋体"/>
                <w:kern w:val="0"/>
                <w:sz w:val="24"/>
                <w:szCs w:val="24"/>
              </w:rPr>
            </w:pPr>
          </w:p>
        </w:tc>
        <w:tc>
          <w:tcPr>
            <w:tcW w:w="3782" w:type="pct"/>
            <w:noWrap w:val="0"/>
            <w:vAlign w:val="center"/>
          </w:tcPr>
          <w:p>
            <w:pPr>
              <w:jc w:val="left"/>
              <w:rPr>
                <w:rFonts w:hint="default" w:ascii="宋体" w:hAnsi="宋体" w:cs="宋体"/>
                <w:kern w:val="0"/>
                <w:sz w:val="24"/>
                <w:szCs w:val="24"/>
              </w:rPr>
            </w:pPr>
            <w:r>
              <w:rPr>
                <w:rFonts w:ascii="宋体" w:hAnsi="宋体" w:cs="宋体"/>
                <w:kern w:val="0"/>
                <w:sz w:val="24"/>
                <w:szCs w:val="24"/>
              </w:rPr>
              <w:t>2、提供实名上报和匿名上报。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433" w:type="pct"/>
            <w:vMerge w:val="continue"/>
            <w:noWrap/>
            <w:vAlign w:val="center"/>
          </w:tcPr>
          <w:p>
            <w:pPr>
              <w:pStyle w:val="175"/>
              <w:ind w:firstLine="0" w:firstLineChars="0"/>
              <w:jc w:val="center"/>
              <w:rPr>
                <w:rFonts w:hint="default" w:ascii="宋体" w:hAnsi="宋体" w:eastAsia="宋体" w:cs="宋体"/>
                <w:kern w:val="0"/>
                <w:sz w:val="24"/>
                <w:szCs w:val="24"/>
              </w:rPr>
            </w:pPr>
          </w:p>
        </w:tc>
        <w:tc>
          <w:tcPr>
            <w:tcW w:w="785" w:type="pct"/>
            <w:vMerge w:val="continue"/>
            <w:noWrap w:val="0"/>
            <w:vAlign w:val="center"/>
          </w:tcPr>
          <w:p>
            <w:pPr>
              <w:jc w:val="left"/>
              <w:rPr>
                <w:rFonts w:hint="default" w:ascii="宋体" w:hAnsi="宋体" w:cs="宋体"/>
                <w:kern w:val="0"/>
                <w:sz w:val="24"/>
                <w:szCs w:val="24"/>
              </w:rPr>
            </w:pPr>
          </w:p>
        </w:tc>
        <w:tc>
          <w:tcPr>
            <w:tcW w:w="3782" w:type="pct"/>
            <w:noWrap w:val="0"/>
            <w:vAlign w:val="center"/>
          </w:tcPr>
          <w:p>
            <w:pPr>
              <w:jc w:val="left"/>
              <w:rPr>
                <w:rFonts w:hint="default" w:ascii="宋体" w:hAnsi="宋体" w:cs="宋体"/>
                <w:kern w:val="0"/>
                <w:sz w:val="24"/>
                <w:szCs w:val="24"/>
              </w:rPr>
            </w:pPr>
            <w:r>
              <w:rPr>
                <w:rFonts w:ascii="宋体" w:hAnsi="宋体" w:cs="宋体"/>
                <w:kern w:val="0"/>
                <w:sz w:val="24"/>
                <w:szCs w:val="24"/>
              </w:rPr>
              <w:t>3、支持患者基本信息、当事人信息和报告人信息自动生成功能。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433" w:type="pct"/>
            <w:vMerge w:val="continue"/>
            <w:noWrap/>
            <w:vAlign w:val="center"/>
          </w:tcPr>
          <w:p>
            <w:pPr>
              <w:pStyle w:val="175"/>
              <w:ind w:firstLine="0" w:firstLineChars="0"/>
              <w:jc w:val="center"/>
              <w:rPr>
                <w:rFonts w:hint="default" w:ascii="宋体" w:hAnsi="宋体" w:eastAsia="宋体" w:cs="宋体"/>
                <w:kern w:val="0"/>
                <w:sz w:val="24"/>
                <w:szCs w:val="24"/>
              </w:rPr>
            </w:pPr>
          </w:p>
        </w:tc>
        <w:tc>
          <w:tcPr>
            <w:tcW w:w="785" w:type="pct"/>
            <w:vMerge w:val="continue"/>
            <w:noWrap w:val="0"/>
            <w:vAlign w:val="center"/>
          </w:tcPr>
          <w:p>
            <w:pPr>
              <w:jc w:val="left"/>
              <w:rPr>
                <w:rFonts w:hint="default" w:ascii="宋体" w:hAnsi="宋体" w:cs="宋体"/>
                <w:kern w:val="0"/>
                <w:sz w:val="24"/>
                <w:szCs w:val="24"/>
              </w:rPr>
            </w:pPr>
          </w:p>
        </w:tc>
        <w:tc>
          <w:tcPr>
            <w:tcW w:w="3782" w:type="pct"/>
            <w:noWrap w:val="0"/>
            <w:vAlign w:val="center"/>
          </w:tcPr>
          <w:p>
            <w:pPr>
              <w:jc w:val="left"/>
              <w:rPr>
                <w:rFonts w:hint="default" w:ascii="宋体" w:hAnsi="宋体" w:cs="宋体"/>
                <w:kern w:val="0"/>
                <w:sz w:val="24"/>
                <w:szCs w:val="24"/>
              </w:rPr>
            </w:pPr>
            <w:r>
              <w:rPr>
                <w:rFonts w:ascii="宋体" w:hAnsi="宋体" w:cs="宋体"/>
                <w:kern w:val="0"/>
                <w:sz w:val="24"/>
                <w:szCs w:val="24"/>
              </w:rPr>
              <w:t>4、</w:t>
            </w:r>
            <w:r>
              <w:rPr>
                <w:rFonts w:ascii="宋体" w:hAnsi="宋体" w:cs="宋体"/>
                <w:sz w:val="24"/>
                <w:szCs w:val="24"/>
              </w:rPr>
              <w:t>支持患者家属不良事件上报。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vMerge w:val="continue"/>
            <w:noWrap/>
            <w:vAlign w:val="center"/>
          </w:tcPr>
          <w:p>
            <w:pPr>
              <w:pStyle w:val="175"/>
              <w:ind w:firstLine="0" w:firstLineChars="0"/>
              <w:jc w:val="center"/>
              <w:rPr>
                <w:rFonts w:hint="default" w:ascii="宋体" w:hAnsi="宋体" w:eastAsia="宋体" w:cs="宋体"/>
                <w:kern w:val="0"/>
                <w:sz w:val="24"/>
                <w:szCs w:val="24"/>
              </w:rPr>
            </w:pPr>
          </w:p>
        </w:tc>
        <w:tc>
          <w:tcPr>
            <w:tcW w:w="785" w:type="pct"/>
            <w:vMerge w:val="continue"/>
            <w:noWrap w:val="0"/>
            <w:vAlign w:val="center"/>
          </w:tcPr>
          <w:p>
            <w:pPr>
              <w:jc w:val="left"/>
              <w:rPr>
                <w:rFonts w:hint="default" w:ascii="宋体" w:hAnsi="宋体" w:cs="宋体"/>
                <w:kern w:val="0"/>
                <w:sz w:val="24"/>
                <w:szCs w:val="24"/>
              </w:rPr>
            </w:pPr>
          </w:p>
        </w:tc>
        <w:tc>
          <w:tcPr>
            <w:tcW w:w="3782" w:type="pct"/>
            <w:noWrap w:val="0"/>
            <w:vAlign w:val="center"/>
          </w:tcPr>
          <w:p>
            <w:pPr>
              <w:jc w:val="left"/>
              <w:rPr>
                <w:rFonts w:hint="default" w:ascii="宋体" w:hAnsi="宋体" w:cs="宋体"/>
                <w:kern w:val="0"/>
                <w:sz w:val="24"/>
                <w:szCs w:val="24"/>
              </w:rPr>
            </w:pPr>
            <w:r>
              <w:rPr>
                <w:rFonts w:ascii="宋体" w:hAnsi="宋体" w:cs="宋体"/>
                <w:kern w:val="0"/>
                <w:sz w:val="24"/>
                <w:szCs w:val="24"/>
              </w:rPr>
              <w:t>5、</w:t>
            </w:r>
            <w:r>
              <w:rPr>
                <w:rFonts w:ascii="宋体" w:hAnsi="宋体" w:cs="宋体"/>
                <w:sz w:val="24"/>
                <w:szCs w:val="24"/>
              </w:rPr>
              <w:t>支持照片采集功能。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2</w:t>
            </w:r>
          </w:p>
        </w:tc>
        <w:tc>
          <w:tcPr>
            <w:tcW w:w="785" w:type="pct"/>
            <w:noWrap w:val="0"/>
            <w:vAlign w:val="center"/>
          </w:tcPr>
          <w:p>
            <w:pPr>
              <w:jc w:val="left"/>
              <w:rPr>
                <w:rFonts w:hint="default" w:ascii="宋体" w:hAnsi="宋体" w:cs="宋体"/>
                <w:sz w:val="24"/>
                <w:szCs w:val="24"/>
              </w:rPr>
            </w:pPr>
            <w:r>
              <w:rPr>
                <w:rFonts w:ascii="宋体" w:hAnsi="宋体" w:cs="宋体"/>
                <w:sz w:val="24"/>
                <w:szCs w:val="24"/>
              </w:rPr>
              <w:t>不良事件查看</w:t>
            </w:r>
          </w:p>
        </w:tc>
        <w:tc>
          <w:tcPr>
            <w:tcW w:w="3782" w:type="pct"/>
            <w:noWrap w:val="0"/>
            <w:vAlign w:val="center"/>
          </w:tcPr>
          <w:p>
            <w:pPr>
              <w:pStyle w:val="16"/>
              <w:rPr>
                <w:rFonts w:hint="default" w:ascii="宋体" w:hAnsi="宋体" w:cs="宋体"/>
                <w:szCs w:val="24"/>
              </w:rPr>
            </w:pPr>
            <w:r>
              <w:rPr>
                <w:rFonts w:ascii="宋体" w:hAnsi="宋体" w:cs="宋体"/>
                <w:szCs w:val="24"/>
              </w:rPr>
              <w:t>支持以事件环节时间轴的形式查看事件处理进度流程。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3</w:t>
            </w:r>
          </w:p>
        </w:tc>
        <w:tc>
          <w:tcPr>
            <w:tcW w:w="785" w:type="pct"/>
            <w:noWrap w:val="0"/>
            <w:vAlign w:val="center"/>
          </w:tcPr>
          <w:p>
            <w:pPr>
              <w:jc w:val="left"/>
              <w:rPr>
                <w:rFonts w:hint="default" w:ascii="宋体" w:hAnsi="宋体" w:cs="宋体"/>
                <w:kern w:val="0"/>
                <w:sz w:val="24"/>
                <w:szCs w:val="24"/>
              </w:rPr>
            </w:pPr>
            <w:r>
              <w:rPr>
                <w:rFonts w:ascii="宋体" w:hAnsi="宋体" w:cs="宋体"/>
                <w:sz w:val="24"/>
                <w:szCs w:val="24"/>
              </w:rPr>
              <w:t>事件经过及处理措施</w:t>
            </w:r>
          </w:p>
        </w:tc>
        <w:tc>
          <w:tcPr>
            <w:tcW w:w="3782" w:type="pct"/>
            <w:noWrap w:val="0"/>
            <w:vAlign w:val="center"/>
          </w:tcPr>
          <w:p>
            <w:pPr>
              <w:pStyle w:val="16"/>
              <w:rPr>
                <w:rFonts w:hint="default" w:ascii="宋体" w:hAnsi="宋体" w:cs="宋体"/>
                <w:szCs w:val="24"/>
              </w:rPr>
            </w:pPr>
            <w:r>
              <w:rPr>
                <w:rFonts w:ascii="宋体" w:hAnsi="宋体" w:cs="宋体"/>
                <w:szCs w:val="24"/>
              </w:rPr>
              <w:t>支持时间经过及处理措施的全结构化描述，包括基本信息、事件发生前、事件发生时、事件发现时、事件处置，每个环节能够采用结构化话术模板，通过数据高度共享与互联互通，实现自动生成事件经过及处理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4</w:t>
            </w:r>
          </w:p>
        </w:tc>
        <w:tc>
          <w:tcPr>
            <w:tcW w:w="785" w:type="pct"/>
            <w:noWrap w:val="0"/>
            <w:vAlign w:val="center"/>
          </w:tcPr>
          <w:p>
            <w:pPr>
              <w:jc w:val="left"/>
              <w:rPr>
                <w:rFonts w:hint="default" w:ascii="宋体" w:hAnsi="宋体" w:cs="宋体"/>
                <w:kern w:val="0"/>
                <w:sz w:val="24"/>
                <w:szCs w:val="24"/>
              </w:rPr>
            </w:pPr>
            <w:r>
              <w:rPr>
                <w:rFonts w:ascii="宋体" w:hAnsi="宋体" w:cs="宋体"/>
                <w:sz w:val="24"/>
                <w:szCs w:val="24"/>
              </w:rPr>
              <w:t>讨论记录</w:t>
            </w:r>
          </w:p>
        </w:tc>
        <w:tc>
          <w:tcPr>
            <w:tcW w:w="3782" w:type="pct"/>
            <w:noWrap w:val="0"/>
            <w:vAlign w:val="center"/>
          </w:tcPr>
          <w:p>
            <w:pPr>
              <w:pStyle w:val="16"/>
              <w:rPr>
                <w:rFonts w:hint="default" w:ascii="宋体" w:hAnsi="宋体" w:cs="宋体"/>
                <w:szCs w:val="24"/>
              </w:rPr>
            </w:pPr>
            <w:r>
              <w:rPr>
                <w:rFonts w:ascii="宋体" w:hAnsi="宋体" w:cs="宋体"/>
                <w:szCs w:val="24"/>
              </w:rPr>
              <w:t>支持事件经过及处理措施、讨论发言、总结发言的记录。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vMerge w:val="restar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5</w:t>
            </w:r>
          </w:p>
        </w:tc>
        <w:tc>
          <w:tcPr>
            <w:tcW w:w="785"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事件分析整改</w:t>
            </w:r>
          </w:p>
        </w:tc>
        <w:tc>
          <w:tcPr>
            <w:tcW w:w="3782" w:type="pct"/>
            <w:noWrap w:val="0"/>
            <w:vAlign w:val="top"/>
          </w:tcPr>
          <w:p>
            <w:pPr>
              <w:rPr>
                <w:rFonts w:hint="default" w:ascii="宋体" w:hAnsi="宋体" w:cs="宋体"/>
                <w:sz w:val="24"/>
                <w:szCs w:val="24"/>
              </w:rPr>
            </w:pPr>
            <w:r>
              <w:rPr>
                <w:rFonts w:ascii="宋体" w:hAnsi="宋体" w:cs="宋体"/>
                <w:sz w:val="24"/>
                <w:szCs w:val="24"/>
              </w:rPr>
              <w:t>1、支持病区使用鱼骨图进行原因分析和整改措施。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vMerge w:val="continue"/>
            <w:noWrap/>
            <w:vAlign w:val="center"/>
          </w:tcPr>
          <w:p>
            <w:pPr>
              <w:pStyle w:val="175"/>
              <w:ind w:firstLine="0" w:firstLineChars="0"/>
              <w:jc w:val="center"/>
              <w:rPr>
                <w:rFonts w:hint="default" w:ascii="宋体" w:hAnsi="宋体" w:eastAsia="宋体" w:cs="宋体"/>
                <w:kern w:val="0"/>
                <w:sz w:val="24"/>
                <w:szCs w:val="24"/>
              </w:rPr>
            </w:pPr>
          </w:p>
        </w:tc>
        <w:tc>
          <w:tcPr>
            <w:tcW w:w="785" w:type="pct"/>
            <w:vMerge w:val="continue"/>
            <w:noWrap w:val="0"/>
            <w:vAlign w:val="center"/>
          </w:tcPr>
          <w:p>
            <w:pPr>
              <w:jc w:val="left"/>
              <w:rPr>
                <w:rFonts w:hint="default" w:ascii="宋体" w:hAnsi="宋体" w:cs="宋体"/>
                <w:kern w:val="0"/>
                <w:sz w:val="24"/>
                <w:szCs w:val="24"/>
              </w:rPr>
            </w:pPr>
          </w:p>
        </w:tc>
        <w:tc>
          <w:tcPr>
            <w:tcW w:w="3782" w:type="pct"/>
            <w:noWrap w:val="0"/>
            <w:vAlign w:val="top"/>
          </w:tcPr>
          <w:p>
            <w:pPr>
              <w:rPr>
                <w:rFonts w:hint="default" w:ascii="宋体" w:hAnsi="宋体" w:cs="宋体"/>
                <w:sz w:val="24"/>
                <w:szCs w:val="24"/>
              </w:rPr>
            </w:pPr>
            <w:r>
              <w:rPr>
                <w:rFonts w:ascii="宋体" w:hAnsi="宋体" w:cs="宋体"/>
                <w:sz w:val="24"/>
                <w:szCs w:val="24"/>
              </w:rPr>
              <w:t>2、遵循 “5M1E”原则，对单个事件进行鱼骨图分析。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6</w:t>
            </w:r>
          </w:p>
        </w:tc>
        <w:tc>
          <w:tcPr>
            <w:tcW w:w="785" w:type="pct"/>
            <w:noWrap w:val="0"/>
            <w:vAlign w:val="center"/>
          </w:tcPr>
          <w:p>
            <w:pPr>
              <w:jc w:val="left"/>
              <w:rPr>
                <w:rFonts w:hint="default" w:ascii="宋体" w:hAnsi="宋体" w:cs="宋体"/>
                <w:kern w:val="0"/>
                <w:sz w:val="24"/>
                <w:szCs w:val="24"/>
              </w:rPr>
            </w:pPr>
            <w:r>
              <w:rPr>
                <w:rFonts w:ascii="宋体" w:hAnsi="宋体" w:cs="宋体"/>
                <w:kern w:val="0"/>
                <w:sz w:val="24"/>
                <w:szCs w:val="24"/>
              </w:rPr>
              <w:t>事件审核</w:t>
            </w:r>
          </w:p>
        </w:tc>
        <w:tc>
          <w:tcPr>
            <w:tcW w:w="3782" w:type="pct"/>
            <w:noWrap w:val="0"/>
            <w:vAlign w:val="center"/>
          </w:tcPr>
          <w:p>
            <w:pPr>
              <w:jc w:val="left"/>
              <w:rPr>
                <w:rFonts w:hint="default" w:ascii="宋体" w:hAnsi="宋体" w:cs="宋体"/>
                <w:kern w:val="0"/>
                <w:sz w:val="24"/>
                <w:szCs w:val="24"/>
              </w:rPr>
            </w:pPr>
            <w:r>
              <w:rPr>
                <w:rFonts w:ascii="宋体" w:hAnsi="宋体" w:cs="宋体"/>
                <w:sz w:val="24"/>
                <w:szCs w:val="24"/>
              </w:rPr>
              <w:t>支持上报事件按照审核流程设置相应的处理流程；处理流程通过时间轴进行展示，清晰显示审核流程，并生成事件处理的反馈信息；已上报的事件可主动推送给相关的角色或用户进行审核。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7</w:t>
            </w:r>
          </w:p>
        </w:tc>
        <w:tc>
          <w:tcPr>
            <w:tcW w:w="785" w:type="pct"/>
            <w:noWrap w:val="0"/>
            <w:vAlign w:val="center"/>
          </w:tcPr>
          <w:p>
            <w:pPr>
              <w:jc w:val="left"/>
              <w:rPr>
                <w:rFonts w:hint="default" w:ascii="宋体" w:hAnsi="宋体" w:cs="宋体"/>
                <w:kern w:val="0"/>
                <w:sz w:val="24"/>
                <w:szCs w:val="24"/>
              </w:rPr>
            </w:pPr>
            <w:r>
              <w:rPr>
                <w:rFonts w:ascii="宋体" w:hAnsi="宋体" w:cs="宋体"/>
                <w:sz w:val="24"/>
                <w:szCs w:val="24"/>
              </w:rPr>
              <w:t>审核不通过事件处理</w:t>
            </w:r>
          </w:p>
        </w:tc>
        <w:tc>
          <w:tcPr>
            <w:tcW w:w="3782" w:type="pct"/>
            <w:noWrap w:val="0"/>
            <w:vAlign w:val="center"/>
          </w:tcPr>
          <w:p>
            <w:pPr>
              <w:jc w:val="left"/>
              <w:rPr>
                <w:rFonts w:hint="default" w:ascii="宋体" w:hAnsi="宋体" w:cs="宋体"/>
                <w:kern w:val="0"/>
                <w:sz w:val="24"/>
                <w:szCs w:val="24"/>
              </w:rPr>
            </w:pPr>
            <w:r>
              <w:rPr>
                <w:rFonts w:ascii="宋体" w:hAnsi="宋体" w:cs="宋体"/>
                <w:sz w:val="24"/>
                <w:szCs w:val="24"/>
              </w:rPr>
              <w:t>对审核意见为“不通过”的事件，将推送回上报人进行补充或修订，同时显示审核人意见反馈结果；提供一键重新上报（改由其他审核节点重新填写审核信息）。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8</w:t>
            </w:r>
          </w:p>
        </w:tc>
        <w:tc>
          <w:tcPr>
            <w:tcW w:w="785" w:type="pct"/>
            <w:noWrap w:val="0"/>
            <w:vAlign w:val="center"/>
          </w:tcPr>
          <w:p>
            <w:pPr>
              <w:jc w:val="left"/>
              <w:rPr>
                <w:rFonts w:hint="default" w:ascii="宋体" w:hAnsi="宋体" w:cs="宋体"/>
                <w:kern w:val="0"/>
                <w:sz w:val="24"/>
                <w:szCs w:val="24"/>
              </w:rPr>
            </w:pPr>
            <w:r>
              <w:rPr>
                <w:rFonts w:ascii="宋体" w:hAnsi="宋体" w:cs="宋体"/>
                <w:kern w:val="0"/>
                <w:sz w:val="24"/>
                <w:szCs w:val="24"/>
              </w:rPr>
              <w:t>事件跟踪评价</w:t>
            </w:r>
          </w:p>
        </w:tc>
        <w:tc>
          <w:tcPr>
            <w:tcW w:w="3782" w:type="pct"/>
            <w:noWrap w:val="0"/>
            <w:vAlign w:val="center"/>
          </w:tcPr>
          <w:p>
            <w:pPr>
              <w:rPr>
                <w:rFonts w:hint="default" w:ascii="宋体" w:hAnsi="宋体" w:cs="宋体"/>
                <w:sz w:val="24"/>
                <w:szCs w:val="24"/>
              </w:rPr>
            </w:pPr>
            <w:r>
              <w:rPr>
                <w:rFonts w:ascii="宋体" w:hAnsi="宋体" w:cs="宋体"/>
                <w:sz w:val="24"/>
                <w:szCs w:val="24"/>
              </w:rPr>
              <w:t>系统提供单个事件的追踪，对于审核通过的不良事件，主管部门可以对时间跟踪评价。针对不同级别的不良事件，支持跟踪评价的流程的灵活配置。对于需要需要持续整改的不良事件，可以持续进行PDCA流程。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9</w:t>
            </w:r>
          </w:p>
        </w:tc>
        <w:tc>
          <w:tcPr>
            <w:tcW w:w="785" w:type="pct"/>
            <w:noWrap w:val="0"/>
            <w:vAlign w:val="center"/>
          </w:tcPr>
          <w:p>
            <w:pPr>
              <w:jc w:val="left"/>
              <w:rPr>
                <w:rFonts w:hint="default" w:ascii="宋体" w:hAnsi="宋体" w:cs="宋体"/>
                <w:kern w:val="0"/>
                <w:sz w:val="24"/>
                <w:szCs w:val="24"/>
              </w:rPr>
            </w:pPr>
            <w:r>
              <w:rPr>
                <w:rFonts w:ascii="宋体" w:hAnsi="宋体" w:cs="宋体"/>
                <w:kern w:val="0"/>
                <w:sz w:val="24"/>
                <w:szCs w:val="24"/>
              </w:rPr>
              <w:t>不良事件报告</w:t>
            </w:r>
          </w:p>
        </w:tc>
        <w:tc>
          <w:tcPr>
            <w:tcW w:w="3782" w:type="pct"/>
            <w:noWrap w:val="0"/>
            <w:vAlign w:val="center"/>
          </w:tcPr>
          <w:p>
            <w:pPr>
              <w:rPr>
                <w:rFonts w:hint="default" w:ascii="宋体" w:hAnsi="宋体" w:cs="宋体"/>
                <w:sz w:val="24"/>
                <w:szCs w:val="24"/>
              </w:rPr>
            </w:pPr>
            <w:r>
              <w:rPr>
                <w:rFonts w:ascii="宋体" w:hAnsi="宋体" w:cs="宋体"/>
                <w:sz w:val="24"/>
                <w:szCs w:val="24"/>
              </w:rPr>
              <w:t>支持自动生成不良事件月度、季度、半年度、全年度的不良事件报告，报告内容至少包括不良事件同比、不良事件环比、不良事件各科室对比、不良事件分级占比，不良事件柏拉图等图表信息。支持导出WORD格式的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10</w:t>
            </w:r>
          </w:p>
        </w:tc>
        <w:tc>
          <w:tcPr>
            <w:tcW w:w="785" w:type="pct"/>
            <w:noWrap w:val="0"/>
            <w:vAlign w:val="center"/>
          </w:tcPr>
          <w:p>
            <w:pPr>
              <w:jc w:val="left"/>
              <w:rPr>
                <w:rFonts w:hint="default" w:ascii="宋体" w:hAnsi="宋体" w:cs="宋体"/>
                <w:kern w:val="0"/>
                <w:sz w:val="24"/>
                <w:szCs w:val="24"/>
              </w:rPr>
            </w:pPr>
            <w:r>
              <w:rPr>
                <w:rFonts w:ascii="宋体" w:hAnsi="宋体" w:cs="宋体"/>
                <w:kern w:val="0"/>
                <w:sz w:val="24"/>
                <w:szCs w:val="24"/>
              </w:rPr>
              <w:t>统计分析</w:t>
            </w:r>
          </w:p>
        </w:tc>
        <w:tc>
          <w:tcPr>
            <w:tcW w:w="3782" w:type="pct"/>
            <w:noWrap w:val="0"/>
            <w:vAlign w:val="center"/>
          </w:tcPr>
          <w:p>
            <w:pPr>
              <w:jc w:val="left"/>
              <w:rPr>
                <w:rFonts w:hint="default" w:ascii="宋体" w:hAnsi="宋体" w:cs="宋体"/>
                <w:kern w:val="0"/>
                <w:sz w:val="24"/>
                <w:szCs w:val="24"/>
              </w:rPr>
            </w:pPr>
            <w:r>
              <w:rPr>
                <w:rFonts w:ascii="宋体" w:hAnsi="宋体" w:cs="宋体"/>
                <w:sz w:val="24"/>
                <w:szCs w:val="24"/>
              </w:rPr>
              <w:t>提供多层级的事件报表查询，包括帕累托图（柏拉图）、饼状图、条形图、柱状图、关键词等报表，可根据上报科室、事件类型、事件级别、上报时间段等条件进行多方位的统计汇总。应至少包括不良事件各科室同比分析、不良事件各科室环比分析、不良事件类别分布、不良事件科室分布、不良事件班次分布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11</w:t>
            </w:r>
          </w:p>
        </w:tc>
        <w:tc>
          <w:tcPr>
            <w:tcW w:w="785" w:type="pct"/>
            <w:noWrap w:val="0"/>
            <w:vAlign w:val="center"/>
          </w:tcPr>
          <w:p>
            <w:pPr>
              <w:jc w:val="left"/>
              <w:rPr>
                <w:rFonts w:hint="default" w:ascii="宋体" w:hAnsi="宋体" w:cs="宋体"/>
                <w:kern w:val="0"/>
                <w:sz w:val="24"/>
                <w:szCs w:val="24"/>
              </w:rPr>
            </w:pPr>
            <w:r>
              <w:rPr>
                <w:rFonts w:ascii="宋体" w:hAnsi="宋体" w:cs="宋体"/>
                <w:sz w:val="24"/>
                <w:szCs w:val="24"/>
              </w:rPr>
              <w:t>压力性损伤事件专项分析</w:t>
            </w:r>
          </w:p>
        </w:tc>
        <w:tc>
          <w:tcPr>
            <w:tcW w:w="3782" w:type="pct"/>
            <w:noWrap w:val="0"/>
            <w:vAlign w:val="top"/>
          </w:tcPr>
          <w:p>
            <w:pPr>
              <w:jc w:val="left"/>
              <w:rPr>
                <w:rFonts w:hint="default" w:ascii="宋体" w:hAnsi="宋体" w:cs="宋体"/>
                <w:sz w:val="24"/>
                <w:szCs w:val="24"/>
              </w:rPr>
            </w:pPr>
            <w:r>
              <w:t>★</w:t>
            </w:r>
            <w:r>
              <w:rPr>
                <w:rFonts w:ascii="宋体" w:hAnsi="宋体" w:cs="宋体"/>
                <w:sz w:val="24"/>
                <w:szCs w:val="24"/>
              </w:rPr>
              <w:t xml:space="preserve">压疮包括压疮部位构成比、患者护理级别构成比、事件发生科室构成比、事件发生时患者活动过程构成比、患者发生前护理措施构成比、事件发生后护理措施沟通比等14项对比指标专项分析。 </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12</w:t>
            </w:r>
          </w:p>
        </w:tc>
        <w:tc>
          <w:tcPr>
            <w:tcW w:w="785" w:type="pct"/>
            <w:noWrap w:val="0"/>
            <w:vAlign w:val="center"/>
          </w:tcPr>
          <w:p>
            <w:pPr>
              <w:jc w:val="left"/>
              <w:rPr>
                <w:rFonts w:hint="default" w:ascii="宋体" w:hAnsi="宋体" w:cs="宋体"/>
                <w:kern w:val="0"/>
                <w:sz w:val="24"/>
                <w:szCs w:val="24"/>
              </w:rPr>
            </w:pPr>
            <w:r>
              <w:rPr>
                <w:rFonts w:ascii="宋体" w:hAnsi="宋体" w:cs="宋体"/>
                <w:sz w:val="24"/>
                <w:szCs w:val="24"/>
              </w:rPr>
              <w:t>管理滑脱事件专项分析</w:t>
            </w:r>
          </w:p>
        </w:tc>
        <w:tc>
          <w:tcPr>
            <w:tcW w:w="3782" w:type="pct"/>
            <w:noWrap w:val="0"/>
            <w:vAlign w:val="top"/>
          </w:tcPr>
          <w:p>
            <w:pPr>
              <w:jc w:val="left"/>
              <w:rPr>
                <w:rFonts w:hint="default" w:ascii="宋体" w:hAnsi="宋体" w:cs="宋体"/>
                <w:sz w:val="24"/>
                <w:szCs w:val="24"/>
              </w:rPr>
            </w:pPr>
            <w:r>
              <w:t>★</w:t>
            </w:r>
            <w:r>
              <w:rPr>
                <w:rFonts w:ascii="宋体" w:hAnsi="宋体" w:cs="宋体"/>
                <w:sz w:val="24"/>
                <w:szCs w:val="24"/>
              </w:rPr>
              <w:t xml:space="preserve">管路滑脱包括患者护理级别构成比、管道类型构成比、管道固定方法构成比、患者有无陪伴着构成比、事件发生时工作人员是否在患者身边构成比、事件发生前是否进行风险评估构成比等28项对比指标专项分析。 </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13</w:t>
            </w:r>
          </w:p>
        </w:tc>
        <w:tc>
          <w:tcPr>
            <w:tcW w:w="785" w:type="pct"/>
            <w:noWrap w:val="0"/>
            <w:vAlign w:val="center"/>
          </w:tcPr>
          <w:p>
            <w:pPr>
              <w:jc w:val="left"/>
              <w:rPr>
                <w:rFonts w:hint="default" w:ascii="宋体" w:hAnsi="宋体" w:cs="宋体"/>
                <w:kern w:val="0"/>
                <w:sz w:val="24"/>
                <w:szCs w:val="24"/>
              </w:rPr>
            </w:pPr>
            <w:r>
              <w:rPr>
                <w:rFonts w:ascii="宋体" w:hAnsi="宋体" w:cs="宋体"/>
                <w:sz w:val="24"/>
                <w:szCs w:val="24"/>
              </w:rPr>
              <w:t>给药缺陷类事件专项分析</w:t>
            </w:r>
          </w:p>
        </w:tc>
        <w:tc>
          <w:tcPr>
            <w:tcW w:w="3782" w:type="pct"/>
            <w:noWrap w:val="0"/>
            <w:vAlign w:val="top"/>
          </w:tcPr>
          <w:p>
            <w:pPr>
              <w:jc w:val="left"/>
              <w:rPr>
                <w:rFonts w:hint="default" w:ascii="宋体" w:hAnsi="宋体" w:cs="宋体"/>
                <w:sz w:val="24"/>
                <w:szCs w:val="24"/>
              </w:rPr>
            </w:pPr>
            <w:r>
              <w:t>★</w:t>
            </w:r>
            <w:r>
              <w:rPr>
                <w:rFonts w:ascii="宋体" w:hAnsi="宋体" w:cs="宋体"/>
                <w:sz w:val="24"/>
                <w:szCs w:val="24"/>
              </w:rPr>
              <w:t>给药缺陷类包括事件等级构成比、事件发生地点构成比、患者护理级构成比、事件类型分布构成比、当时人年限构成比等11项对比指标专项分析。</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3" w:type="pct"/>
            <w:noWrap/>
            <w:vAlign w:val="center"/>
          </w:tcPr>
          <w:p>
            <w:pPr>
              <w:pStyle w:val="175"/>
              <w:ind w:firstLine="0" w:firstLineChars="0"/>
              <w:jc w:val="center"/>
              <w:rPr>
                <w:rFonts w:hint="default" w:ascii="宋体" w:hAnsi="宋体" w:eastAsia="宋体" w:cs="宋体"/>
                <w:kern w:val="0"/>
                <w:sz w:val="24"/>
                <w:szCs w:val="24"/>
              </w:rPr>
            </w:pPr>
            <w:r>
              <w:rPr>
                <w:rFonts w:ascii="宋体" w:hAnsi="宋体" w:eastAsia="宋体" w:cs="宋体"/>
                <w:kern w:val="0"/>
                <w:sz w:val="24"/>
                <w:szCs w:val="24"/>
              </w:rPr>
              <w:t>14</w:t>
            </w:r>
          </w:p>
        </w:tc>
        <w:tc>
          <w:tcPr>
            <w:tcW w:w="785" w:type="pct"/>
            <w:noWrap w:val="0"/>
            <w:vAlign w:val="center"/>
          </w:tcPr>
          <w:p>
            <w:pPr>
              <w:jc w:val="left"/>
              <w:rPr>
                <w:rFonts w:hint="default" w:ascii="宋体" w:hAnsi="宋体" w:cs="宋体"/>
                <w:kern w:val="0"/>
                <w:sz w:val="24"/>
                <w:szCs w:val="24"/>
              </w:rPr>
            </w:pPr>
            <w:r>
              <w:rPr>
                <w:rFonts w:ascii="宋体" w:hAnsi="宋体" w:cs="宋体"/>
                <w:sz w:val="24"/>
                <w:szCs w:val="24"/>
              </w:rPr>
              <w:t>跌倒（坠床）类事件专项分析</w:t>
            </w:r>
          </w:p>
        </w:tc>
        <w:tc>
          <w:tcPr>
            <w:tcW w:w="3782" w:type="pct"/>
            <w:noWrap w:val="0"/>
            <w:vAlign w:val="top"/>
          </w:tcPr>
          <w:p>
            <w:pPr>
              <w:jc w:val="left"/>
              <w:rPr>
                <w:rFonts w:hint="default" w:ascii="宋体" w:hAnsi="宋体" w:cs="宋体"/>
                <w:sz w:val="24"/>
                <w:szCs w:val="24"/>
              </w:rPr>
            </w:pPr>
            <w:r>
              <w:rPr>
                <w:rFonts w:ascii="宋体" w:hAnsi="宋体" w:cs="宋体"/>
                <w:sz w:val="24"/>
                <w:szCs w:val="24"/>
              </w:rPr>
              <w:t>跌倒（坠床）类事件分析包括事件分类构成比、事件发生地点构成比、事件原因分布构成比、事件发生前护理措施构成比、事件发生后护理措施构成比、事件发生后安全指导构成比、事件发生时现场其他人员状态构成比、事件发生后处理方法构成比等26项对比指标专项分析。</w:t>
            </w:r>
          </w:p>
        </w:tc>
      </w:tr>
    </w:tbl>
    <w:p>
      <w:pPr>
        <w:pStyle w:val="6"/>
        <w:ind w:firstLine="0"/>
        <w:rPr>
          <w:rFonts w:cs="Calibri"/>
        </w:rPr>
      </w:pPr>
      <w:r>
        <w:rPr>
          <w:rFonts w:hint="eastAsia" w:cs="Calibri"/>
        </w:rPr>
        <w:t>(2) 药品不良反应报告与管理系统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6"/>
        <w:gridCol w:w="1333"/>
        <w:gridCol w:w="6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38" w:type="pct"/>
            <w:noWrap/>
            <w:vAlign w:val="center"/>
          </w:tcPr>
          <w:p>
            <w:pPr>
              <w:jc w:val="center"/>
              <w:rPr>
                <w:rFonts w:hint="default" w:ascii="宋体" w:hAnsi="宋体"/>
                <w:b/>
                <w:bCs/>
                <w:sz w:val="24"/>
                <w:szCs w:val="24"/>
              </w:rPr>
            </w:pPr>
            <w:r>
              <w:rPr>
                <w:rFonts w:ascii="宋体" w:hAnsi="宋体"/>
                <w:b/>
                <w:bCs/>
                <w:sz w:val="24"/>
                <w:szCs w:val="24"/>
              </w:rPr>
              <w:t>序号</w:t>
            </w:r>
          </w:p>
        </w:tc>
        <w:tc>
          <w:tcPr>
            <w:tcW w:w="782" w:type="pct"/>
            <w:noWrap w:val="0"/>
            <w:vAlign w:val="center"/>
          </w:tcPr>
          <w:p>
            <w:pPr>
              <w:jc w:val="center"/>
              <w:rPr>
                <w:rFonts w:hint="default" w:ascii="宋体" w:hAnsi="宋体"/>
                <w:b/>
                <w:bCs/>
                <w:sz w:val="24"/>
                <w:szCs w:val="24"/>
              </w:rPr>
            </w:pPr>
            <w:r>
              <w:rPr>
                <w:rFonts w:ascii="宋体" w:hAnsi="宋体"/>
                <w:b/>
                <w:bCs/>
                <w:sz w:val="24"/>
                <w:szCs w:val="24"/>
              </w:rPr>
              <w:t>功能模块</w:t>
            </w:r>
          </w:p>
        </w:tc>
        <w:tc>
          <w:tcPr>
            <w:tcW w:w="3780" w:type="pct"/>
            <w:noWrap w:val="0"/>
            <w:vAlign w:val="center"/>
          </w:tcPr>
          <w:p>
            <w:pPr>
              <w:jc w:val="center"/>
              <w:rPr>
                <w:rFonts w:hint="default" w:ascii="宋体" w:hAnsi="宋体"/>
                <w:b/>
                <w:bCs/>
                <w:sz w:val="24"/>
                <w:szCs w:val="24"/>
              </w:rPr>
            </w:pPr>
            <w:r>
              <w:rPr>
                <w:rFonts w:ascii="宋体" w:hAnsi="宋体"/>
                <w:b/>
                <w:bCs/>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38" w:type="pct"/>
            <w:noWrap/>
            <w:vAlign w:val="center"/>
          </w:tcPr>
          <w:p>
            <w:pPr>
              <w:pStyle w:val="175"/>
              <w:numPr>
                <w:ilvl w:val="0"/>
                <w:numId w:val="11"/>
              </w:numPr>
              <w:ind w:left="430" w:hanging="220" w:firstLineChars="0"/>
              <w:rPr>
                <w:rFonts w:hint="default" w:ascii="宋体" w:hAnsi="宋体" w:eastAsia="宋体" w:cs="宋体"/>
                <w:sz w:val="24"/>
                <w:szCs w:val="24"/>
              </w:rPr>
            </w:pPr>
          </w:p>
        </w:tc>
        <w:tc>
          <w:tcPr>
            <w:tcW w:w="782" w:type="pct"/>
            <w:noWrap w:val="0"/>
            <w:vAlign w:val="center"/>
          </w:tcPr>
          <w:p>
            <w:pPr>
              <w:jc w:val="left"/>
              <w:rPr>
                <w:rFonts w:hint="default" w:ascii="宋体" w:hAnsi="宋体" w:cs="宋体"/>
                <w:kern w:val="0"/>
                <w:sz w:val="24"/>
                <w:szCs w:val="24"/>
              </w:rPr>
            </w:pPr>
            <w:r>
              <w:rPr>
                <w:rFonts w:ascii="宋体" w:hAnsi="宋体" w:cs="宋体"/>
                <w:sz w:val="24"/>
                <w:szCs w:val="24"/>
              </w:rPr>
              <w:t>事件上报</w:t>
            </w:r>
          </w:p>
        </w:tc>
        <w:tc>
          <w:tcPr>
            <w:tcW w:w="3780" w:type="pct"/>
            <w:noWrap w:val="0"/>
            <w:vAlign w:val="center"/>
          </w:tcPr>
          <w:p>
            <w:pPr>
              <w:rPr>
                <w:rFonts w:hint="default" w:ascii="宋体" w:hAnsi="宋体" w:cs="宋体"/>
                <w:sz w:val="24"/>
                <w:szCs w:val="24"/>
              </w:rPr>
            </w:pPr>
            <w:r>
              <w:rPr>
                <w:rFonts w:ascii="宋体" w:hAnsi="宋体" w:cs="宋体"/>
                <w:sz w:val="24"/>
                <w:szCs w:val="24"/>
              </w:rPr>
              <w:t>支持进行药品不良反应事件上报，上报页面选项与国家药品不良反应事件监测平台一致，包括事件基本信息、怀疑用药信息、并用药品信息、不良反应过程描述信息、关联性评价等模块。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38" w:type="pct"/>
            <w:noWrap/>
            <w:vAlign w:val="center"/>
          </w:tcPr>
          <w:p>
            <w:pPr>
              <w:pStyle w:val="175"/>
              <w:numPr>
                <w:ilvl w:val="0"/>
                <w:numId w:val="11"/>
              </w:numPr>
              <w:ind w:left="430" w:hanging="220" w:firstLineChars="0"/>
              <w:rPr>
                <w:rFonts w:hint="default" w:ascii="宋体" w:hAnsi="宋体" w:eastAsia="宋体" w:cs="宋体"/>
                <w:sz w:val="24"/>
                <w:szCs w:val="24"/>
              </w:rPr>
            </w:pPr>
          </w:p>
        </w:tc>
        <w:tc>
          <w:tcPr>
            <w:tcW w:w="782" w:type="pct"/>
            <w:noWrap w:val="0"/>
            <w:vAlign w:val="center"/>
          </w:tcPr>
          <w:p>
            <w:pPr>
              <w:rPr>
                <w:rFonts w:hint="default" w:ascii="宋体" w:hAnsi="宋体" w:cs="宋体"/>
                <w:sz w:val="24"/>
                <w:szCs w:val="24"/>
              </w:rPr>
            </w:pPr>
            <w:r>
              <w:rPr>
                <w:rFonts w:ascii="宋体" w:hAnsi="宋体" w:cs="宋体"/>
                <w:sz w:val="24"/>
                <w:szCs w:val="24"/>
              </w:rPr>
              <w:t>不良事件审核</w:t>
            </w:r>
          </w:p>
        </w:tc>
        <w:tc>
          <w:tcPr>
            <w:tcW w:w="3780" w:type="pct"/>
            <w:noWrap w:val="0"/>
            <w:vAlign w:val="center"/>
          </w:tcPr>
          <w:p>
            <w:pPr>
              <w:rPr>
                <w:rFonts w:hint="default" w:ascii="宋体" w:hAnsi="宋体" w:cs="宋体"/>
                <w:sz w:val="24"/>
                <w:szCs w:val="24"/>
              </w:rPr>
            </w:pPr>
            <w:r>
              <w:rPr>
                <w:rFonts w:ascii="宋体" w:hAnsi="宋体" w:cs="宋体"/>
                <w:sz w:val="24"/>
                <w:szCs w:val="24"/>
              </w:rPr>
              <w:t>提供逐级审核功能，审核不通过，填写审核不通过原因后返回病区进行完善。</w:t>
            </w:r>
            <w:r>
              <w:rPr>
                <w:rFonts w:ascii="宋体" w:hAnsi="宋体" w:cs="宋体"/>
                <w:sz w:val="24"/>
                <w:szCs w:val="24"/>
              </w:rPr>
              <w:br w:type="textWrapping"/>
            </w:r>
            <w:r>
              <w:rPr>
                <w:rFonts w:ascii="宋体" w:hAnsi="宋体" w:cs="宋体"/>
                <w:sz w:val="24"/>
                <w:szCs w:val="24"/>
              </w:rPr>
              <w:t>支持以时间轴形式查看审核进度。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38" w:type="pct"/>
            <w:noWrap/>
            <w:vAlign w:val="center"/>
          </w:tcPr>
          <w:p>
            <w:pPr>
              <w:pStyle w:val="175"/>
              <w:numPr>
                <w:ilvl w:val="0"/>
                <w:numId w:val="11"/>
              </w:numPr>
              <w:ind w:left="430" w:hanging="220" w:firstLineChars="0"/>
              <w:rPr>
                <w:rFonts w:hint="default" w:ascii="宋体" w:hAnsi="宋体" w:eastAsia="宋体" w:cs="宋体"/>
                <w:sz w:val="24"/>
                <w:szCs w:val="24"/>
              </w:rPr>
            </w:pPr>
          </w:p>
        </w:tc>
        <w:tc>
          <w:tcPr>
            <w:tcW w:w="782" w:type="pct"/>
            <w:noWrap w:val="0"/>
            <w:vAlign w:val="center"/>
          </w:tcPr>
          <w:p>
            <w:pPr>
              <w:rPr>
                <w:rFonts w:hint="default" w:ascii="宋体" w:hAnsi="宋体" w:cs="宋体"/>
                <w:sz w:val="24"/>
                <w:szCs w:val="24"/>
              </w:rPr>
            </w:pPr>
            <w:r>
              <w:rPr>
                <w:rFonts w:ascii="宋体" w:hAnsi="宋体" w:cs="宋体"/>
                <w:sz w:val="24"/>
                <w:szCs w:val="24"/>
              </w:rPr>
              <w:t>不良事件查看列表</w:t>
            </w:r>
          </w:p>
        </w:tc>
        <w:tc>
          <w:tcPr>
            <w:tcW w:w="3780" w:type="pct"/>
            <w:noWrap w:val="0"/>
            <w:vAlign w:val="center"/>
          </w:tcPr>
          <w:p>
            <w:pPr>
              <w:rPr>
                <w:rFonts w:hint="default" w:ascii="宋体" w:hAnsi="宋体" w:cs="宋体"/>
                <w:sz w:val="24"/>
                <w:szCs w:val="24"/>
              </w:rPr>
            </w:pPr>
            <w:r>
              <w:rPr>
                <w:rFonts w:ascii="宋体" w:hAnsi="宋体" w:cs="宋体"/>
                <w:sz w:val="24"/>
                <w:szCs w:val="24"/>
              </w:rPr>
              <w:t>供医院不良事件管理部门查看所有上报至主管部门的药品不良反应事件，支持查看明细、导出等功能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38" w:type="pct"/>
            <w:noWrap/>
            <w:vAlign w:val="center"/>
          </w:tcPr>
          <w:p>
            <w:pPr>
              <w:pStyle w:val="175"/>
              <w:numPr>
                <w:ilvl w:val="0"/>
                <w:numId w:val="11"/>
              </w:numPr>
              <w:ind w:left="430" w:hanging="220" w:firstLineChars="0"/>
              <w:rPr>
                <w:rFonts w:hint="default" w:ascii="宋体" w:hAnsi="宋体" w:eastAsia="宋体" w:cs="宋体"/>
                <w:sz w:val="24"/>
                <w:szCs w:val="24"/>
              </w:rPr>
            </w:pPr>
          </w:p>
        </w:tc>
        <w:tc>
          <w:tcPr>
            <w:tcW w:w="782" w:type="pct"/>
            <w:noWrap w:val="0"/>
            <w:vAlign w:val="center"/>
          </w:tcPr>
          <w:p>
            <w:pPr>
              <w:rPr>
                <w:rFonts w:hint="default" w:ascii="宋体" w:hAnsi="宋体" w:cs="宋体"/>
                <w:sz w:val="24"/>
                <w:szCs w:val="24"/>
              </w:rPr>
            </w:pPr>
            <w:r>
              <w:rPr>
                <w:rFonts w:ascii="宋体" w:hAnsi="宋体" w:cs="宋体"/>
                <w:sz w:val="24"/>
                <w:szCs w:val="24"/>
              </w:rPr>
              <w:t>上报进度查询</w:t>
            </w:r>
          </w:p>
        </w:tc>
        <w:tc>
          <w:tcPr>
            <w:tcW w:w="3780" w:type="pct"/>
            <w:noWrap w:val="0"/>
            <w:vAlign w:val="center"/>
          </w:tcPr>
          <w:p>
            <w:pPr>
              <w:rPr>
                <w:rFonts w:hint="default" w:ascii="宋体" w:hAnsi="宋体" w:cs="宋体"/>
                <w:sz w:val="24"/>
                <w:szCs w:val="24"/>
              </w:rPr>
            </w:pPr>
            <w:r>
              <w:rPr>
                <w:rFonts w:ascii="宋体" w:hAnsi="宋体" w:cs="宋体"/>
                <w:sz w:val="24"/>
                <w:szCs w:val="24"/>
              </w:rPr>
              <w:t>可查询本人或本科室上报的药品不良反应事件当前上报进度，上报进度支持状态显示。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38" w:type="pct"/>
            <w:noWrap/>
            <w:vAlign w:val="center"/>
          </w:tcPr>
          <w:p>
            <w:pPr>
              <w:pStyle w:val="175"/>
              <w:numPr>
                <w:ilvl w:val="0"/>
                <w:numId w:val="11"/>
              </w:numPr>
              <w:ind w:left="430" w:hanging="220" w:firstLineChars="0"/>
              <w:rPr>
                <w:rFonts w:hint="default" w:ascii="宋体" w:hAnsi="宋体" w:eastAsia="宋体" w:cs="宋体"/>
                <w:sz w:val="24"/>
                <w:szCs w:val="24"/>
              </w:rPr>
            </w:pPr>
          </w:p>
        </w:tc>
        <w:tc>
          <w:tcPr>
            <w:tcW w:w="782" w:type="pct"/>
            <w:noWrap w:val="0"/>
            <w:vAlign w:val="center"/>
          </w:tcPr>
          <w:p>
            <w:pPr>
              <w:jc w:val="left"/>
              <w:rPr>
                <w:rFonts w:hint="default" w:ascii="宋体" w:hAnsi="宋体" w:cs="宋体"/>
                <w:kern w:val="0"/>
                <w:sz w:val="24"/>
                <w:szCs w:val="24"/>
              </w:rPr>
            </w:pPr>
            <w:r>
              <w:rPr>
                <w:rFonts w:ascii="宋体" w:hAnsi="宋体" w:cs="宋体"/>
                <w:sz w:val="24"/>
                <w:szCs w:val="24"/>
              </w:rPr>
              <w:t>各科室药品不良反应事件统计</w:t>
            </w:r>
          </w:p>
        </w:tc>
        <w:tc>
          <w:tcPr>
            <w:tcW w:w="3780" w:type="pct"/>
            <w:noWrap w:val="0"/>
            <w:vAlign w:val="center"/>
          </w:tcPr>
          <w:p>
            <w:pPr>
              <w:rPr>
                <w:rFonts w:hint="default" w:ascii="宋体" w:hAnsi="宋体" w:cs="宋体"/>
                <w:sz w:val="24"/>
                <w:szCs w:val="24"/>
              </w:rPr>
            </w:pPr>
            <w:r>
              <w:rPr>
                <w:rFonts w:ascii="宋体" w:hAnsi="宋体" w:cs="宋体"/>
                <w:sz w:val="24"/>
                <w:szCs w:val="24"/>
              </w:rPr>
              <w:t>以柱状图的形式展示各个科室上报的药品不良反应事件次数排名，筛选条件包括科室、日期等。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38" w:type="pct"/>
            <w:noWrap/>
            <w:vAlign w:val="center"/>
          </w:tcPr>
          <w:p>
            <w:pPr>
              <w:pStyle w:val="175"/>
              <w:numPr>
                <w:ilvl w:val="0"/>
                <w:numId w:val="11"/>
              </w:numPr>
              <w:ind w:left="430" w:hanging="220" w:firstLineChars="0"/>
              <w:rPr>
                <w:rFonts w:hint="default" w:ascii="宋体" w:hAnsi="宋体" w:eastAsia="宋体" w:cs="宋体"/>
                <w:sz w:val="24"/>
                <w:szCs w:val="24"/>
              </w:rPr>
            </w:pPr>
          </w:p>
        </w:tc>
        <w:tc>
          <w:tcPr>
            <w:tcW w:w="782" w:type="pct"/>
            <w:noWrap w:val="0"/>
            <w:vAlign w:val="center"/>
          </w:tcPr>
          <w:p>
            <w:pPr>
              <w:rPr>
                <w:rFonts w:hint="default" w:ascii="宋体" w:hAnsi="宋体" w:cs="宋体"/>
                <w:sz w:val="24"/>
                <w:szCs w:val="24"/>
              </w:rPr>
            </w:pPr>
            <w:r>
              <w:rPr>
                <w:rFonts w:ascii="宋体" w:hAnsi="宋体" w:cs="宋体"/>
                <w:sz w:val="24"/>
                <w:szCs w:val="24"/>
              </w:rPr>
              <w:t>药品不良反应事件走势图</w:t>
            </w:r>
          </w:p>
        </w:tc>
        <w:tc>
          <w:tcPr>
            <w:tcW w:w="3780" w:type="pct"/>
            <w:noWrap w:val="0"/>
            <w:vAlign w:val="center"/>
          </w:tcPr>
          <w:p>
            <w:pPr>
              <w:rPr>
                <w:rFonts w:hint="default" w:ascii="宋体" w:hAnsi="宋体" w:cs="宋体"/>
                <w:sz w:val="24"/>
                <w:szCs w:val="24"/>
              </w:rPr>
            </w:pPr>
            <w:r>
              <w:rPr>
                <w:rFonts w:ascii="宋体" w:hAnsi="宋体" w:cs="宋体"/>
                <w:sz w:val="24"/>
                <w:szCs w:val="24"/>
              </w:rPr>
              <w:t>以折线图的形式展示医院每日上报药品不良反应事件的频次，可按全院或单科室进行查看，筛选条件包括科室、日期等。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38" w:type="pct"/>
            <w:noWrap/>
            <w:vAlign w:val="center"/>
          </w:tcPr>
          <w:p>
            <w:pPr>
              <w:pStyle w:val="175"/>
              <w:numPr>
                <w:ilvl w:val="0"/>
                <w:numId w:val="11"/>
              </w:numPr>
              <w:ind w:left="430" w:hanging="220" w:firstLineChars="0"/>
              <w:rPr>
                <w:rFonts w:hint="default" w:ascii="宋体" w:hAnsi="宋体" w:eastAsia="宋体" w:cs="宋体"/>
                <w:sz w:val="24"/>
                <w:szCs w:val="24"/>
              </w:rPr>
            </w:pPr>
          </w:p>
        </w:tc>
        <w:tc>
          <w:tcPr>
            <w:tcW w:w="782" w:type="pct"/>
            <w:noWrap w:val="0"/>
            <w:vAlign w:val="center"/>
          </w:tcPr>
          <w:p>
            <w:pPr>
              <w:rPr>
                <w:rFonts w:hint="default" w:ascii="宋体" w:hAnsi="宋体" w:cs="宋体"/>
                <w:sz w:val="24"/>
                <w:szCs w:val="24"/>
              </w:rPr>
            </w:pPr>
            <w:r>
              <w:rPr>
                <w:rFonts w:ascii="宋体" w:hAnsi="宋体" w:cs="宋体"/>
                <w:sz w:val="24"/>
                <w:szCs w:val="24"/>
              </w:rPr>
              <w:t>药品不良反应结果统计</w:t>
            </w:r>
          </w:p>
        </w:tc>
        <w:tc>
          <w:tcPr>
            <w:tcW w:w="3780" w:type="pct"/>
            <w:noWrap w:val="0"/>
            <w:vAlign w:val="center"/>
          </w:tcPr>
          <w:p>
            <w:pPr>
              <w:rPr>
                <w:rFonts w:hint="default" w:ascii="宋体" w:hAnsi="宋体" w:cs="宋体"/>
                <w:sz w:val="24"/>
                <w:szCs w:val="24"/>
              </w:rPr>
            </w:pPr>
            <w:r>
              <w:rPr>
                <w:rFonts w:ascii="宋体" w:hAnsi="宋体" w:cs="宋体"/>
                <w:sz w:val="24"/>
                <w:szCs w:val="24"/>
              </w:rPr>
              <w:t>以环状图的形式展示药品不良反应结果占比，筛选条件包括科室、日期等。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38" w:type="pct"/>
            <w:noWrap/>
            <w:vAlign w:val="center"/>
          </w:tcPr>
          <w:p>
            <w:pPr>
              <w:pStyle w:val="175"/>
              <w:numPr>
                <w:ilvl w:val="0"/>
                <w:numId w:val="11"/>
              </w:numPr>
              <w:ind w:left="430" w:hanging="220" w:firstLineChars="0"/>
              <w:rPr>
                <w:rFonts w:hint="default" w:ascii="宋体" w:hAnsi="宋体" w:eastAsia="宋体" w:cs="宋体"/>
                <w:sz w:val="24"/>
                <w:szCs w:val="24"/>
              </w:rPr>
            </w:pPr>
          </w:p>
        </w:tc>
        <w:tc>
          <w:tcPr>
            <w:tcW w:w="782" w:type="pct"/>
            <w:noWrap w:val="0"/>
            <w:vAlign w:val="center"/>
          </w:tcPr>
          <w:p>
            <w:pPr>
              <w:rPr>
                <w:rFonts w:hint="default" w:ascii="宋体" w:hAnsi="宋体" w:cs="宋体"/>
                <w:sz w:val="24"/>
                <w:szCs w:val="24"/>
              </w:rPr>
            </w:pPr>
            <w:r>
              <w:rPr>
                <w:rFonts w:ascii="宋体" w:hAnsi="宋体" w:cs="宋体"/>
                <w:sz w:val="24"/>
                <w:szCs w:val="24"/>
              </w:rPr>
              <w:t>不良事件药品占比排名</w:t>
            </w:r>
          </w:p>
        </w:tc>
        <w:tc>
          <w:tcPr>
            <w:tcW w:w="3780" w:type="pct"/>
            <w:noWrap w:val="0"/>
            <w:vAlign w:val="center"/>
          </w:tcPr>
          <w:p>
            <w:pPr>
              <w:rPr>
                <w:rFonts w:hint="default" w:ascii="宋体" w:hAnsi="宋体" w:cs="宋体"/>
                <w:sz w:val="24"/>
                <w:szCs w:val="24"/>
              </w:rPr>
            </w:pPr>
            <w:r>
              <w:rPr>
                <w:rFonts w:ascii="宋体" w:hAnsi="宋体" w:cs="宋体"/>
                <w:sz w:val="24"/>
                <w:szCs w:val="24"/>
              </w:rPr>
              <w:t>以柱状图的形式展示上报的药品不良反应事件中患者使用药品的次数排名，筛选条件包括科室、日期、分类（怀疑用药、并用药品）、TOP数等。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38" w:type="pct"/>
            <w:noWrap/>
            <w:vAlign w:val="center"/>
          </w:tcPr>
          <w:p>
            <w:pPr>
              <w:pStyle w:val="175"/>
              <w:numPr>
                <w:ilvl w:val="0"/>
                <w:numId w:val="11"/>
              </w:numPr>
              <w:ind w:left="430" w:hanging="220" w:firstLineChars="0"/>
              <w:rPr>
                <w:rFonts w:hint="default" w:ascii="宋体" w:hAnsi="宋体" w:eastAsia="宋体" w:cs="宋体"/>
                <w:sz w:val="24"/>
                <w:szCs w:val="24"/>
              </w:rPr>
            </w:pPr>
          </w:p>
        </w:tc>
        <w:tc>
          <w:tcPr>
            <w:tcW w:w="782" w:type="pct"/>
            <w:noWrap w:val="0"/>
            <w:vAlign w:val="center"/>
          </w:tcPr>
          <w:p>
            <w:pPr>
              <w:rPr>
                <w:rFonts w:hint="default" w:ascii="宋体" w:hAnsi="宋体" w:cs="宋体"/>
                <w:sz w:val="24"/>
                <w:szCs w:val="24"/>
              </w:rPr>
            </w:pPr>
            <w:r>
              <w:rPr>
                <w:rFonts w:ascii="宋体" w:hAnsi="宋体" w:cs="宋体"/>
                <w:sz w:val="24"/>
                <w:szCs w:val="24"/>
              </w:rPr>
              <w:t>药品安全不良事件查询</w:t>
            </w:r>
          </w:p>
        </w:tc>
        <w:tc>
          <w:tcPr>
            <w:tcW w:w="3780" w:type="pct"/>
            <w:noWrap w:val="0"/>
            <w:vAlign w:val="center"/>
          </w:tcPr>
          <w:p>
            <w:pPr>
              <w:rPr>
                <w:rFonts w:hint="default" w:ascii="宋体" w:hAnsi="宋体" w:cs="宋体"/>
                <w:sz w:val="24"/>
                <w:szCs w:val="24"/>
              </w:rPr>
            </w:pPr>
            <w:r>
              <w:rPr>
                <w:rFonts w:ascii="宋体" w:hAnsi="宋体" w:cs="宋体"/>
                <w:sz w:val="24"/>
                <w:szCs w:val="24"/>
              </w:rPr>
              <w:t>以列表的形式展示药品不良反应事件统计，列表包括序号、主管部门、发生科室、患者姓名、患者性别、患者年龄、上报人。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38" w:type="pct"/>
            <w:noWrap/>
            <w:vAlign w:val="center"/>
          </w:tcPr>
          <w:p>
            <w:pPr>
              <w:pStyle w:val="175"/>
              <w:ind w:firstLine="0" w:firstLineChars="0"/>
              <w:jc w:val="center"/>
              <w:rPr>
                <w:rFonts w:hint="default" w:ascii="宋体" w:hAnsi="宋体" w:eastAsia="宋体" w:cs="宋体"/>
                <w:sz w:val="24"/>
                <w:szCs w:val="24"/>
              </w:rPr>
            </w:pPr>
            <w:r>
              <w:rPr>
                <w:rFonts w:ascii="宋体" w:hAnsi="宋体" w:eastAsia="宋体" w:cs="宋体"/>
                <w:sz w:val="24"/>
                <w:szCs w:val="24"/>
              </w:rPr>
              <w:t>10</w:t>
            </w:r>
          </w:p>
        </w:tc>
        <w:tc>
          <w:tcPr>
            <w:tcW w:w="782" w:type="pct"/>
            <w:noWrap w:val="0"/>
            <w:vAlign w:val="center"/>
          </w:tcPr>
          <w:p>
            <w:pPr>
              <w:rPr>
                <w:rFonts w:hint="default" w:ascii="宋体" w:hAnsi="宋体" w:cs="宋体"/>
                <w:sz w:val="24"/>
                <w:szCs w:val="24"/>
              </w:rPr>
            </w:pPr>
            <w:r>
              <w:rPr>
                <w:rFonts w:ascii="宋体" w:hAnsi="宋体" w:cs="宋体"/>
                <w:sz w:val="24"/>
                <w:szCs w:val="24"/>
              </w:rPr>
              <w:t>药品不良反应事件汇总</w:t>
            </w:r>
          </w:p>
        </w:tc>
        <w:tc>
          <w:tcPr>
            <w:tcW w:w="3780" w:type="pct"/>
            <w:noWrap w:val="0"/>
            <w:vAlign w:val="center"/>
          </w:tcPr>
          <w:p>
            <w:pPr>
              <w:rPr>
                <w:rFonts w:hint="default" w:ascii="宋体" w:hAnsi="宋体" w:cs="宋体"/>
                <w:sz w:val="24"/>
                <w:szCs w:val="24"/>
              </w:rPr>
            </w:pPr>
            <w:r>
              <w:rPr>
                <w:rFonts w:ascii="宋体" w:hAnsi="宋体" w:cs="宋体"/>
                <w:sz w:val="24"/>
                <w:szCs w:val="24"/>
              </w:rPr>
              <w:t>以列表的形式展示每个事件上报页面的所有信息，与国家药品不良反应监测平台要求统计项目保持一致。</w:t>
            </w:r>
          </w:p>
        </w:tc>
      </w:tr>
    </w:tbl>
    <w:p>
      <w:pPr>
        <w:pStyle w:val="6"/>
        <w:ind w:firstLine="0"/>
        <w:rPr>
          <w:rFonts w:cs="Calibri"/>
        </w:rPr>
      </w:pPr>
      <w:r>
        <w:rPr>
          <w:rFonts w:hint="eastAsia" w:cs="Calibri"/>
        </w:rPr>
        <w:t>(3) 医疗器械不良事件报告与管理系统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8"/>
        <w:gridCol w:w="1456"/>
        <w:gridCol w:w="63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45" w:type="pct"/>
            <w:noWrap/>
            <w:vAlign w:val="center"/>
          </w:tcPr>
          <w:p>
            <w:pPr>
              <w:jc w:val="center"/>
              <w:rPr>
                <w:rFonts w:hint="default" w:ascii="宋体" w:hAnsi="宋体"/>
                <w:b/>
                <w:bCs/>
                <w:sz w:val="24"/>
                <w:szCs w:val="24"/>
              </w:rPr>
            </w:pPr>
            <w:r>
              <w:rPr>
                <w:rFonts w:ascii="宋体" w:hAnsi="宋体"/>
                <w:b/>
                <w:bCs/>
                <w:sz w:val="24"/>
                <w:szCs w:val="24"/>
              </w:rPr>
              <w:t>序号</w:t>
            </w:r>
          </w:p>
        </w:tc>
        <w:tc>
          <w:tcPr>
            <w:tcW w:w="854" w:type="pct"/>
            <w:noWrap w:val="0"/>
            <w:vAlign w:val="center"/>
          </w:tcPr>
          <w:p>
            <w:pPr>
              <w:jc w:val="center"/>
              <w:rPr>
                <w:rFonts w:hint="default" w:ascii="宋体" w:hAnsi="宋体"/>
                <w:b/>
                <w:bCs/>
                <w:sz w:val="24"/>
                <w:szCs w:val="24"/>
              </w:rPr>
            </w:pPr>
            <w:r>
              <w:rPr>
                <w:rFonts w:ascii="宋体" w:hAnsi="宋体"/>
                <w:b/>
                <w:bCs/>
                <w:sz w:val="24"/>
                <w:szCs w:val="24"/>
              </w:rPr>
              <w:t>功能模块</w:t>
            </w:r>
          </w:p>
        </w:tc>
        <w:tc>
          <w:tcPr>
            <w:tcW w:w="3701" w:type="pct"/>
            <w:noWrap w:val="0"/>
            <w:vAlign w:val="center"/>
          </w:tcPr>
          <w:p>
            <w:pPr>
              <w:jc w:val="center"/>
              <w:rPr>
                <w:rFonts w:hint="default" w:ascii="宋体" w:hAnsi="宋体"/>
                <w:b/>
                <w:bCs/>
                <w:sz w:val="24"/>
                <w:szCs w:val="24"/>
              </w:rPr>
            </w:pPr>
            <w:r>
              <w:rPr>
                <w:rFonts w:ascii="宋体" w:hAnsi="宋体"/>
                <w:b/>
                <w:bCs/>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45" w:type="pct"/>
            <w:noWrap/>
            <w:vAlign w:val="center"/>
          </w:tcPr>
          <w:p>
            <w:pPr>
              <w:pStyle w:val="175"/>
              <w:numPr>
                <w:ilvl w:val="0"/>
                <w:numId w:val="12"/>
              </w:numPr>
              <w:ind w:firstLine="0" w:firstLineChars="0"/>
              <w:jc w:val="center"/>
              <w:rPr>
                <w:rFonts w:hint="default" w:ascii="宋体" w:hAnsi="宋体" w:eastAsia="宋体" w:cs="宋体"/>
                <w:sz w:val="24"/>
                <w:szCs w:val="24"/>
              </w:rPr>
            </w:pPr>
          </w:p>
        </w:tc>
        <w:tc>
          <w:tcPr>
            <w:tcW w:w="854" w:type="pct"/>
            <w:noWrap w:val="0"/>
            <w:vAlign w:val="center"/>
          </w:tcPr>
          <w:p>
            <w:pPr>
              <w:jc w:val="left"/>
              <w:rPr>
                <w:rFonts w:hint="default" w:ascii="宋体" w:hAnsi="宋体" w:cs="宋体"/>
                <w:kern w:val="0"/>
                <w:sz w:val="24"/>
                <w:szCs w:val="24"/>
              </w:rPr>
            </w:pPr>
            <w:r>
              <w:rPr>
                <w:rFonts w:ascii="宋体" w:hAnsi="宋体" w:cs="宋体"/>
                <w:sz w:val="24"/>
                <w:szCs w:val="24"/>
              </w:rPr>
              <w:t>事件上报</w:t>
            </w:r>
          </w:p>
        </w:tc>
        <w:tc>
          <w:tcPr>
            <w:tcW w:w="3701" w:type="pct"/>
            <w:noWrap w:val="0"/>
            <w:vAlign w:val="center"/>
          </w:tcPr>
          <w:p>
            <w:pPr>
              <w:rPr>
                <w:rFonts w:hint="default" w:ascii="宋体" w:hAnsi="宋体" w:cs="宋体"/>
                <w:sz w:val="24"/>
                <w:szCs w:val="24"/>
              </w:rPr>
            </w:pPr>
            <w:r>
              <w:rPr>
                <w:rFonts w:ascii="宋体" w:hAnsi="宋体" w:cs="宋体"/>
                <w:sz w:val="24"/>
                <w:szCs w:val="24"/>
              </w:rPr>
              <w:t>支持进行医疗器械不良事件上报，上报页面选项与国家医疗器械不良事件监测平台一致，包括报告基本信息、医疗器械情况、不良事件情况、使用情况、事件初步原因分析与处置等模块。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45" w:type="pct"/>
            <w:noWrap/>
            <w:vAlign w:val="center"/>
          </w:tcPr>
          <w:p>
            <w:pPr>
              <w:pStyle w:val="175"/>
              <w:numPr>
                <w:ilvl w:val="0"/>
                <w:numId w:val="12"/>
              </w:numPr>
              <w:ind w:firstLine="0" w:firstLineChars="0"/>
              <w:jc w:val="center"/>
              <w:rPr>
                <w:rFonts w:hint="default" w:ascii="宋体" w:hAnsi="宋体" w:eastAsia="宋体" w:cs="宋体"/>
                <w:sz w:val="24"/>
                <w:szCs w:val="24"/>
              </w:rPr>
            </w:pPr>
          </w:p>
        </w:tc>
        <w:tc>
          <w:tcPr>
            <w:tcW w:w="854" w:type="pct"/>
            <w:noWrap w:val="0"/>
            <w:vAlign w:val="center"/>
          </w:tcPr>
          <w:p>
            <w:pPr>
              <w:rPr>
                <w:rFonts w:hint="default" w:ascii="宋体" w:hAnsi="宋体" w:cs="宋体"/>
                <w:sz w:val="24"/>
                <w:szCs w:val="24"/>
              </w:rPr>
            </w:pPr>
            <w:r>
              <w:rPr>
                <w:rFonts w:ascii="宋体" w:hAnsi="宋体" w:cs="宋体"/>
                <w:sz w:val="24"/>
                <w:szCs w:val="24"/>
              </w:rPr>
              <w:t>不良事件审核</w:t>
            </w:r>
          </w:p>
        </w:tc>
        <w:tc>
          <w:tcPr>
            <w:tcW w:w="3701" w:type="pct"/>
            <w:noWrap w:val="0"/>
            <w:vAlign w:val="center"/>
          </w:tcPr>
          <w:p>
            <w:pPr>
              <w:rPr>
                <w:rFonts w:hint="default" w:ascii="宋体" w:hAnsi="宋体" w:cs="宋体"/>
                <w:sz w:val="24"/>
                <w:szCs w:val="24"/>
              </w:rPr>
            </w:pPr>
            <w:r>
              <w:rPr>
                <w:rFonts w:ascii="宋体" w:hAnsi="宋体" w:cs="宋体"/>
                <w:sz w:val="24"/>
                <w:szCs w:val="24"/>
              </w:rPr>
              <w:t>提供逐级审核功能，审核不通过，填写审核不通过原因后返回病区进行完善。</w:t>
            </w:r>
            <w:r>
              <w:rPr>
                <w:rFonts w:ascii="宋体" w:hAnsi="宋体" w:cs="宋体"/>
                <w:sz w:val="24"/>
                <w:szCs w:val="24"/>
              </w:rPr>
              <w:br w:type="textWrapping"/>
            </w:r>
            <w:r>
              <w:rPr>
                <w:rFonts w:ascii="宋体" w:hAnsi="宋体" w:cs="宋体"/>
                <w:sz w:val="24"/>
                <w:szCs w:val="24"/>
              </w:rPr>
              <w:t>支持以时间轴形式查看审核进度。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45" w:type="pct"/>
            <w:noWrap/>
            <w:vAlign w:val="center"/>
          </w:tcPr>
          <w:p>
            <w:pPr>
              <w:pStyle w:val="175"/>
              <w:numPr>
                <w:ilvl w:val="0"/>
                <w:numId w:val="12"/>
              </w:numPr>
              <w:ind w:firstLine="0" w:firstLineChars="0"/>
              <w:jc w:val="center"/>
              <w:rPr>
                <w:rFonts w:hint="default" w:ascii="宋体" w:hAnsi="宋体" w:eastAsia="宋体" w:cs="宋体"/>
                <w:sz w:val="24"/>
                <w:szCs w:val="24"/>
              </w:rPr>
            </w:pPr>
          </w:p>
        </w:tc>
        <w:tc>
          <w:tcPr>
            <w:tcW w:w="854" w:type="pct"/>
            <w:noWrap w:val="0"/>
            <w:vAlign w:val="center"/>
          </w:tcPr>
          <w:p>
            <w:pPr>
              <w:rPr>
                <w:rFonts w:hint="default" w:ascii="宋体" w:hAnsi="宋体" w:cs="宋体"/>
                <w:sz w:val="24"/>
                <w:szCs w:val="24"/>
              </w:rPr>
            </w:pPr>
            <w:r>
              <w:rPr>
                <w:rFonts w:ascii="宋体" w:hAnsi="宋体" w:cs="宋体"/>
                <w:sz w:val="24"/>
                <w:szCs w:val="24"/>
              </w:rPr>
              <w:t>不良事件查看列表</w:t>
            </w:r>
          </w:p>
        </w:tc>
        <w:tc>
          <w:tcPr>
            <w:tcW w:w="3701" w:type="pct"/>
            <w:noWrap w:val="0"/>
            <w:vAlign w:val="center"/>
          </w:tcPr>
          <w:p>
            <w:pPr>
              <w:rPr>
                <w:rFonts w:hint="default" w:ascii="宋体" w:hAnsi="宋体" w:cs="宋体"/>
                <w:sz w:val="24"/>
                <w:szCs w:val="24"/>
              </w:rPr>
            </w:pPr>
            <w:r>
              <w:rPr>
                <w:rFonts w:ascii="宋体" w:hAnsi="宋体" w:cs="宋体"/>
                <w:sz w:val="24"/>
                <w:szCs w:val="24"/>
              </w:rPr>
              <w:t>供医院不良事件管理部门查看所有上报至主管部门的医疗器械不良事件，支持查看明细、导出等功能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45" w:type="pct"/>
            <w:noWrap/>
            <w:vAlign w:val="center"/>
          </w:tcPr>
          <w:p>
            <w:pPr>
              <w:pStyle w:val="175"/>
              <w:numPr>
                <w:ilvl w:val="0"/>
                <w:numId w:val="12"/>
              </w:numPr>
              <w:ind w:firstLine="0" w:firstLineChars="0"/>
              <w:jc w:val="center"/>
              <w:rPr>
                <w:rFonts w:hint="default" w:ascii="宋体" w:hAnsi="宋体" w:eastAsia="宋体" w:cs="宋体"/>
                <w:sz w:val="24"/>
                <w:szCs w:val="24"/>
              </w:rPr>
            </w:pPr>
          </w:p>
        </w:tc>
        <w:tc>
          <w:tcPr>
            <w:tcW w:w="854" w:type="pct"/>
            <w:noWrap w:val="0"/>
            <w:vAlign w:val="center"/>
          </w:tcPr>
          <w:p>
            <w:pPr>
              <w:rPr>
                <w:rFonts w:hint="default" w:ascii="宋体" w:hAnsi="宋体" w:cs="宋体"/>
                <w:sz w:val="24"/>
                <w:szCs w:val="24"/>
              </w:rPr>
            </w:pPr>
            <w:r>
              <w:rPr>
                <w:rFonts w:ascii="宋体" w:hAnsi="宋体" w:cs="宋体"/>
                <w:sz w:val="24"/>
                <w:szCs w:val="24"/>
              </w:rPr>
              <w:t>上报进度查询</w:t>
            </w:r>
          </w:p>
        </w:tc>
        <w:tc>
          <w:tcPr>
            <w:tcW w:w="3701" w:type="pct"/>
            <w:noWrap w:val="0"/>
            <w:vAlign w:val="center"/>
          </w:tcPr>
          <w:p>
            <w:pPr>
              <w:rPr>
                <w:rFonts w:hint="default" w:ascii="宋体" w:hAnsi="宋体" w:cs="宋体"/>
                <w:sz w:val="24"/>
                <w:szCs w:val="24"/>
              </w:rPr>
            </w:pPr>
            <w:r>
              <w:rPr>
                <w:rFonts w:ascii="宋体" w:hAnsi="宋体" w:cs="宋体"/>
                <w:sz w:val="24"/>
                <w:szCs w:val="24"/>
              </w:rPr>
              <w:t>可查询本人或本科室上报的医疗器械不良事件当前上报进度，上报进度支持状态显示。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45" w:type="pct"/>
            <w:noWrap/>
            <w:vAlign w:val="center"/>
          </w:tcPr>
          <w:p>
            <w:pPr>
              <w:pStyle w:val="175"/>
              <w:numPr>
                <w:ilvl w:val="0"/>
                <w:numId w:val="12"/>
              </w:numPr>
              <w:ind w:firstLine="0" w:firstLineChars="0"/>
              <w:jc w:val="center"/>
              <w:rPr>
                <w:rFonts w:hint="default" w:ascii="宋体" w:hAnsi="宋体" w:eastAsia="宋体" w:cs="宋体"/>
                <w:sz w:val="24"/>
                <w:szCs w:val="24"/>
              </w:rPr>
            </w:pPr>
          </w:p>
        </w:tc>
        <w:tc>
          <w:tcPr>
            <w:tcW w:w="854" w:type="pct"/>
            <w:noWrap w:val="0"/>
            <w:vAlign w:val="center"/>
          </w:tcPr>
          <w:p>
            <w:pPr>
              <w:jc w:val="left"/>
              <w:rPr>
                <w:rFonts w:hint="default" w:ascii="宋体" w:hAnsi="宋体" w:cs="宋体"/>
                <w:kern w:val="0"/>
                <w:sz w:val="24"/>
                <w:szCs w:val="24"/>
              </w:rPr>
            </w:pPr>
            <w:r>
              <w:rPr>
                <w:rFonts w:ascii="宋体" w:hAnsi="宋体" w:cs="宋体"/>
                <w:sz w:val="24"/>
                <w:szCs w:val="24"/>
              </w:rPr>
              <w:t>各科室医疗器械不良事件统计</w:t>
            </w:r>
          </w:p>
        </w:tc>
        <w:tc>
          <w:tcPr>
            <w:tcW w:w="3701" w:type="pct"/>
            <w:noWrap w:val="0"/>
            <w:vAlign w:val="center"/>
          </w:tcPr>
          <w:p>
            <w:pPr>
              <w:rPr>
                <w:rFonts w:hint="default" w:ascii="宋体" w:hAnsi="宋体" w:cs="宋体"/>
                <w:sz w:val="24"/>
                <w:szCs w:val="24"/>
              </w:rPr>
            </w:pPr>
            <w:r>
              <w:rPr>
                <w:rFonts w:ascii="宋体" w:hAnsi="宋体" w:cs="宋体"/>
                <w:sz w:val="24"/>
                <w:szCs w:val="24"/>
              </w:rPr>
              <w:t>以柱状图的形式展示各个科室上报的医疗器械不良事件次数排名，筛选条件包括科室、日期等。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45" w:type="pct"/>
            <w:noWrap/>
            <w:vAlign w:val="center"/>
          </w:tcPr>
          <w:p>
            <w:pPr>
              <w:pStyle w:val="175"/>
              <w:numPr>
                <w:ilvl w:val="0"/>
                <w:numId w:val="12"/>
              </w:numPr>
              <w:ind w:firstLine="0" w:firstLineChars="0"/>
              <w:jc w:val="center"/>
              <w:rPr>
                <w:rFonts w:hint="default" w:ascii="宋体" w:hAnsi="宋体" w:eastAsia="宋体" w:cs="宋体"/>
                <w:sz w:val="24"/>
                <w:szCs w:val="24"/>
              </w:rPr>
            </w:pPr>
          </w:p>
        </w:tc>
        <w:tc>
          <w:tcPr>
            <w:tcW w:w="854" w:type="pct"/>
            <w:noWrap w:val="0"/>
            <w:vAlign w:val="center"/>
          </w:tcPr>
          <w:p>
            <w:pPr>
              <w:rPr>
                <w:rFonts w:hint="default" w:ascii="宋体" w:hAnsi="宋体" w:cs="宋体"/>
                <w:sz w:val="24"/>
                <w:szCs w:val="24"/>
              </w:rPr>
            </w:pPr>
            <w:r>
              <w:rPr>
                <w:rFonts w:ascii="宋体" w:hAnsi="宋体" w:cs="宋体"/>
                <w:sz w:val="24"/>
                <w:szCs w:val="24"/>
              </w:rPr>
              <w:t>医疗器械不良事件走势图</w:t>
            </w:r>
          </w:p>
        </w:tc>
        <w:tc>
          <w:tcPr>
            <w:tcW w:w="3701" w:type="pct"/>
            <w:noWrap w:val="0"/>
            <w:vAlign w:val="center"/>
          </w:tcPr>
          <w:p>
            <w:pPr>
              <w:rPr>
                <w:rFonts w:hint="default" w:ascii="宋体" w:hAnsi="宋体" w:cs="宋体"/>
                <w:sz w:val="24"/>
                <w:szCs w:val="24"/>
              </w:rPr>
            </w:pPr>
            <w:r>
              <w:rPr>
                <w:rFonts w:ascii="宋体" w:hAnsi="宋体" w:cs="宋体"/>
                <w:sz w:val="24"/>
                <w:szCs w:val="24"/>
              </w:rPr>
              <w:t>以折线图的形式展示医院每日上报医疗器械不良事件的频次，可按全院或单科室进行查看，筛选条件包括科室、日期等。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45" w:type="pct"/>
            <w:noWrap/>
            <w:vAlign w:val="center"/>
          </w:tcPr>
          <w:p>
            <w:pPr>
              <w:pStyle w:val="175"/>
              <w:numPr>
                <w:ilvl w:val="0"/>
                <w:numId w:val="12"/>
              </w:numPr>
              <w:ind w:firstLine="0" w:firstLineChars="0"/>
              <w:jc w:val="center"/>
              <w:rPr>
                <w:rFonts w:hint="default" w:ascii="宋体" w:hAnsi="宋体" w:eastAsia="宋体" w:cs="宋体"/>
                <w:sz w:val="24"/>
                <w:szCs w:val="24"/>
              </w:rPr>
            </w:pPr>
          </w:p>
        </w:tc>
        <w:tc>
          <w:tcPr>
            <w:tcW w:w="854" w:type="pct"/>
            <w:noWrap w:val="0"/>
            <w:vAlign w:val="center"/>
          </w:tcPr>
          <w:p>
            <w:pPr>
              <w:rPr>
                <w:rFonts w:hint="default" w:ascii="宋体" w:hAnsi="宋体" w:cs="宋体"/>
                <w:sz w:val="24"/>
                <w:szCs w:val="24"/>
              </w:rPr>
            </w:pPr>
            <w:r>
              <w:rPr>
                <w:rFonts w:ascii="宋体" w:hAnsi="宋体" w:cs="宋体"/>
                <w:sz w:val="24"/>
                <w:szCs w:val="24"/>
              </w:rPr>
              <w:t>医疗器械不良反应事件结果统计</w:t>
            </w:r>
          </w:p>
        </w:tc>
        <w:tc>
          <w:tcPr>
            <w:tcW w:w="3701" w:type="pct"/>
            <w:noWrap w:val="0"/>
            <w:vAlign w:val="center"/>
          </w:tcPr>
          <w:p>
            <w:pPr>
              <w:rPr>
                <w:rFonts w:hint="default" w:ascii="宋体" w:hAnsi="宋体" w:cs="宋体"/>
                <w:sz w:val="24"/>
                <w:szCs w:val="24"/>
              </w:rPr>
            </w:pPr>
            <w:r>
              <w:rPr>
                <w:rFonts w:ascii="宋体" w:hAnsi="宋体" w:cs="宋体"/>
                <w:sz w:val="24"/>
                <w:szCs w:val="24"/>
              </w:rPr>
              <w:t>以环状图的形式展示医疗器械不良反应结果占比，筛选条件包括科室、日期等。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45" w:type="pct"/>
            <w:noWrap/>
            <w:vAlign w:val="center"/>
          </w:tcPr>
          <w:p>
            <w:pPr>
              <w:pStyle w:val="175"/>
              <w:numPr>
                <w:ilvl w:val="0"/>
                <w:numId w:val="12"/>
              </w:numPr>
              <w:ind w:firstLine="0" w:firstLineChars="0"/>
              <w:jc w:val="center"/>
              <w:rPr>
                <w:rFonts w:hint="default" w:ascii="宋体" w:hAnsi="宋体" w:eastAsia="宋体" w:cs="宋体"/>
                <w:sz w:val="24"/>
                <w:szCs w:val="24"/>
              </w:rPr>
            </w:pPr>
          </w:p>
        </w:tc>
        <w:tc>
          <w:tcPr>
            <w:tcW w:w="854" w:type="pct"/>
            <w:noWrap w:val="0"/>
            <w:vAlign w:val="center"/>
          </w:tcPr>
          <w:p>
            <w:pPr>
              <w:rPr>
                <w:rFonts w:hint="default" w:ascii="宋体" w:hAnsi="宋体" w:cs="宋体"/>
                <w:sz w:val="24"/>
                <w:szCs w:val="24"/>
              </w:rPr>
            </w:pPr>
            <w:r>
              <w:rPr>
                <w:rFonts w:ascii="宋体" w:hAnsi="宋体" w:cs="宋体"/>
                <w:sz w:val="24"/>
                <w:szCs w:val="24"/>
              </w:rPr>
              <w:t>不良事件器械占比排名</w:t>
            </w:r>
          </w:p>
        </w:tc>
        <w:tc>
          <w:tcPr>
            <w:tcW w:w="3701" w:type="pct"/>
            <w:noWrap w:val="0"/>
            <w:vAlign w:val="center"/>
          </w:tcPr>
          <w:p>
            <w:pPr>
              <w:rPr>
                <w:rFonts w:hint="default" w:ascii="宋体" w:hAnsi="宋体" w:cs="宋体"/>
                <w:sz w:val="24"/>
                <w:szCs w:val="24"/>
              </w:rPr>
            </w:pPr>
            <w:r>
              <w:rPr>
                <w:rFonts w:ascii="宋体" w:hAnsi="宋体" w:cs="宋体"/>
                <w:sz w:val="24"/>
                <w:szCs w:val="24"/>
              </w:rPr>
              <w:t>以柱状图的形式展示上报的医疗器械不良事件中患者使用器械的次数排名，筛选条件包括科室、日期、分类（怀疑用药、并用药品）、TOP数等。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45" w:type="pct"/>
            <w:noWrap/>
            <w:vAlign w:val="center"/>
          </w:tcPr>
          <w:p>
            <w:pPr>
              <w:pStyle w:val="175"/>
              <w:numPr>
                <w:ilvl w:val="0"/>
                <w:numId w:val="12"/>
              </w:numPr>
              <w:ind w:firstLine="0" w:firstLineChars="0"/>
              <w:jc w:val="center"/>
              <w:rPr>
                <w:rFonts w:hint="default" w:ascii="宋体" w:hAnsi="宋体" w:eastAsia="宋体" w:cs="宋体"/>
                <w:sz w:val="24"/>
                <w:szCs w:val="24"/>
              </w:rPr>
            </w:pPr>
          </w:p>
        </w:tc>
        <w:tc>
          <w:tcPr>
            <w:tcW w:w="854" w:type="pct"/>
            <w:noWrap w:val="0"/>
            <w:vAlign w:val="center"/>
          </w:tcPr>
          <w:p>
            <w:pPr>
              <w:rPr>
                <w:rFonts w:hint="default" w:ascii="宋体" w:hAnsi="宋体" w:cs="宋体"/>
                <w:sz w:val="24"/>
                <w:szCs w:val="24"/>
              </w:rPr>
            </w:pPr>
            <w:r>
              <w:rPr>
                <w:rFonts w:ascii="宋体" w:hAnsi="宋体" w:cs="宋体"/>
                <w:sz w:val="24"/>
                <w:szCs w:val="24"/>
              </w:rPr>
              <w:t>医疗器械不良事件查询</w:t>
            </w:r>
          </w:p>
        </w:tc>
        <w:tc>
          <w:tcPr>
            <w:tcW w:w="3701" w:type="pct"/>
            <w:noWrap w:val="0"/>
            <w:vAlign w:val="center"/>
          </w:tcPr>
          <w:p>
            <w:pPr>
              <w:rPr>
                <w:rFonts w:hint="default" w:ascii="宋体" w:hAnsi="宋体" w:cs="宋体"/>
                <w:sz w:val="24"/>
                <w:szCs w:val="24"/>
              </w:rPr>
            </w:pPr>
            <w:r>
              <w:rPr>
                <w:rFonts w:ascii="宋体" w:hAnsi="宋体" w:cs="宋体"/>
                <w:sz w:val="24"/>
                <w:szCs w:val="24"/>
              </w:rPr>
              <w:t>以列表的形式展示医疗器械不良事件统计，列表包括序号、主管部门、发生科室、患者姓名、患者性别、患者年龄、上报人。</w:t>
            </w:r>
          </w:p>
        </w:tc>
      </w:tr>
    </w:tbl>
    <w:p>
      <w:pPr>
        <w:pStyle w:val="5"/>
        <w:numPr>
          <w:ilvl w:val="2"/>
          <w:numId w:val="10"/>
        </w:numPr>
        <w:spacing w:before="0" w:after="0" w:line="360" w:lineRule="auto"/>
        <w:rPr>
          <w:rFonts w:ascii="宋体" w:hAnsi="宋体"/>
        </w:rPr>
      </w:pPr>
      <w:r>
        <w:rPr>
          <w:rFonts w:hint="eastAsia" w:ascii="宋体" w:hAnsi="宋体"/>
        </w:rPr>
        <w:t>公立医院绩效考核系统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2"/>
        <w:gridCol w:w="1273"/>
        <w:gridCol w:w="65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blHeader/>
        </w:trPr>
        <w:tc>
          <w:tcPr>
            <w:tcW w:w="412" w:type="pct"/>
            <w:noWrap w:val="0"/>
            <w:vAlign w:val="center"/>
          </w:tcPr>
          <w:p>
            <w:pPr>
              <w:jc w:val="center"/>
              <w:rPr>
                <w:rFonts w:hint="default" w:ascii="宋体" w:hAnsi="宋体" w:cs="宋体"/>
                <w:b/>
                <w:kern w:val="0"/>
                <w:sz w:val="24"/>
                <w:szCs w:val="24"/>
              </w:rPr>
            </w:pPr>
            <w:r>
              <w:rPr>
                <w:rFonts w:ascii="宋体" w:hAnsi="宋体" w:cs="宋体"/>
                <w:b/>
                <w:kern w:val="0"/>
                <w:sz w:val="24"/>
                <w:szCs w:val="24"/>
              </w:rPr>
              <w:t>序号</w:t>
            </w:r>
          </w:p>
        </w:tc>
        <w:tc>
          <w:tcPr>
            <w:tcW w:w="747" w:type="pct"/>
            <w:noWrap w:val="0"/>
            <w:vAlign w:val="center"/>
          </w:tcPr>
          <w:p>
            <w:pPr>
              <w:jc w:val="center"/>
              <w:rPr>
                <w:rFonts w:hint="default" w:ascii="宋体" w:hAnsi="宋体" w:cs="宋体"/>
                <w:b/>
                <w:kern w:val="0"/>
                <w:sz w:val="24"/>
                <w:szCs w:val="24"/>
              </w:rPr>
            </w:pPr>
            <w:r>
              <w:rPr>
                <w:rFonts w:ascii="宋体" w:hAnsi="宋体" w:cs="宋体"/>
                <w:b/>
                <w:kern w:val="0"/>
                <w:sz w:val="24"/>
                <w:szCs w:val="24"/>
              </w:rPr>
              <w:t>功能模块</w:t>
            </w:r>
          </w:p>
        </w:tc>
        <w:tc>
          <w:tcPr>
            <w:tcW w:w="3841" w:type="pct"/>
            <w:noWrap w:val="0"/>
            <w:vAlign w:val="center"/>
          </w:tcPr>
          <w:p>
            <w:pPr>
              <w:jc w:val="center"/>
              <w:rPr>
                <w:rFonts w:hint="default" w:ascii="宋体" w:hAnsi="宋体" w:cs="宋体"/>
                <w:b/>
                <w:kern w:val="0"/>
                <w:sz w:val="24"/>
                <w:szCs w:val="24"/>
              </w:rPr>
            </w:pPr>
            <w:r>
              <w:rPr>
                <w:rFonts w:ascii="宋体" w:hAnsi="宋体" w:cs="宋体"/>
                <w:b/>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12"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747" w:type="pct"/>
            <w:noWrap w:val="0"/>
            <w:vAlign w:val="center"/>
          </w:tcPr>
          <w:p>
            <w:pPr>
              <w:jc w:val="center"/>
              <w:rPr>
                <w:rFonts w:hint="default" w:ascii="宋体" w:hAnsi="宋体" w:cs="宋体"/>
                <w:kern w:val="0"/>
                <w:sz w:val="24"/>
                <w:szCs w:val="24"/>
              </w:rPr>
            </w:pPr>
            <w:r>
              <w:rPr>
                <w:rFonts w:ascii="宋体" w:hAnsi="宋体" w:cs="宋体"/>
                <w:kern w:val="0"/>
                <w:sz w:val="24"/>
                <w:szCs w:val="24"/>
              </w:rPr>
              <w:t>总体要求</w:t>
            </w:r>
          </w:p>
        </w:tc>
        <w:tc>
          <w:tcPr>
            <w:tcW w:w="3841" w:type="pct"/>
            <w:noWrap w:val="0"/>
            <w:vAlign w:val="top"/>
          </w:tcPr>
          <w:p>
            <w:pPr>
              <w:rPr>
                <w:rFonts w:hint="default" w:ascii="宋体" w:hAnsi="宋体" w:cs="宋体"/>
                <w:kern w:val="0"/>
                <w:sz w:val="24"/>
                <w:szCs w:val="24"/>
              </w:rPr>
            </w:pPr>
            <w:r>
              <w:rPr>
                <w:rFonts w:ascii="宋体" w:hAnsi="宋体" w:cs="宋体"/>
                <w:kern w:val="0"/>
                <w:sz w:val="24"/>
                <w:szCs w:val="24"/>
              </w:rPr>
              <w:t>按照国家二级/三级公立医院绩效考核操作手册（最新版）要求，实现医院病案首页信息与国家医院质量监测系统(HQMS)的数据采集、上传；对于医院系统内未能提供的数据，可由医院病案室进行数据补录。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12"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747" w:type="pct"/>
            <w:noWrap w:val="0"/>
            <w:vAlign w:val="center"/>
          </w:tcPr>
          <w:p>
            <w:pPr>
              <w:jc w:val="center"/>
              <w:rPr>
                <w:rFonts w:hint="default" w:ascii="宋体" w:hAnsi="宋体" w:cs="宋体"/>
                <w:kern w:val="0"/>
                <w:sz w:val="24"/>
                <w:szCs w:val="24"/>
              </w:rPr>
            </w:pPr>
            <w:r>
              <w:rPr>
                <w:rFonts w:ascii="宋体" w:hAnsi="宋体" w:cs="宋体"/>
                <w:kern w:val="0"/>
                <w:sz w:val="24"/>
                <w:szCs w:val="24"/>
              </w:rPr>
              <w:t>基础维护</w:t>
            </w:r>
          </w:p>
        </w:tc>
        <w:tc>
          <w:tcPr>
            <w:tcW w:w="3841" w:type="pct"/>
            <w:noWrap w:val="0"/>
            <w:vAlign w:val="top"/>
          </w:tcPr>
          <w:p>
            <w:pPr>
              <w:rPr>
                <w:rFonts w:hint="default" w:ascii="宋体" w:hAnsi="宋体" w:cs="宋体"/>
                <w:kern w:val="0"/>
                <w:sz w:val="24"/>
                <w:szCs w:val="24"/>
              </w:rPr>
            </w:pPr>
            <w:r>
              <w:rPr>
                <w:rFonts w:ascii="宋体" w:hAnsi="宋体"/>
                <w:sz w:val="24"/>
                <w:szCs w:val="24"/>
              </w:rPr>
              <w:t>1)可提供</w:t>
            </w:r>
            <w:r>
              <w:rPr>
                <w:rFonts w:ascii="宋体" w:hAnsi="宋体" w:cs="宋体"/>
                <w:kern w:val="0"/>
                <w:sz w:val="24"/>
                <w:szCs w:val="24"/>
              </w:rPr>
              <w:t>国家公立医院绩效考核要求的ICD、手术、麻醉方式等标准值域；</w:t>
            </w:r>
          </w:p>
          <w:p>
            <w:pPr>
              <w:rPr>
                <w:rFonts w:hint="default" w:ascii="宋体" w:hAnsi="宋体" w:cs="宋体"/>
                <w:kern w:val="0"/>
                <w:sz w:val="24"/>
                <w:szCs w:val="24"/>
              </w:rPr>
            </w:pPr>
            <w:r>
              <w:rPr>
                <w:rFonts w:ascii="宋体" w:hAnsi="宋体" w:cs="宋体"/>
                <w:kern w:val="0"/>
                <w:sz w:val="24"/>
                <w:szCs w:val="24"/>
              </w:rPr>
              <w:t>2)可实现院内ICD、手术、麻醉方式等院内值域同标准值域对照维护，支持查看ICD对应的病案号。</w:t>
            </w:r>
          </w:p>
          <w:p>
            <w:pPr>
              <w:rPr>
                <w:rFonts w:hint="default" w:ascii="宋体" w:hAnsi="宋体" w:cs="宋体"/>
                <w:kern w:val="0"/>
                <w:sz w:val="24"/>
                <w:szCs w:val="24"/>
              </w:rPr>
            </w:pPr>
            <w:r>
              <w:rPr>
                <w:rFonts w:ascii="宋体" w:hAnsi="宋体" w:cs="宋体"/>
                <w:kern w:val="0"/>
                <w:sz w:val="24"/>
                <w:szCs w:val="24"/>
              </w:rPr>
              <w:t>3)支持针对不同绩效考核统计指标可单独定义不同的数据源；</w:t>
            </w:r>
          </w:p>
          <w:p>
            <w:pPr>
              <w:rPr>
                <w:rFonts w:hint="default" w:ascii="宋体" w:hAnsi="宋体" w:cs="宋体"/>
                <w:kern w:val="0"/>
                <w:sz w:val="24"/>
                <w:szCs w:val="24"/>
              </w:rPr>
            </w:pPr>
            <w:r>
              <w:rPr>
                <w:rFonts w:ascii="宋体" w:hAnsi="宋体" w:cs="宋体"/>
                <w:kern w:val="0"/>
                <w:sz w:val="24"/>
                <w:szCs w:val="24"/>
              </w:rPr>
              <w:t>4)数据源支持SqlServer、Oracle、MySql等多种类型；</w:t>
            </w:r>
          </w:p>
          <w:p>
            <w:pPr>
              <w:rPr>
                <w:rFonts w:hint="default" w:ascii="宋体" w:hAnsi="宋体" w:cs="宋体"/>
                <w:kern w:val="0"/>
                <w:sz w:val="24"/>
                <w:szCs w:val="24"/>
              </w:rPr>
            </w:pPr>
            <w:r>
              <w:rPr>
                <w:rFonts w:ascii="宋体" w:hAnsi="宋体" w:cs="宋体"/>
                <w:kern w:val="0"/>
                <w:sz w:val="24"/>
                <w:szCs w:val="24"/>
              </w:rPr>
              <w:t>5)支持用户可自定义各种绩效指标的统计脚本；</w:t>
            </w:r>
          </w:p>
          <w:p>
            <w:pPr>
              <w:rPr>
                <w:rFonts w:hint="default" w:ascii="宋体" w:hAnsi="宋体" w:cs="宋体"/>
                <w:kern w:val="0"/>
                <w:sz w:val="24"/>
                <w:szCs w:val="24"/>
              </w:rPr>
            </w:pPr>
            <w:r>
              <w:rPr>
                <w:rFonts w:ascii="宋体" w:hAnsi="宋体" w:cs="宋体"/>
                <w:kern w:val="0"/>
                <w:sz w:val="24"/>
                <w:szCs w:val="24"/>
              </w:rPr>
              <w:t>6)具有绩效考核的各项指标定义、计算方法等指标说明；</w:t>
            </w:r>
          </w:p>
          <w:p>
            <w:pPr>
              <w:rPr>
                <w:rFonts w:hint="default" w:ascii="宋体" w:hAnsi="宋体" w:cs="宋体"/>
                <w:kern w:val="0"/>
                <w:sz w:val="24"/>
                <w:szCs w:val="24"/>
              </w:rPr>
            </w:pPr>
            <w:r>
              <w:rPr>
                <w:rFonts w:ascii="宋体" w:hAnsi="宋体" w:cs="宋体"/>
                <w:kern w:val="0"/>
                <w:sz w:val="24"/>
                <w:szCs w:val="24"/>
              </w:rPr>
              <w:t>7)支持不同年份的指标版本管理，并能打印导出。</w:t>
            </w:r>
          </w:p>
          <w:p>
            <w:pPr>
              <w:rPr>
                <w:rFonts w:hint="default" w:ascii="宋体" w:hAnsi="宋体"/>
                <w:sz w:val="24"/>
                <w:szCs w:val="24"/>
              </w:rPr>
            </w:pPr>
            <w:r>
              <w:rPr>
                <w:rFonts w:ascii="宋体" w:hAnsi="宋体" w:cs="宋体"/>
                <w:kern w:val="0"/>
                <w:sz w:val="24"/>
                <w:szCs w:val="24"/>
              </w:rPr>
              <w:t>8)系统具有二级/三级综合医院以及中医院的绩效上报指标字典库。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12"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747" w:type="pct"/>
            <w:noWrap w:val="0"/>
            <w:vAlign w:val="center"/>
          </w:tcPr>
          <w:p>
            <w:pPr>
              <w:jc w:val="center"/>
              <w:rPr>
                <w:rFonts w:hint="default" w:ascii="宋体" w:hAnsi="宋体" w:cs="宋体"/>
                <w:kern w:val="0"/>
                <w:sz w:val="24"/>
                <w:szCs w:val="24"/>
              </w:rPr>
            </w:pPr>
            <w:r>
              <w:rPr>
                <w:rFonts w:ascii="宋体" w:hAnsi="宋体" w:cs="宋体"/>
                <w:kern w:val="0"/>
                <w:sz w:val="24"/>
                <w:szCs w:val="24"/>
              </w:rPr>
              <w:t>数据采集</w:t>
            </w:r>
          </w:p>
        </w:tc>
        <w:tc>
          <w:tcPr>
            <w:tcW w:w="3841" w:type="pct"/>
            <w:noWrap w:val="0"/>
            <w:vAlign w:val="top"/>
          </w:tcPr>
          <w:p>
            <w:pPr>
              <w:rPr>
                <w:rFonts w:hint="default" w:ascii="宋体" w:hAnsi="宋体" w:cs="宋体"/>
                <w:kern w:val="0"/>
                <w:sz w:val="24"/>
                <w:szCs w:val="24"/>
              </w:rPr>
            </w:pPr>
            <w:r>
              <w:rPr>
                <w:rFonts w:ascii="宋体" w:hAnsi="宋体" w:cs="宋体"/>
                <w:kern w:val="0"/>
                <w:sz w:val="24"/>
                <w:szCs w:val="24"/>
              </w:rPr>
              <w:t>1)能够按照国家公立医院绩效考核要求提取医院病案首页数据；</w:t>
            </w:r>
          </w:p>
          <w:p>
            <w:pPr>
              <w:rPr>
                <w:rFonts w:hint="default" w:ascii="宋体" w:hAnsi="宋体" w:cs="宋体"/>
                <w:kern w:val="0"/>
                <w:sz w:val="24"/>
                <w:szCs w:val="24"/>
              </w:rPr>
            </w:pPr>
            <w:r>
              <w:rPr>
                <w:rFonts w:ascii="宋体" w:hAnsi="宋体" w:cs="宋体"/>
                <w:kern w:val="0"/>
                <w:sz w:val="24"/>
                <w:szCs w:val="24"/>
              </w:rPr>
              <w:t>2)医院病案首页数据支持导出转换标准的CSV文件，满足系统上报要求。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12"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747" w:type="pct"/>
            <w:noWrap w:val="0"/>
            <w:vAlign w:val="center"/>
          </w:tcPr>
          <w:p>
            <w:pPr>
              <w:jc w:val="center"/>
              <w:rPr>
                <w:rFonts w:hint="default" w:ascii="宋体" w:hAnsi="宋体" w:cs="宋体"/>
                <w:kern w:val="0"/>
                <w:sz w:val="24"/>
                <w:szCs w:val="24"/>
              </w:rPr>
            </w:pPr>
            <w:r>
              <w:rPr>
                <w:rFonts w:ascii="宋体" w:hAnsi="宋体" w:cs="宋体"/>
                <w:kern w:val="0"/>
                <w:sz w:val="24"/>
                <w:szCs w:val="24"/>
              </w:rPr>
              <w:t>数据质控</w:t>
            </w:r>
          </w:p>
        </w:tc>
        <w:tc>
          <w:tcPr>
            <w:tcW w:w="3841" w:type="pct"/>
            <w:noWrap w:val="0"/>
            <w:vAlign w:val="top"/>
          </w:tcPr>
          <w:p>
            <w:pPr>
              <w:rPr>
                <w:rFonts w:hint="default" w:ascii="宋体" w:hAnsi="宋体" w:cs="宋体"/>
                <w:kern w:val="0"/>
                <w:sz w:val="24"/>
                <w:szCs w:val="24"/>
              </w:rPr>
            </w:pPr>
            <w:r>
              <w:rPr>
                <w:rFonts w:ascii="宋体" w:hAnsi="宋体" w:cs="宋体"/>
                <w:kern w:val="0"/>
                <w:sz w:val="24"/>
                <w:szCs w:val="24"/>
              </w:rPr>
              <w:t>1)系统具有国家公立医院绩效考核标准校验规则库；</w:t>
            </w:r>
          </w:p>
          <w:p>
            <w:pPr>
              <w:rPr>
                <w:rFonts w:hint="default" w:ascii="宋体" w:hAnsi="宋体" w:cs="宋体"/>
                <w:kern w:val="0"/>
                <w:sz w:val="24"/>
                <w:szCs w:val="24"/>
              </w:rPr>
            </w:pPr>
            <w:r>
              <w:rPr>
                <w:rFonts w:ascii="宋体" w:hAnsi="宋体" w:cs="宋体"/>
                <w:kern w:val="0"/>
                <w:sz w:val="24"/>
                <w:szCs w:val="24"/>
              </w:rPr>
              <w:t>2)系统可支持自定义数据校验规则；</w:t>
            </w:r>
          </w:p>
          <w:p>
            <w:pPr>
              <w:rPr>
                <w:rFonts w:hint="default" w:ascii="宋体" w:hAnsi="宋体" w:cs="宋体"/>
                <w:kern w:val="0"/>
                <w:sz w:val="24"/>
                <w:szCs w:val="24"/>
              </w:rPr>
            </w:pPr>
            <w:r>
              <w:rPr>
                <w:rFonts w:ascii="宋体" w:hAnsi="宋体" w:cs="宋体"/>
                <w:kern w:val="0"/>
                <w:sz w:val="24"/>
                <w:szCs w:val="24"/>
              </w:rPr>
              <w:t>3)系统可支持病案首页数据一致性、有效性、合规性、完整性校验，对于不符合的记录增加标记，导出打印；</w:t>
            </w:r>
          </w:p>
          <w:p>
            <w:pPr>
              <w:rPr>
                <w:rFonts w:hint="default" w:ascii="宋体" w:hAnsi="宋体" w:cs="宋体"/>
                <w:kern w:val="0"/>
                <w:sz w:val="24"/>
                <w:szCs w:val="24"/>
              </w:rPr>
            </w:pPr>
            <w:r>
              <w:rPr>
                <w:rFonts w:ascii="宋体" w:hAnsi="宋体" w:cs="宋体"/>
                <w:kern w:val="0"/>
                <w:sz w:val="24"/>
                <w:szCs w:val="24"/>
              </w:rPr>
              <w:t>4)支持不符合项数据批量处理功能；</w:t>
            </w:r>
          </w:p>
          <w:p>
            <w:pPr>
              <w:rPr>
                <w:rFonts w:hint="default" w:ascii="宋体" w:hAnsi="宋体" w:cs="宋体"/>
                <w:kern w:val="0"/>
                <w:sz w:val="24"/>
                <w:szCs w:val="24"/>
              </w:rPr>
            </w:pPr>
            <w:r>
              <w:rPr>
                <w:rFonts w:ascii="宋体" w:hAnsi="宋体" w:cs="宋体"/>
                <w:kern w:val="0"/>
                <w:sz w:val="24"/>
                <w:szCs w:val="24"/>
              </w:rPr>
              <w:t>5)支持国家数据上报平台异常反馈及错误内容解读。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12"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747" w:type="pct"/>
            <w:noWrap w:val="0"/>
            <w:vAlign w:val="center"/>
          </w:tcPr>
          <w:p>
            <w:pPr>
              <w:jc w:val="center"/>
              <w:rPr>
                <w:rFonts w:hint="default" w:ascii="宋体" w:hAnsi="宋体" w:cs="宋体"/>
                <w:kern w:val="0"/>
                <w:sz w:val="24"/>
                <w:szCs w:val="24"/>
              </w:rPr>
            </w:pPr>
            <w:r>
              <w:rPr>
                <w:rFonts w:ascii="宋体" w:hAnsi="宋体" w:cs="宋体"/>
                <w:kern w:val="0"/>
                <w:sz w:val="24"/>
                <w:szCs w:val="24"/>
              </w:rPr>
              <w:t>权限管理</w:t>
            </w:r>
          </w:p>
        </w:tc>
        <w:tc>
          <w:tcPr>
            <w:tcW w:w="3841" w:type="pct"/>
            <w:noWrap w:val="0"/>
            <w:vAlign w:val="top"/>
          </w:tcPr>
          <w:p>
            <w:pPr>
              <w:rPr>
                <w:rFonts w:hint="default" w:ascii="宋体" w:hAnsi="宋体" w:cs="宋体"/>
                <w:kern w:val="0"/>
                <w:sz w:val="24"/>
                <w:szCs w:val="24"/>
              </w:rPr>
            </w:pPr>
            <w:r>
              <w:rPr>
                <w:rFonts w:ascii="宋体" w:hAnsi="宋体" w:cs="宋体"/>
                <w:kern w:val="0"/>
                <w:sz w:val="24"/>
                <w:szCs w:val="24"/>
              </w:rPr>
              <w:t>1)提供用户、角色权限管理；</w:t>
            </w:r>
          </w:p>
          <w:p>
            <w:pPr>
              <w:rPr>
                <w:rFonts w:hint="default" w:ascii="宋体" w:hAnsi="宋体" w:cs="宋体"/>
                <w:kern w:val="0"/>
                <w:sz w:val="24"/>
                <w:szCs w:val="24"/>
              </w:rPr>
            </w:pPr>
            <w:r>
              <w:rPr>
                <w:rFonts w:ascii="宋体" w:hAnsi="宋体" w:cs="宋体"/>
                <w:kern w:val="0"/>
                <w:sz w:val="24"/>
                <w:szCs w:val="24"/>
              </w:rPr>
              <w:t>2)支持定义不同角色分配不同指标项的查看及填报权限。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12" w:type="pct"/>
            <w:noWrap w:val="0"/>
            <w:vAlign w:val="center"/>
          </w:tcPr>
          <w:p>
            <w:pPr>
              <w:jc w:val="center"/>
              <w:rPr>
                <w:rFonts w:hint="default" w:ascii="宋体" w:hAnsi="宋体"/>
                <w:sz w:val="24"/>
                <w:szCs w:val="24"/>
              </w:rPr>
            </w:pPr>
            <w:r>
              <w:rPr>
                <w:rFonts w:ascii="宋体" w:hAnsi="宋体"/>
                <w:sz w:val="24"/>
                <w:szCs w:val="24"/>
              </w:rPr>
              <w:t>6</w:t>
            </w:r>
          </w:p>
        </w:tc>
        <w:tc>
          <w:tcPr>
            <w:tcW w:w="747" w:type="pct"/>
            <w:noWrap w:val="0"/>
            <w:vAlign w:val="center"/>
          </w:tcPr>
          <w:p>
            <w:pPr>
              <w:jc w:val="center"/>
              <w:rPr>
                <w:rFonts w:hint="default" w:ascii="宋体" w:hAnsi="宋体" w:cs="宋体"/>
                <w:kern w:val="0"/>
                <w:sz w:val="24"/>
                <w:szCs w:val="24"/>
              </w:rPr>
            </w:pPr>
            <w:r>
              <w:rPr>
                <w:rFonts w:ascii="宋体" w:hAnsi="宋体"/>
                <w:sz w:val="24"/>
                <w:szCs w:val="24"/>
              </w:rPr>
              <w:t>填报管理</w:t>
            </w:r>
          </w:p>
        </w:tc>
        <w:tc>
          <w:tcPr>
            <w:tcW w:w="3841" w:type="pct"/>
            <w:noWrap w:val="0"/>
            <w:vAlign w:val="top"/>
          </w:tcPr>
          <w:p>
            <w:pPr>
              <w:rPr>
                <w:rFonts w:hint="default" w:ascii="宋体" w:hAnsi="宋体" w:cs="宋体"/>
                <w:kern w:val="0"/>
                <w:sz w:val="24"/>
                <w:szCs w:val="24"/>
              </w:rPr>
            </w:pPr>
            <w:r>
              <w:rPr>
                <w:rFonts w:ascii="宋体" w:hAnsi="宋体" w:cs="宋体"/>
                <w:kern w:val="0"/>
                <w:sz w:val="24"/>
                <w:szCs w:val="24"/>
              </w:rPr>
              <w:t>1)支持对不同类型医院的绩效上报数据进行提取展示；</w:t>
            </w:r>
          </w:p>
          <w:p>
            <w:pPr>
              <w:rPr>
                <w:rFonts w:hint="default" w:ascii="宋体" w:hAnsi="宋体" w:cs="宋体"/>
                <w:kern w:val="0"/>
                <w:sz w:val="24"/>
                <w:szCs w:val="24"/>
              </w:rPr>
            </w:pPr>
            <w:r>
              <w:rPr>
                <w:rFonts w:ascii="宋体" w:hAnsi="宋体" w:cs="宋体"/>
                <w:kern w:val="0"/>
                <w:sz w:val="24"/>
                <w:szCs w:val="24"/>
              </w:rPr>
              <w:t>2)支持需手工填报的指标按权限进行数据填报；</w:t>
            </w:r>
          </w:p>
          <w:p>
            <w:pPr>
              <w:rPr>
                <w:rFonts w:hint="default" w:ascii="宋体" w:hAnsi="宋体" w:cs="宋体"/>
                <w:kern w:val="0"/>
                <w:sz w:val="24"/>
                <w:szCs w:val="24"/>
              </w:rPr>
            </w:pPr>
            <w:r>
              <w:rPr>
                <w:rFonts w:ascii="宋体" w:hAnsi="宋体" w:cs="宋体"/>
                <w:kern w:val="0"/>
                <w:sz w:val="24"/>
                <w:szCs w:val="24"/>
              </w:rPr>
              <w:t>3)支持绩效指标统计填报结果的预保存、审核、反审核等功能；</w:t>
            </w:r>
          </w:p>
          <w:p>
            <w:pPr>
              <w:rPr>
                <w:rFonts w:hint="default" w:ascii="宋体" w:hAnsi="宋体" w:cs="宋体"/>
                <w:kern w:val="0"/>
                <w:sz w:val="24"/>
                <w:szCs w:val="24"/>
              </w:rPr>
            </w:pPr>
            <w:r>
              <w:rPr>
                <w:rFonts w:ascii="宋体" w:hAnsi="宋体" w:cs="宋体"/>
                <w:kern w:val="0"/>
                <w:sz w:val="24"/>
                <w:szCs w:val="24"/>
              </w:rPr>
              <w:t>4)支持历次绩效考核上报数据的查询、导出、打印功能。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12"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747" w:type="pct"/>
            <w:noWrap w:val="0"/>
            <w:vAlign w:val="center"/>
          </w:tcPr>
          <w:p>
            <w:pPr>
              <w:jc w:val="center"/>
              <w:rPr>
                <w:rFonts w:hint="default" w:ascii="宋体" w:hAnsi="宋体" w:cs="宋体"/>
                <w:kern w:val="0"/>
                <w:sz w:val="24"/>
                <w:szCs w:val="24"/>
              </w:rPr>
            </w:pPr>
            <w:r>
              <w:rPr>
                <w:rFonts w:ascii="宋体" w:hAnsi="宋体" w:cs="宋体"/>
                <w:kern w:val="0"/>
                <w:sz w:val="24"/>
                <w:szCs w:val="24"/>
              </w:rPr>
              <w:t>统计管理</w:t>
            </w:r>
          </w:p>
        </w:tc>
        <w:tc>
          <w:tcPr>
            <w:tcW w:w="3841" w:type="pct"/>
            <w:noWrap w:val="0"/>
            <w:vAlign w:val="top"/>
          </w:tcPr>
          <w:p>
            <w:pPr>
              <w:rPr>
                <w:rFonts w:hint="default" w:ascii="宋体" w:hAnsi="宋体" w:cs="宋体"/>
                <w:kern w:val="0"/>
                <w:sz w:val="24"/>
                <w:szCs w:val="24"/>
              </w:rPr>
            </w:pPr>
            <w:r>
              <w:rPr>
                <w:rFonts w:ascii="宋体" w:hAnsi="宋体" w:cs="宋体"/>
                <w:kern w:val="0"/>
                <w:sz w:val="24"/>
                <w:szCs w:val="24"/>
              </w:rPr>
              <w:t>1)具有指标的历次上报数据的统计分析功能；</w:t>
            </w:r>
          </w:p>
          <w:p>
            <w:pPr>
              <w:rPr>
                <w:rFonts w:hint="default" w:ascii="宋体" w:hAnsi="宋体" w:cs="宋体"/>
                <w:kern w:val="0"/>
                <w:sz w:val="24"/>
                <w:szCs w:val="24"/>
              </w:rPr>
            </w:pPr>
            <w:r>
              <w:rPr>
                <w:rFonts w:ascii="宋体" w:hAnsi="宋体" w:cs="宋体"/>
                <w:kern w:val="0"/>
                <w:sz w:val="24"/>
                <w:szCs w:val="24"/>
              </w:rPr>
              <w:t>2)具有病案首页已上报数据查询统计功能。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12"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747" w:type="pct"/>
            <w:noWrap w:val="0"/>
            <w:vAlign w:val="center"/>
          </w:tcPr>
          <w:p>
            <w:pPr>
              <w:jc w:val="center"/>
              <w:rPr>
                <w:rFonts w:hint="default" w:ascii="宋体" w:hAnsi="宋体" w:cs="宋体"/>
                <w:kern w:val="0"/>
                <w:sz w:val="24"/>
                <w:szCs w:val="24"/>
              </w:rPr>
            </w:pPr>
            <w:r>
              <w:rPr>
                <w:rFonts w:ascii="宋体" w:hAnsi="宋体" w:cs="宋体"/>
                <w:kern w:val="0"/>
                <w:sz w:val="24"/>
                <w:szCs w:val="24"/>
              </w:rPr>
              <w:t>日志管理</w:t>
            </w:r>
          </w:p>
        </w:tc>
        <w:tc>
          <w:tcPr>
            <w:tcW w:w="3841" w:type="pct"/>
            <w:noWrap w:val="0"/>
            <w:vAlign w:val="top"/>
          </w:tcPr>
          <w:p>
            <w:pPr>
              <w:rPr>
                <w:rFonts w:hint="default" w:ascii="宋体" w:hAnsi="宋体" w:cs="宋体"/>
                <w:kern w:val="0"/>
                <w:sz w:val="24"/>
                <w:szCs w:val="24"/>
              </w:rPr>
            </w:pPr>
            <w:r>
              <w:rPr>
                <w:rFonts w:ascii="宋体" w:hAnsi="宋体" w:cs="宋体"/>
                <w:kern w:val="0"/>
                <w:sz w:val="24"/>
                <w:szCs w:val="24"/>
              </w:rPr>
              <w:t>1)具有各类绩效考核指标填报统计过程的操作记录日志管理；</w:t>
            </w:r>
          </w:p>
          <w:p>
            <w:pPr>
              <w:rPr>
                <w:rFonts w:hint="default" w:ascii="宋体" w:hAnsi="宋体" w:cs="宋体"/>
                <w:kern w:val="0"/>
                <w:sz w:val="24"/>
                <w:szCs w:val="24"/>
              </w:rPr>
            </w:pPr>
            <w:r>
              <w:rPr>
                <w:rFonts w:ascii="宋体" w:hAnsi="宋体" w:cs="宋体"/>
                <w:kern w:val="0"/>
                <w:sz w:val="24"/>
                <w:szCs w:val="24"/>
              </w:rPr>
              <w:t>2)具有病案首页数据导出上报过程的操作记录日志管理。</w:t>
            </w:r>
          </w:p>
        </w:tc>
      </w:tr>
    </w:tbl>
    <w:p>
      <w:pPr>
        <w:pStyle w:val="5"/>
        <w:numPr>
          <w:ilvl w:val="2"/>
          <w:numId w:val="10"/>
        </w:numPr>
        <w:spacing w:before="0" w:after="0" w:line="360" w:lineRule="auto"/>
        <w:rPr>
          <w:rFonts w:ascii="宋体" w:hAnsi="宋体"/>
        </w:rPr>
      </w:pPr>
      <w:r>
        <w:rPr>
          <w:rFonts w:hint="eastAsia" w:ascii="宋体" w:hAnsi="宋体"/>
        </w:rPr>
        <w:t>发热门诊及流感上报</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8"/>
        <w:gridCol w:w="1450"/>
        <w:gridCol w:w="62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tblHeader/>
        </w:trPr>
        <w:tc>
          <w:tcPr>
            <w:tcW w:w="486" w:type="pct"/>
            <w:noWrap w:val="0"/>
            <w:vAlign w:val="center"/>
          </w:tcPr>
          <w:p>
            <w:pPr>
              <w:spacing w:line="240" w:lineRule="atLeast"/>
              <w:jc w:val="center"/>
              <w:rPr>
                <w:rFonts w:hint="default" w:ascii="宋体" w:hAnsi="宋体" w:cs="宋体"/>
                <w:b/>
                <w:bCs/>
                <w:kern w:val="0"/>
                <w:sz w:val="24"/>
                <w:szCs w:val="24"/>
              </w:rPr>
            </w:pPr>
            <w:r>
              <w:rPr>
                <w:rFonts w:ascii="宋体" w:hAnsi="宋体" w:cs="宋体"/>
                <w:b/>
                <w:bCs/>
                <w:kern w:val="0"/>
                <w:sz w:val="24"/>
                <w:szCs w:val="24"/>
              </w:rPr>
              <w:t>序号</w:t>
            </w:r>
          </w:p>
        </w:tc>
        <w:tc>
          <w:tcPr>
            <w:tcW w:w="851" w:type="pct"/>
            <w:noWrap w:val="0"/>
            <w:vAlign w:val="center"/>
          </w:tcPr>
          <w:p>
            <w:pPr>
              <w:spacing w:line="240" w:lineRule="atLeast"/>
              <w:jc w:val="center"/>
              <w:rPr>
                <w:rFonts w:hint="default" w:ascii="宋体" w:hAnsi="宋体" w:cs="宋体"/>
                <w:b/>
                <w:bCs/>
                <w:kern w:val="0"/>
                <w:sz w:val="24"/>
                <w:szCs w:val="24"/>
              </w:rPr>
            </w:pPr>
            <w:r>
              <w:rPr>
                <w:rFonts w:ascii="宋体" w:hAnsi="宋体" w:cs="宋体"/>
                <w:b/>
                <w:bCs/>
                <w:kern w:val="0"/>
                <w:sz w:val="24"/>
                <w:szCs w:val="24"/>
              </w:rPr>
              <w:t>功能模块</w:t>
            </w:r>
          </w:p>
        </w:tc>
        <w:tc>
          <w:tcPr>
            <w:tcW w:w="3663" w:type="pct"/>
            <w:noWrap w:val="0"/>
            <w:vAlign w:val="center"/>
          </w:tcPr>
          <w:p>
            <w:pPr>
              <w:spacing w:line="240" w:lineRule="atLeast"/>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trPr>
        <w:tc>
          <w:tcPr>
            <w:tcW w:w="486" w:type="pct"/>
            <w:noWrap w:val="0"/>
            <w:vAlign w:val="center"/>
          </w:tcPr>
          <w:p>
            <w:pPr>
              <w:spacing w:line="240" w:lineRule="atLeast"/>
              <w:jc w:val="center"/>
              <w:rPr>
                <w:rFonts w:hint="default" w:ascii="宋体" w:hAnsi="宋体" w:cs="宋体"/>
                <w:kern w:val="0"/>
                <w:sz w:val="24"/>
                <w:szCs w:val="24"/>
              </w:rPr>
            </w:pPr>
            <w:r>
              <w:rPr>
                <w:rFonts w:ascii="宋体" w:hAnsi="宋体" w:cs="宋体"/>
                <w:kern w:val="0"/>
                <w:sz w:val="24"/>
                <w:szCs w:val="24"/>
              </w:rPr>
              <w:t>1</w:t>
            </w:r>
          </w:p>
        </w:tc>
        <w:tc>
          <w:tcPr>
            <w:tcW w:w="851" w:type="pct"/>
            <w:noWrap w:val="0"/>
            <w:vAlign w:val="center"/>
          </w:tcPr>
          <w:p>
            <w:pPr>
              <w:spacing w:line="240" w:lineRule="atLeast"/>
              <w:rPr>
                <w:rFonts w:hint="default" w:ascii="宋体" w:hAnsi="宋体" w:cs="宋体"/>
                <w:kern w:val="0"/>
                <w:sz w:val="24"/>
                <w:szCs w:val="24"/>
              </w:rPr>
            </w:pPr>
            <w:r>
              <w:rPr>
                <w:rFonts w:ascii="宋体" w:hAnsi="宋体" w:cs="宋体"/>
                <w:kern w:val="0"/>
                <w:sz w:val="24"/>
                <w:szCs w:val="24"/>
              </w:rPr>
              <w:t>总体要求</w:t>
            </w:r>
          </w:p>
        </w:tc>
        <w:tc>
          <w:tcPr>
            <w:tcW w:w="3663" w:type="pct"/>
            <w:noWrap w:val="0"/>
            <w:vAlign w:val="center"/>
          </w:tcPr>
          <w:p>
            <w:pPr>
              <w:spacing w:line="240" w:lineRule="atLeast"/>
              <w:jc w:val="left"/>
              <w:rPr>
                <w:rFonts w:hint="default" w:ascii="宋体" w:hAnsi="宋体" w:cs="宋体"/>
                <w:kern w:val="0"/>
                <w:sz w:val="24"/>
                <w:szCs w:val="24"/>
              </w:rPr>
            </w:pPr>
            <w:r>
              <w:rPr>
                <w:rFonts w:ascii="宋体" w:hAnsi="宋体" w:cs="宋体"/>
                <w:kern w:val="0"/>
                <w:sz w:val="24"/>
                <w:szCs w:val="24"/>
              </w:rPr>
              <w:t>按照医院提供的流感和发热数据上报要求，完成医院流感数据、门诊发热病人数据的上报。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trPr>
        <w:tc>
          <w:tcPr>
            <w:tcW w:w="486" w:type="pct"/>
            <w:noWrap w:val="0"/>
            <w:vAlign w:val="center"/>
          </w:tcPr>
          <w:p>
            <w:pPr>
              <w:spacing w:line="240" w:lineRule="atLeast"/>
              <w:jc w:val="center"/>
              <w:rPr>
                <w:rFonts w:hint="default" w:ascii="宋体" w:hAnsi="宋体" w:cs="宋体"/>
                <w:kern w:val="0"/>
                <w:sz w:val="24"/>
                <w:szCs w:val="24"/>
              </w:rPr>
            </w:pPr>
            <w:r>
              <w:rPr>
                <w:rFonts w:ascii="宋体" w:hAnsi="宋体" w:cs="宋体"/>
                <w:kern w:val="0"/>
                <w:sz w:val="24"/>
                <w:szCs w:val="24"/>
              </w:rPr>
              <w:t>2</w:t>
            </w:r>
          </w:p>
        </w:tc>
        <w:tc>
          <w:tcPr>
            <w:tcW w:w="851" w:type="pct"/>
            <w:noWrap w:val="0"/>
            <w:vAlign w:val="center"/>
          </w:tcPr>
          <w:p>
            <w:pPr>
              <w:spacing w:line="240" w:lineRule="atLeast"/>
              <w:jc w:val="left"/>
              <w:rPr>
                <w:rFonts w:hint="default" w:ascii="宋体" w:hAnsi="宋体" w:cs="宋体"/>
                <w:kern w:val="0"/>
                <w:sz w:val="24"/>
                <w:szCs w:val="24"/>
              </w:rPr>
            </w:pPr>
            <w:r>
              <w:rPr>
                <w:rFonts w:ascii="宋体" w:hAnsi="宋体" w:cs="宋体"/>
                <w:kern w:val="0"/>
                <w:sz w:val="24"/>
                <w:szCs w:val="24"/>
              </w:rPr>
              <w:t>数据分析</w:t>
            </w:r>
          </w:p>
        </w:tc>
        <w:tc>
          <w:tcPr>
            <w:tcW w:w="3663" w:type="pct"/>
            <w:noWrap w:val="0"/>
            <w:vAlign w:val="center"/>
          </w:tcPr>
          <w:p>
            <w:pPr>
              <w:spacing w:line="240" w:lineRule="atLeast"/>
              <w:jc w:val="left"/>
              <w:rPr>
                <w:rFonts w:hint="default" w:ascii="宋体" w:hAnsi="宋体" w:cs="宋体"/>
                <w:kern w:val="0"/>
                <w:sz w:val="24"/>
                <w:szCs w:val="24"/>
              </w:rPr>
            </w:pPr>
            <w:r>
              <w:rPr>
                <w:rFonts w:ascii="宋体" w:hAnsi="宋体" w:cs="宋体"/>
                <w:kern w:val="0"/>
                <w:sz w:val="24"/>
                <w:szCs w:val="24"/>
              </w:rPr>
              <w:t>通过数据展示、饼状图、折线图以及月汇总来分析在院流感、出院流感、出院小结、死亡记录、用药记录、检验记录的数据上报以及数据异常的情况。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trPr>
        <w:tc>
          <w:tcPr>
            <w:tcW w:w="486" w:type="pct"/>
            <w:noWrap w:val="0"/>
            <w:vAlign w:val="center"/>
          </w:tcPr>
          <w:p>
            <w:pPr>
              <w:spacing w:line="240" w:lineRule="atLeast"/>
              <w:jc w:val="center"/>
              <w:rPr>
                <w:rFonts w:hint="default" w:ascii="宋体" w:hAnsi="宋体" w:cs="宋体"/>
                <w:kern w:val="0"/>
                <w:sz w:val="24"/>
                <w:szCs w:val="24"/>
              </w:rPr>
            </w:pPr>
            <w:r>
              <w:rPr>
                <w:rFonts w:ascii="宋体" w:hAnsi="宋体" w:cs="宋体"/>
                <w:kern w:val="0"/>
                <w:sz w:val="24"/>
                <w:szCs w:val="24"/>
              </w:rPr>
              <w:t>3</w:t>
            </w:r>
          </w:p>
        </w:tc>
        <w:tc>
          <w:tcPr>
            <w:tcW w:w="851" w:type="pct"/>
            <w:noWrap w:val="0"/>
            <w:vAlign w:val="center"/>
          </w:tcPr>
          <w:p>
            <w:pPr>
              <w:spacing w:line="240" w:lineRule="atLeast"/>
              <w:jc w:val="left"/>
              <w:rPr>
                <w:rFonts w:hint="default" w:ascii="宋体" w:hAnsi="宋体" w:cs="宋体"/>
                <w:kern w:val="0"/>
                <w:sz w:val="24"/>
                <w:szCs w:val="24"/>
              </w:rPr>
            </w:pPr>
            <w:r>
              <w:rPr>
                <w:rFonts w:ascii="宋体" w:hAnsi="宋体" w:cs="宋体"/>
                <w:kern w:val="0"/>
                <w:sz w:val="24"/>
                <w:szCs w:val="24"/>
              </w:rPr>
              <w:t>流感数据上报</w:t>
            </w:r>
          </w:p>
        </w:tc>
        <w:tc>
          <w:tcPr>
            <w:tcW w:w="3663" w:type="pct"/>
            <w:noWrap w:val="0"/>
            <w:vAlign w:val="center"/>
          </w:tcPr>
          <w:p>
            <w:pPr>
              <w:spacing w:line="240" w:lineRule="atLeast"/>
              <w:jc w:val="left"/>
              <w:rPr>
                <w:rFonts w:hint="default" w:ascii="宋体" w:hAnsi="宋体" w:cs="宋体"/>
                <w:kern w:val="0"/>
                <w:sz w:val="24"/>
                <w:szCs w:val="24"/>
              </w:rPr>
            </w:pPr>
            <w:r>
              <w:rPr>
                <w:rFonts w:ascii="宋体" w:hAnsi="宋体" w:cs="宋体"/>
                <w:kern w:val="0"/>
                <w:sz w:val="24"/>
                <w:szCs w:val="24"/>
              </w:rPr>
              <w:t>能够对在院流感、出院流感、出院小结、死亡记录、用药记录、检验记录等相关数据进行上报，上报处理要求如下：</w:t>
            </w:r>
          </w:p>
          <w:p>
            <w:pPr>
              <w:spacing w:line="240" w:lineRule="atLeast"/>
              <w:jc w:val="left"/>
              <w:rPr>
                <w:rFonts w:hint="default" w:ascii="宋体" w:hAnsi="宋体" w:cs="宋体"/>
                <w:kern w:val="0"/>
                <w:sz w:val="24"/>
                <w:szCs w:val="24"/>
              </w:rPr>
            </w:pPr>
            <w:r>
              <w:rPr>
                <w:rFonts w:ascii="宋体" w:hAnsi="宋体" w:cs="宋体"/>
                <w:kern w:val="0"/>
                <w:sz w:val="24"/>
                <w:szCs w:val="24"/>
              </w:rPr>
              <w:t>1)异常数据：不符合标准规范的数据，可通过人工修改后进行数据上报。</w:t>
            </w:r>
          </w:p>
          <w:p>
            <w:pPr>
              <w:spacing w:line="240" w:lineRule="atLeast"/>
              <w:jc w:val="left"/>
              <w:rPr>
                <w:rFonts w:hint="default" w:ascii="宋体" w:hAnsi="宋体" w:cs="宋体"/>
                <w:kern w:val="0"/>
                <w:sz w:val="24"/>
                <w:szCs w:val="24"/>
              </w:rPr>
            </w:pPr>
            <w:r>
              <w:rPr>
                <w:rFonts w:ascii="宋体" w:hAnsi="宋体" w:cs="宋体"/>
                <w:kern w:val="0"/>
                <w:sz w:val="24"/>
                <w:szCs w:val="24"/>
              </w:rPr>
              <w:t>2)未上报数据：经过清洗规则清洗后，尚未生成上报文件的数据汇总。</w:t>
            </w:r>
          </w:p>
          <w:p>
            <w:pPr>
              <w:spacing w:line="240" w:lineRule="atLeast"/>
              <w:jc w:val="left"/>
              <w:rPr>
                <w:rFonts w:hint="default" w:ascii="宋体" w:hAnsi="宋体" w:cs="宋体"/>
                <w:kern w:val="0"/>
                <w:sz w:val="24"/>
                <w:szCs w:val="24"/>
              </w:rPr>
            </w:pPr>
            <w:r>
              <w:rPr>
                <w:rFonts w:ascii="宋体" w:hAnsi="宋体" w:cs="宋体"/>
                <w:kern w:val="0"/>
                <w:sz w:val="24"/>
                <w:szCs w:val="24"/>
              </w:rPr>
              <w:t>3)人工上报数据：未上报数据，通过人工修改审核后生成的上报数据汇总。</w:t>
            </w:r>
          </w:p>
          <w:p>
            <w:pPr>
              <w:spacing w:line="240" w:lineRule="atLeast"/>
              <w:jc w:val="left"/>
              <w:rPr>
                <w:rFonts w:hint="default" w:ascii="宋体" w:hAnsi="宋体" w:cs="宋体"/>
                <w:kern w:val="0"/>
                <w:sz w:val="24"/>
                <w:szCs w:val="24"/>
              </w:rPr>
            </w:pPr>
            <w:r>
              <w:rPr>
                <w:rFonts w:ascii="宋体" w:hAnsi="宋体" w:cs="宋体"/>
                <w:kern w:val="0"/>
                <w:sz w:val="24"/>
                <w:szCs w:val="24"/>
              </w:rPr>
              <w:t>4)系统自动上报：系统自动将清洗过的未上报数据，生成上报文件的数据。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trPr>
        <w:tc>
          <w:tcPr>
            <w:tcW w:w="486" w:type="pct"/>
            <w:noWrap w:val="0"/>
            <w:vAlign w:val="center"/>
          </w:tcPr>
          <w:p>
            <w:pPr>
              <w:spacing w:line="240" w:lineRule="atLeast"/>
              <w:jc w:val="center"/>
              <w:rPr>
                <w:rFonts w:hint="default" w:ascii="宋体" w:hAnsi="宋体" w:cs="宋体"/>
                <w:kern w:val="0"/>
                <w:sz w:val="24"/>
                <w:szCs w:val="24"/>
              </w:rPr>
            </w:pPr>
            <w:r>
              <w:rPr>
                <w:rFonts w:ascii="宋体" w:hAnsi="宋体" w:cs="宋体"/>
                <w:kern w:val="0"/>
                <w:sz w:val="24"/>
                <w:szCs w:val="24"/>
              </w:rPr>
              <w:t>4</w:t>
            </w:r>
          </w:p>
        </w:tc>
        <w:tc>
          <w:tcPr>
            <w:tcW w:w="851" w:type="pct"/>
            <w:noWrap w:val="0"/>
            <w:vAlign w:val="center"/>
          </w:tcPr>
          <w:p>
            <w:pPr>
              <w:spacing w:line="240" w:lineRule="atLeast"/>
              <w:jc w:val="left"/>
              <w:rPr>
                <w:rFonts w:hint="default" w:ascii="宋体" w:hAnsi="宋体" w:cs="宋体"/>
                <w:kern w:val="0"/>
                <w:sz w:val="24"/>
                <w:szCs w:val="24"/>
              </w:rPr>
            </w:pPr>
            <w:r>
              <w:rPr>
                <w:rFonts w:ascii="宋体" w:hAnsi="宋体" w:cs="宋体"/>
                <w:kern w:val="0"/>
                <w:sz w:val="24"/>
                <w:szCs w:val="24"/>
              </w:rPr>
              <w:t>发热数据上报</w:t>
            </w:r>
          </w:p>
        </w:tc>
        <w:tc>
          <w:tcPr>
            <w:tcW w:w="3663" w:type="pct"/>
            <w:noWrap w:val="0"/>
            <w:vAlign w:val="center"/>
          </w:tcPr>
          <w:p>
            <w:pPr>
              <w:spacing w:line="240" w:lineRule="atLeast"/>
              <w:jc w:val="left"/>
              <w:rPr>
                <w:rFonts w:hint="default" w:ascii="宋体" w:hAnsi="宋体" w:cs="宋体"/>
                <w:kern w:val="0"/>
                <w:sz w:val="24"/>
                <w:szCs w:val="24"/>
              </w:rPr>
            </w:pPr>
            <w:r>
              <w:rPr>
                <w:rFonts w:ascii="宋体" w:hAnsi="宋体" w:cs="宋体"/>
                <w:kern w:val="0"/>
                <w:sz w:val="24"/>
                <w:szCs w:val="24"/>
              </w:rPr>
              <w:t>提供门诊发烧发热数据监测上报，包含发热门诊病例、诊疗处方、实验室检验、辅助检查。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trPr>
        <w:tc>
          <w:tcPr>
            <w:tcW w:w="486" w:type="pct"/>
            <w:noWrap w:val="0"/>
            <w:vAlign w:val="center"/>
          </w:tcPr>
          <w:p>
            <w:pPr>
              <w:spacing w:line="240" w:lineRule="atLeast"/>
              <w:jc w:val="center"/>
              <w:rPr>
                <w:rFonts w:hint="default" w:ascii="宋体" w:hAnsi="宋体" w:cs="宋体"/>
                <w:kern w:val="0"/>
                <w:sz w:val="24"/>
                <w:szCs w:val="24"/>
              </w:rPr>
            </w:pPr>
            <w:r>
              <w:rPr>
                <w:rFonts w:ascii="宋体" w:hAnsi="宋体" w:cs="宋体"/>
                <w:kern w:val="0"/>
                <w:sz w:val="24"/>
                <w:szCs w:val="24"/>
              </w:rPr>
              <w:t>5</w:t>
            </w:r>
          </w:p>
        </w:tc>
        <w:tc>
          <w:tcPr>
            <w:tcW w:w="851" w:type="pct"/>
            <w:noWrap w:val="0"/>
            <w:vAlign w:val="center"/>
          </w:tcPr>
          <w:p>
            <w:pPr>
              <w:spacing w:line="240" w:lineRule="atLeast"/>
              <w:jc w:val="left"/>
              <w:rPr>
                <w:rFonts w:hint="default" w:ascii="宋体" w:hAnsi="宋体" w:cs="宋体"/>
                <w:kern w:val="0"/>
                <w:sz w:val="24"/>
                <w:szCs w:val="24"/>
              </w:rPr>
            </w:pPr>
            <w:r>
              <w:rPr>
                <w:rFonts w:ascii="宋体" w:hAnsi="宋体" w:cs="宋体"/>
                <w:kern w:val="0"/>
                <w:sz w:val="24"/>
                <w:szCs w:val="24"/>
              </w:rPr>
              <w:t>系统功能</w:t>
            </w:r>
          </w:p>
        </w:tc>
        <w:tc>
          <w:tcPr>
            <w:tcW w:w="3663" w:type="pct"/>
            <w:noWrap w:val="0"/>
            <w:vAlign w:val="center"/>
          </w:tcPr>
          <w:p>
            <w:pPr>
              <w:spacing w:line="240" w:lineRule="atLeast"/>
              <w:jc w:val="left"/>
              <w:rPr>
                <w:rFonts w:hint="default" w:ascii="宋体" w:hAnsi="宋体" w:cs="宋体"/>
                <w:kern w:val="0"/>
                <w:sz w:val="24"/>
                <w:szCs w:val="24"/>
              </w:rPr>
            </w:pPr>
            <w:r>
              <w:rPr>
                <w:rFonts w:ascii="宋体" w:hAnsi="宋体" w:cs="宋体"/>
                <w:kern w:val="0"/>
                <w:sz w:val="24"/>
                <w:szCs w:val="24"/>
              </w:rPr>
              <w:t>1)支持上报方式的自定义，包括数据上报区间、频率、自动上报或手动审核上报；</w:t>
            </w:r>
          </w:p>
          <w:p>
            <w:pPr>
              <w:spacing w:line="240" w:lineRule="atLeast"/>
              <w:jc w:val="left"/>
              <w:rPr>
                <w:rFonts w:hint="default" w:ascii="宋体" w:hAnsi="宋体" w:cs="宋体"/>
                <w:kern w:val="0"/>
                <w:sz w:val="24"/>
                <w:szCs w:val="24"/>
              </w:rPr>
            </w:pPr>
            <w:r>
              <w:rPr>
                <w:rFonts w:ascii="宋体" w:hAnsi="宋体" w:cs="宋体"/>
                <w:kern w:val="0"/>
                <w:sz w:val="24"/>
                <w:szCs w:val="24"/>
              </w:rPr>
              <w:t>2)支持数据抽取的自定义，包括数据源选择、数据分析频率等；</w:t>
            </w:r>
          </w:p>
          <w:p>
            <w:pPr>
              <w:spacing w:line="240" w:lineRule="atLeast"/>
              <w:jc w:val="left"/>
              <w:rPr>
                <w:rFonts w:hint="default" w:ascii="宋体" w:hAnsi="宋体" w:cs="宋体"/>
                <w:kern w:val="0"/>
                <w:sz w:val="24"/>
                <w:szCs w:val="24"/>
              </w:rPr>
            </w:pPr>
            <w:r>
              <w:rPr>
                <w:rFonts w:ascii="宋体" w:hAnsi="宋体" w:cs="宋体"/>
                <w:kern w:val="0"/>
                <w:sz w:val="24"/>
                <w:szCs w:val="24"/>
              </w:rPr>
              <w:t>3)支持自动以及手动的自定义数据清洗、转换等任务调度设置；</w:t>
            </w:r>
          </w:p>
          <w:p>
            <w:pPr>
              <w:spacing w:line="240" w:lineRule="atLeast"/>
              <w:jc w:val="left"/>
              <w:rPr>
                <w:rFonts w:hint="default" w:ascii="宋体" w:hAnsi="宋体" w:cs="宋体"/>
                <w:kern w:val="0"/>
                <w:sz w:val="24"/>
                <w:szCs w:val="24"/>
              </w:rPr>
            </w:pPr>
            <w:r>
              <w:rPr>
                <w:rFonts w:ascii="宋体" w:hAnsi="宋体" w:cs="宋体"/>
                <w:kern w:val="0"/>
                <w:sz w:val="24"/>
                <w:szCs w:val="24"/>
              </w:rPr>
              <w:t>4)标准字典:可实现国家卫健委要求的流感数据转换以及国标字典的配置。</w:t>
            </w:r>
          </w:p>
          <w:p>
            <w:pPr>
              <w:spacing w:line="240" w:lineRule="atLeast"/>
              <w:jc w:val="left"/>
              <w:rPr>
                <w:rFonts w:hint="default" w:ascii="宋体" w:hAnsi="宋体" w:cs="宋体"/>
                <w:kern w:val="0"/>
                <w:sz w:val="24"/>
                <w:szCs w:val="24"/>
              </w:rPr>
            </w:pPr>
            <w:r>
              <w:rPr>
                <w:rFonts w:ascii="宋体" w:hAnsi="宋体" w:cs="宋体"/>
                <w:kern w:val="0"/>
                <w:sz w:val="24"/>
                <w:szCs w:val="24"/>
              </w:rPr>
              <w:t>5)业务字典: 可实现流感数据上报相关的院内字典与标准字典</w:t>
            </w:r>
            <w:r>
              <w:rPr>
                <w:sz w:val="24"/>
                <w:szCs w:val="24"/>
              </w:rPr>
              <w:t>对应</w:t>
            </w:r>
            <w:r>
              <w:rPr>
                <w:rFonts w:ascii="宋体" w:hAnsi="宋体" w:cs="宋体"/>
                <w:kern w:val="0"/>
                <w:sz w:val="24"/>
                <w:szCs w:val="24"/>
              </w:rPr>
              <w:t>关系。</w:t>
            </w:r>
          </w:p>
          <w:p>
            <w:pPr>
              <w:spacing w:line="240" w:lineRule="atLeast"/>
              <w:jc w:val="left"/>
              <w:rPr>
                <w:rFonts w:hint="default" w:ascii="宋体" w:hAnsi="宋体" w:cs="宋体"/>
                <w:kern w:val="0"/>
                <w:sz w:val="24"/>
                <w:szCs w:val="24"/>
              </w:rPr>
            </w:pPr>
            <w:r>
              <w:rPr>
                <w:rFonts w:ascii="宋体" w:hAnsi="宋体" w:cs="宋体"/>
                <w:kern w:val="0"/>
                <w:sz w:val="24"/>
                <w:szCs w:val="24"/>
              </w:rPr>
              <w:t>7)校验规则定义：通过配置转换、验证、分析等规则来确保数据上报准确性；</w:t>
            </w:r>
          </w:p>
          <w:p>
            <w:pPr>
              <w:spacing w:line="240" w:lineRule="atLeast"/>
              <w:jc w:val="left"/>
              <w:rPr>
                <w:rFonts w:hint="default" w:ascii="宋体" w:hAnsi="宋体" w:cs="宋体"/>
                <w:kern w:val="0"/>
                <w:sz w:val="24"/>
                <w:szCs w:val="24"/>
              </w:rPr>
            </w:pPr>
            <w:r>
              <w:rPr>
                <w:rFonts w:ascii="宋体" w:hAnsi="宋体" w:cs="宋体"/>
                <w:kern w:val="0"/>
                <w:sz w:val="24"/>
                <w:szCs w:val="24"/>
              </w:rPr>
              <w:t>8)监控指标:可监控上报服务器的硬盘、CPU、内存等资源使用情况；</w:t>
            </w:r>
          </w:p>
          <w:p>
            <w:pPr>
              <w:spacing w:line="240" w:lineRule="atLeast"/>
              <w:jc w:val="left"/>
              <w:rPr>
                <w:rFonts w:hint="default" w:ascii="宋体" w:hAnsi="宋体" w:cs="宋体"/>
                <w:kern w:val="0"/>
                <w:sz w:val="24"/>
                <w:szCs w:val="24"/>
              </w:rPr>
            </w:pPr>
            <w:r>
              <w:rPr>
                <w:rFonts w:ascii="宋体" w:hAnsi="宋体" w:cs="宋体"/>
                <w:kern w:val="0"/>
                <w:sz w:val="24"/>
                <w:szCs w:val="24"/>
              </w:rPr>
              <w:t>9)性能监控:可监控上报系统的访问量、性能、以及上传执行情况；</w:t>
            </w:r>
          </w:p>
          <w:p>
            <w:pPr>
              <w:spacing w:line="240" w:lineRule="atLeast"/>
              <w:jc w:val="left"/>
              <w:rPr>
                <w:rFonts w:hint="default" w:ascii="宋体" w:hAnsi="宋体" w:cs="宋体"/>
                <w:kern w:val="0"/>
                <w:sz w:val="24"/>
                <w:szCs w:val="24"/>
              </w:rPr>
            </w:pPr>
            <w:r>
              <w:rPr>
                <w:rFonts w:ascii="宋体" w:hAnsi="宋体" w:cs="宋体"/>
                <w:kern w:val="0"/>
                <w:sz w:val="24"/>
                <w:szCs w:val="24"/>
              </w:rPr>
              <w:t>10)操作日志:支持上传和系统日志查看功能；</w:t>
            </w:r>
          </w:p>
          <w:p>
            <w:pPr>
              <w:spacing w:line="240" w:lineRule="atLeast"/>
              <w:jc w:val="left"/>
              <w:rPr>
                <w:rFonts w:hint="default" w:ascii="宋体" w:hAnsi="宋体" w:cs="宋体"/>
                <w:kern w:val="0"/>
                <w:sz w:val="24"/>
                <w:szCs w:val="24"/>
              </w:rPr>
            </w:pPr>
            <w:r>
              <w:rPr>
                <w:rFonts w:ascii="宋体" w:hAnsi="宋体" w:cs="宋体"/>
                <w:kern w:val="0"/>
                <w:sz w:val="24"/>
                <w:szCs w:val="24"/>
              </w:rPr>
              <w:t>11)系统维护:具有医院科室信息、职员信息维护以及账号管理功能。</w:t>
            </w:r>
          </w:p>
        </w:tc>
      </w:tr>
    </w:tbl>
    <w:p>
      <w:pPr>
        <w:pStyle w:val="4"/>
        <w:spacing w:before="0" w:after="0" w:line="360" w:lineRule="auto"/>
      </w:pPr>
      <w:r>
        <w:rPr>
          <w:rFonts w:hint="eastAsia"/>
        </w:rPr>
        <w:t>1.3. 其他服务及辅助信息化系统</w:t>
      </w:r>
    </w:p>
    <w:p>
      <w:pPr>
        <w:pStyle w:val="5"/>
        <w:numPr>
          <w:ilvl w:val="2"/>
          <w:numId w:val="13"/>
        </w:numPr>
        <w:spacing w:before="0" w:after="0" w:line="360" w:lineRule="auto"/>
        <w:rPr>
          <w:rFonts w:ascii="宋体" w:hAnsi="宋体"/>
        </w:rPr>
      </w:pPr>
      <w:r>
        <w:rPr>
          <w:rFonts w:hint="eastAsia" w:ascii="宋体" w:hAnsi="宋体"/>
        </w:rPr>
        <w:t>处方前置审核管理系统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2"/>
        <w:gridCol w:w="1387"/>
        <w:gridCol w:w="63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1" w:hRule="atLeast"/>
          <w:tblHeader/>
        </w:trPr>
        <w:tc>
          <w:tcPr>
            <w:tcW w:w="488" w:type="pct"/>
            <w:noWrap w:val="0"/>
            <w:vAlign w:val="center"/>
          </w:tcPr>
          <w:p>
            <w:pPr>
              <w:jc w:val="center"/>
              <w:rPr>
                <w:rFonts w:hint="default" w:ascii="宋体" w:hAnsi="宋体"/>
                <w:b/>
                <w:sz w:val="24"/>
                <w:szCs w:val="24"/>
              </w:rPr>
            </w:pPr>
            <w:r>
              <w:rPr>
                <w:rFonts w:ascii="宋体" w:hAnsi="宋体"/>
                <w:b/>
                <w:sz w:val="24"/>
                <w:szCs w:val="24"/>
              </w:rPr>
              <w:t>序号</w:t>
            </w:r>
          </w:p>
        </w:tc>
        <w:tc>
          <w:tcPr>
            <w:tcW w:w="814" w:type="pct"/>
            <w:noWrap w:val="0"/>
            <w:vAlign w:val="center"/>
          </w:tcPr>
          <w:p>
            <w:pPr>
              <w:jc w:val="center"/>
              <w:rPr>
                <w:rFonts w:hint="default" w:ascii="宋体" w:hAnsi="宋体"/>
                <w:b/>
                <w:sz w:val="24"/>
                <w:szCs w:val="24"/>
              </w:rPr>
            </w:pPr>
            <w:r>
              <w:rPr>
                <w:rFonts w:ascii="宋体" w:hAnsi="宋体"/>
                <w:b/>
                <w:sz w:val="24"/>
                <w:szCs w:val="24"/>
              </w:rPr>
              <w:t>功能</w:t>
            </w:r>
          </w:p>
        </w:tc>
        <w:tc>
          <w:tcPr>
            <w:tcW w:w="3698" w:type="pct"/>
            <w:noWrap w:val="0"/>
            <w:vAlign w:val="center"/>
          </w:tcPr>
          <w:p>
            <w:pPr>
              <w:jc w:val="center"/>
              <w:rPr>
                <w:rFonts w:hint="default" w:ascii="宋体" w:hAnsi="宋体"/>
                <w:b/>
                <w:sz w:val="24"/>
                <w:szCs w:val="24"/>
              </w:rPr>
            </w:pPr>
            <w:r>
              <w:rPr>
                <w:rFonts w:ascii="宋体" w:hAnsi="宋体"/>
                <w:b/>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488" w:type="pct"/>
            <w:noWrap w:val="0"/>
            <w:vAlign w:val="center"/>
          </w:tcPr>
          <w:p>
            <w:pPr>
              <w:pStyle w:val="50"/>
              <w:ind w:left="0" w:leftChars="0" w:firstLine="0" w:firstLineChars="0"/>
              <w:jc w:val="center"/>
              <w:rPr>
                <w:rFonts w:hint="default" w:ascii="宋体" w:hAnsi="宋体" w:cs="黑体"/>
                <w:bCs/>
                <w:sz w:val="24"/>
                <w:szCs w:val="24"/>
              </w:rPr>
            </w:pPr>
            <w:r>
              <w:rPr>
                <w:rFonts w:ascii="宋体" w:hAnsi="宋体" w:cs="黑体"/>
                <w:bCs/>
                <w:sz w:val="24"/>
                <w:szCs w:val="24"/>
              </w:rPr>
              <w:t>1</w:t>
            </w:r>
          </w:p>
        </w:tc>
        <w:tc>
          <w:tcPr>
            <w:tcW w:w="814" w:type="pct"/>
            <w:noWrap w:val="0"/>
            <w:vAlign w:val="center"/>
          </w:tcPr>
          <w:p>
            <w:pPr>
              <w:pStyle w:val="50"/>
              <w:ind w:left="0" w:leftChars="0" w:firstLine="0" w:firstLineChars="0"/>
              <w:rPr>
                <w:rFonts w:hint="default" w:ascii="宋体" w:hAnsi="宋体" w:cs="黑体"/>
                <w:bCs/>
                <w:sz w:val="24"/>
                <w:szCs w:val="24"/>
              </w:rPr>
            </w:pPr>
            <w:r>
              <w:rPr>
                <w:rFonts w:ascii="宋体" w:hAnsi="宋体" w:cs="Arial"/>
                <w:sz w:val="24"/>
                <w:szCs w:val="24"/>
              </w:rPr>
              <w:t>药师审方干预功能</w:t>
            </w:r>
          </w:p>
        </w:tc>
        <w:tc>
          <w:tcPr>
            <w:tcW w:w="3698" w:type="pct"/>
            <w:noWrap w:val="0"/>
            <w:vAlign w:val="center"/>
          </w:tcPr>
          <w:p>
            <w:pPr>
              <w:rPr>
                <w:rFonts w:hint="default" w:ascii="宋体" w:hAnsi="宋体" w:cs="Arial"/>
                <w:sz w:val="24"/>
                <w:szCs w:val="24"/>
              </w:rPr>
            </w:pPr>
            <w:r>
              <w:rPr>
                <w:rFonts w:ascii="宋体" w:hAnsi="宋体" w:cs="Arial"/>
                <w:sz w:val="24"/>
                <w:szCs w:val="24"/>
              </w:rPr>
              <w:t>医生开具处方（医嘱）后，药师审方干预系统自动审查出问题处方（医嘱）并提示药师，由药师对这些问题处方（医嘱）进行人工审查。审查过程中，药师可就处方（医嘱）的不合理用药等问题与医生反馈沟通，医生修改处方（医嘱），直到通过，进入下一环节，实现药师审方干预效果。</w:t>
            </w:r>
          </w:p>
          <w:p>
            <w:pPr>
              <w:rPr>
                <w:rFonts w:hint="default" w:ascii="宋体" w:hAnsi="宋体" w:cs="Arial"/>
                <w:sz w:val="24"/>
                <w:szCs w:val="24"/>
              </w:rPr>
            </w:pPr>
            <w:r>
              <w:rPr>
                <w:rFonts w:ascii="宋体" w:hAnsi="宋体" w:cs="Arial"/>
                <w:sz w:val="24"/>
                <w:szCs w:val="24"/>
              </w:rPr>
              <w:t>1.1系统审查</w:t>
            </w:r>
          </w:p>
          <w:p>
            <w:pPr>
              <w:rPr>
                <w:rFonts w:hint="default" w:ascii="宋体" w:hAnsi="宋体" w:cs="Arial"/>
                <w:sz w:val="24"/>
                <w:szCs w:val="24"/>
              </w:rPr>
            </w:pPr>
            <w:r>
              <w:rPr>
                <w:rFonts w:ascii="宋体" w:hAnsi="宋体" w:cs="Arial"/>
                <w:sz w:val="24"/>
                <w:szCs w:val="24"/>
              </w:rPr>
              <w:t>医生开具新处方或修改处方后，药师审方干预系统先进行系统审查，无不合理用药问题或者问题严重程度较低的处方直接通过进入下一环节，无需药师再人工审查。</w:t>
            </w:r>
          </w:p>
          <w:p>
            <w:pPr>
              <w:rPr>
                <w:rFonts w:hint="default" w:ascii="宋体" w:hAnsi="宋体" w:cs="Arial"/>
                <w:sz w:val="24"/>
                <w:szCs w:val="24"/>
              </w:rPr>
            </w:pPr>
            <w:r>
              <w:rPr>
                <w:rFonts w:ascii="宋体" w:hAnsi="宋体" w:cs="Arial"/>
                <w:sz w:val="24"/>
                <w:szCs w:val="24"/>
              </w:rPr>
              <w:t>系统审查项目（同医院在用PASS合理用药监测系统）包括：</w:t>
            </w:r>
          </w:p>
          <w:p>
            <w:pPr>
              <w:rPr>
                <w:rFonts w:hint="default" w:ascii="宋体" w:hAnsi="宋体" w:cs="Arial"/>
                <w:sz w:val="24"/>
                <w:szCs w:val="24"/>
              </w:rPr>
            </w:pPr>
            <w:r>
              <w:rPr>
                <w:rFonts w:ascii="宋体" w:hAnsi="宋体" w:cs="Arial"/>
                <w:sz w:val="24"/>
                <w:szCs w:val="24"/>
              </w:rPr>
              <w:t>（1）</w:t>
            </w:r>
            <w:r>
              <w:rPr>
                <w:rFonts w:ascii="宋体" w:hAnsi="宋体" w:cs="Arial"/>
                <w:sz w:val="24"/>
                <w:szCs w:val="24"/>
              </w:rPr>
              <w:tab/>
            </w:r>
            <w:r>
              <w:rPr>
                <w:rFonts w:ascii="宋体" w:hAnsi="宋体" w:cs="Arial"/>
                <w:sz w:val="24"/>
                <w:szCs w:val="24"/>
              </w:rPr>
              <w:t>剂量范围审查</w:t>
            </w:r>
          </w:p>
          <w:p>
            <w:pPr>
              <w:rPr>
                <w:rFonts w:hint="default" w:ascii="宋体" w:hAnsi="宋体" w:cs="Arial"/>
                <w:sz w:val="24"/>
                <w:szCs w:val="24"/>
              </w:rPr>
            </w:pPr>
            <w:r>
              <w:rPr>
                <w:rFonts w:ascii="宋体" w:hAnsi="宋体" w:cs="Arial"/>
                <w:sz w:val="24"/>
                <w:szCs w:val="24"/>
              </w:rPr>
              <w:t>检查用户输入的药品用法用量是否处于药品说明书推荐的剂量范围内。能对最大、最小剂量（次剂量、日剂量）、极量（次极量、日极量）、用药频率、用药持续时间、疗程总剂量进行审查，但只是提供一个药品在不同年龄段和特定给药途径下的正常使用范围，不考虑适应症和用药类型。</w:t>
            </w:r>
          </w:p>
          <w:p>
            <w:pPr>
              <w:rPr>
                <w:rFonts w:hint="default" w:ascii="宋体" w:hAnsi="宋体" w:cs="Arial"/>
                <w:sz w:val="24"/>
                <w:szCs w:val="24"/>
              </w:rPr>
            </w:pPr>
            <w:r>
              <w:rPr>
                <w:rFonts w:ascii="宋体" w:hAnsi="宋体" w:cs="Arial"/>
                <w:sz w:val="24"/>
                <w:szCs w:val="24"/>
              </w:rPr>
              <w:t>（2）</w:t>
            </w:r>
            <w:r>
              <w:rPr>
                <w:rFonts w:ascii="宋体" w:hAnsi="宋体" w:cs="Arial"/>
                <w:sz w:val="24"/>
                <w:szCs w:val="24"/>
              </w:rPr>
              <w:tab/>
            </w:r>
            <w:r>
              <w:rPr>
                <w:rFonts w:ascii="宋体" w:hAnsi="宋体" w:cs="Arial"/>
                <w:sz w:val="24"/>
                <w:szCs w:val="24"/>
              </w:rPr>
              <w:t>药物相互作用审查</w:t>
            </w:r>
          </w:p>
          <w:p>
            <w:pPr>
              <w:rPr>
                <w:rFonts w:hint="default" w:ascii="宋体" w:hAnsi="宋体" w:cs="Arial"/>
                <w:sz w:val="24"/>
                <w:szCs w:val="24"/>
              </w:rPr>
            </w:pPr>
            <w:r>
              <w:rPr>
                <w:rFonts w:ascii="宋体" w:hAnsi="宋体" w:cs="Arial"/>
                <w:sz w:val="24"/>
                <w:szCs w:val="24"/>
              </w:rPr>
              <w:t>检查两两药物合用时可能产生的不良相互作用。这些不良相互作用可能导致药物治疗作用降低、产生或增强毒性等变化，使药品的实际使用效果发生改变，导致不良反应的发生，是临床用药中需要密切关注的问题。如果处方中存在具有不良相互作用的药物，则系统发出警告提醒医生可能需要调整病人的处方药品或更改药物治疗方案。</w:t>
            </w:r>
          </w:p>
          <w:p>
            <w:pPr>
              <w:rPr>
                <w:rFonts w:hint="default" w:ascii="宋体" w:hAnsi="宋体" w:cs="Arial"/>
                <w:sz w:val="24"/>
                <w:szCs w:val="24"/>
              </w:rPr>
            </w:pPr>
            <w:r>
              <w:rPr>
                <w:rFonts w:ascii="宋体" w:hAnsi="宋体" w:cs="Arial"/>
                <w:sz w:val="24"/>
                <w:szCs w:val="24"/>
              </w:rPr>
              <w:t>（3）</w:t>
            </w:r>
            <w:r>
              <w:rPr>
                <w:rFonts w:ascii="宋体" w:hAnsi="宋体" w:cs="Arial"/>
                <w:sz w:val="24"/>
                <w:szCs w:val="24"/>
              </w:rPr>
              <w:tab/>
            </w:r>
            <w:r>
              <w:rPr>
                <w:rFonts w:ascii="宋体" w:hAnsi="宋体" w:cs="Arial"/>
                <w:sz w:val="24"/>
                <w:szCs w:val="24"/>
              </w:rPr>
              <w:t>体外配伍审查</w:t>
            </w:r>
          </w:p>
          <w:p>
            <w:pPr>
              <w:rPr>
                <w:rFonts w:hint="default" w:ascii="宋体" w:hAnsi="宋体" w:cs="Arial"/>
                <w:sz w:val="24"/>
                <w:szCs w:val="24"/>
              </w:rPr>
            </w:pPr>
            <w:r>
              <w:rPr>
                <w:rFonts w:ascii="宋体" w:hAnsi="宋体" w:cs="Arial"/>
                <w:sz w:val="24"/>
                <w:szCs w:val="24"/>
              </w:rPr>
              <w:t>检查注射剂药物配伍使用时，是否存在理化相容或不相容。本模块审查关注的是注射剂药物配伍时是否有足以引起不良后果的理化改变（如颜色改变、沉淀、混沌、微粒增加、酸碱性变化等）。如果处方中存在足以引起不良后果的理化改变，则系统发出警告提醒医生可能需要调整病人的处方药品或更改药物治疗方案。</w:t>
            </w:r>
          </w:p>
          <w:p>
            <w:pPr>
              <w:rPr>
                <w:rFonts w:hint="default" w:ascii="宋体" w:hAnsi="宋体" w:cs="Arial"/>
                <w:sz w:val="24"/>
                <w:szCs w:val="24"/>
              </w:rPr>
            </w:pPr>
            <w:r>
              <w:rPr>
                <w:rFonts w:ascii="宋体" w:hAnsi="宋体" w:cs="Arial"/>
                <w:sz w:val="24"/>
                <w:szCs w:val="24"/>
              </w:rPr>
              <w:t>（4）</w:t>
            </w:r>
            <w:r>
              <w:rPr>
                <w:rFonts w:ascii="宋体" w:hAnsi="宋体" w:cs="Arial"/>
                <w:sz w:val="24"/>
                <w:szCs w:val="24"/>
              </w:rPr>
              <w:tab/>
            </w:r>
            <w:r>
              <w:rPr>
                <w:rFonts w:ascii="宋体" w:hAnsi="宋体" w:cs="Arial"/>
                <w:sz w:val="24"/>
                <w:szCs w:val="24"/>
              </w:rPr>
              <w:t>配伍浓度审查</w:t>
            </w:r>
          </w:p>
          <w:p>
            <w:pPr>
              <w:rPr>
                <w:rFonts w:hint="default" w:ascii="宋体" w:hAnsi="宋体" w:cs="Arial"/>
                <w:sz w:val="24"/>
                <w:szCs w:val="24"/>
              </w:rPr>
            </w:pPr>
            <w:r>
              <w:rPr>
                <w:rFonts w:ascii="宋体" w:hAnsi="宋体" w:cs="Arial"/>
                <w:sz w:val="24"/>
                <w:szCs w:val="24"/>
              </w:rPr>
              <w:t>检查注射剂药物配伍使用时，配伍后的药品浓度是否在药品说明书推荐的给药浓度范围内，若不在此范围内则系统发出警告提醒医生可能需要调整病人的处方药品或溶媒的用量。</w:t>
            </w:r>
          </w:p>
          <w:p>
            <w:pPr>
              <w:rPr>
                <w:rFonts w:hint="default" w:ascii="宋体" w:hAnsi="宋体" w:cs="Arial"/>
                <w:sz w:val="24"/>
                <w:szCs w:val="24"/>
              </w:rPr>
            </w:pPr>
            <w:r>
              <w:rPr>
                <w:rFonts w:ascii="宋体" w:hAnsi="宋体" w:cs="Arial"/>
                <w:sz w:val="24"/>
                <w:szCs w:val="24"/>
              </w:rPr>
              <w:t>（5）</w:t>
            </w:r>
            <w:r>
              <w:rPr>
                <w:rFonts w:ascii="宋体" w:hAnsi="宋体" w:cs="Arial"/>
                <w:sz w:val="24"/>
                <w:szCs w:val="24"/>
              </w:rPr>
              <w:tab/>
            </w:r>
            <w:r>
              <w:rPr>
                <w:rFonts w:ascii="宋体" w:hAnsi="宋体" w:cs="Arial"/>
                <w:sz w:val="24"/>
                <w:szCs w:val="24"/>
              </w:rPr>
              <w:t>药物禁忌症审查</w:t>
            </w:r>
          </w:p>
          <w:p>
            <w:pPr>
              <w:rPr>
                <w:rFonts w:hint="default" w:ascii="宋体" w:hAnsi="宋体" w:cs="Arial"/>
                <w:sz w:val="24"/>
                <w:szCs w:val="24"/>
              </w:rPr>
            </w:pPr>
            <w:r>
              <w:rPr>
                <w:rFonts w:ascii="宋体" w:hAnsi="宋体" w:cs="Arial"/>
                <w:sz w:val="24"/>
                <w:szCs w:val="24"/>
              </w:rPr>
              <w:t>本审查功能将病人的疾病情况与药物禁忌症关联起来，若处方中的药品禁忌症与病人疾病情况相关时，说明病人存在使用某个药物的禁忌症，则系统发出警告提醒医生可能需要调整病人的处方药品或更改药物治疗方案。</w:t>
            </w:r>
          </w:p>
          <w:p>
            <w:pPr>
              <w:rPr>
                <w:rFonts w:hint="default" w:ascii="宋体" w:hAnsi="宋体" w:cs="Arial"/>
                <w:sz w:val="24"/>
                <w:szCs w:val="24"/>
              </w:rPr>
            </w:pPr>
            <w:r>
              <w:rPr>
                <w:rFonts w:ascii="宋体" w:hAnsi="宋体" w:cs="Arial"/>
                <w:sz w:val="24"/>
                <w:szCs w:val="24"/>
              </w:rPr>
              <w:t>（6）</w:t>
            </w:r>
            <w:r>
              <w:rPr>
                <w:rFonts w:ascii="宋体" w:hAnsi="宋体" w:cs="Arial"/>
                <w:sz w:val="24"/>
                <w:szCs w:val="24"/>
              </w:rPr>
              <w:tab/>
            </w:r>
            <w:r>
              <w:rPr>
                <w:rFonts w:ascii="宋体" w:hAnsi="宋体" w:cs="Arial"/>
                <w:sz w:val="24"/>
                <w:szCs w:val="24"/>
              </w:rPr>
              <w:t>不良反应审查</w:t>
            </w:r>
          </w:p>
          <w:p>
            <w:pPr>
              <w:rPr>
                <w:rFonts w:hint="default" w:ascii="宋体" w:hAnsi="宋体" w:cs="Arial"/>
                <w:sz w:val="24"/>
                <w:szCs w:val="24"/>
              </w:rPr>
            </w:pPr>
            <w:r>
              <w:rPr>
                <w:rFonts w:ascii="宋体" w:hAnsi="宋体" w:cs="Arial"/>
                <w:sz w:val="24"/>
                <w:szCs w:val="24"/>
              </w:rPr>
              <w:t>本审查功能将病人的疾病情况与药物不良反应关联起来，若处方中的药品可能引起的某种不良反应，恰好与病人存在疾病情况相同或类似时，则系统发出警告提醒医生注意药品不良反应可能使病人原有病情加重，可能需要调整病人的处方药品或更改药物治疗方案。</w:t>
            </w:r>
          </w:p>
          <w:p>
            <w:pPr>
              <w:rPr>
                <w:rFonts w:hint="default" w:ascii="宋体" w:hAnsi="宋体" w:cs="Arial"/>
                <w:sz w:val="24"/>
                <w:szCs w:val="24"/>
              </w:rPr>
            </w:pPr>
            <w:r>
              <w:rPr>
                <w:rFonts w:ascii="宋体" w:hAnsi="宋体" w:cs="Arial"/>
                <w:sz w:val="24"/>
                <w:szCs w:val="24"/>
              </w:rPr>
              <w:t>（7）</w:t>
            </w:r>
            <w:r>
              <w:rPr>
                <w:rFonts w:ascii="宋体" w:hAnsi="宋体" w:cs="Arial"/>
                <w:sz w:val="24"/>
                <w:szCs w:val="24"/>
              </w:rPr>
              <w:tab/>
            </w:r>
            <w:r>
              <w:rPr>
                <w:rFonts w:ascii="宋体" w:hAnsi="宋体" w:cs="Arial"/>
                <w:sz w:val="24"/>
                <w:szCs w:val="24"/>
              </w:rPr>
              <w:t>儿童用药审查</w:t>
            </w:r>
          </w:p>
          <w:p>
            <w:pPr>
              <w:rPr>
                <w:rFonts w:hint="default" w:ascii="宋体" w:hAnsi="宋体" w:cs="Arial"/>
                <w:sz w:val="24"/>
                <w:szCs w:val="24"/>
              </w:rPr>
            </w:pPr>
            <w:r>
              <w:rPr>
                <w:rFonts w:ascii="宋体" w:hAnsi="宋体" w:cs="Arial"/>
                <w:sz w:val="24"/>
                <w:szCs w:val="24"/>
              </w:rPr>
              <w:t>提示当病人年龄阶段为儿童时，检查病人处方中是否存在不适于儿童使用的药品。帮助医生或药师更合理地对儿童用药，防止药物不良事件的发生。</w:t>
            </w:r>
          </w:p>
          <w:p>
            <w:pPr>
              <w:rPr>
                <w:rFonts w:hint="default" w:ascii="宋体" w:hAnsi="宋体" w:cs="Arial"/>
                <w:sz w:val="24"/>
                <w:szCs w:val="24"/>
              </w:rPr>
            </w:pPr>
            <w:r>
              <w:rPr>
                <w:rFonts w:ascii="宋体" w:hAnsi="宋体" w:cs="Arial"/>
                <w:sz w:val="24"/>
                <w:szCs w:val="24"/>
              </w:rPr>
              <w:t>（8）</w:t>
            </w:r>
            <w:r>
              <w:rPr>
                <w:rFonts w:ascii="宋体" w:hAnsi="宋体" w:cs="Arial"/>
                <w:sz w:val="24"/>
                <w:szCs w:val="24"/>
              </w:rPr>
              <w:tab/>
            </w:r>
            <w:r>
              <w:rPr>
                <w:rFonts w:ascii="宋体" w:hAnsi="宋体" w:cs="Arial"/>
                <w:sz w:val="24"/>
                <w:szCs w:val="24"/>
              </w:rPr>
              <w:t>成人用药审查</w:t>
            </w:r>
          </w:p>
          <w:p>
            <w:pPr>
              <w:rPr>
                <w:rFonts w:hint="default" w:ascii="宋体" w:hAnsi="宋体" w:cs="Arial"/>
                <w:sz w:val="24"/>
                <w:szCs w:val="24"/>
              </w:rPr>
            </w:pPr>
            <w:r>
              <w:rPr>
                <w:rFonts w:ascii="宋体" w:hAnsi="宋体" w:cs="Arial"/>
                <w:sz w:val="24"/>
                <w:szCs w:val="24"/>
              </w:rPr>
              <w:t>提示当病人年龄阶段为成人时，检查病人处方中是否存在不适宜成年人使用的药品（如多巴丝肼片不能用于25岁以下的成人）。帮助医生或药师更合理地对成人用药，防止药物不良事件的发生。</w:t>
            </w:r>
          </w:p>
          <w:p>
            <w:pPr>
              <w:rPr>
                <w:rFonts w:hint="default" w:ascii="宋体" w:hAnsi="宋体" w:cs="Arial"/>
                <w:sz w:val="24"/>
                <w:szCs w:val="24"/>
              </w:rPr>
            </w:pPr>
            <w:r>
              <w:rPr>
                <w:rFonts w:ascii="宋体" w:hAnsi="宋体" w:cs="Arial"/>
                <w:sz w:val="24"/>
                <w:szCs w:val="24"/>
              </w:rPr>
              <w:t>（9）</w:t>
            </w:r>
            <w:r>
              <w:rPr>
                <w:rFonts w:ascii="宋体" w:hAnsi="宋体" w:cs="Arial"/>
                <w:sz w:val="24"/>
                <w:szCs w:val="24"/>
              </w:rPr>
              <w:tab/>
            </w:r>
            <w:r>
              <w:rPr>
                <w:rFonts w:ascii="宋体" w:hAnsi="宋体" w:cs="Arial"/>
                <w:sz w:val="24"/>
                <w:szCs w:val="24"/>
              </w:rPr>
              <w:t>老人用药审查</w:t>
            </w:r>
          </w:p>
          <w:p>
            <w:pPr>
              <w:rPr>
                <w:rFonts w:hint="default" w:ascii="宋体" w:hAnsi="宋体" w:cs="Arial"/>
                <w:sz w:val="24"/>
                <w:szCs w:val="24"/>
              </w:rPr>
            </w:pPr>
            <w:r>
              <w:rPr>
                <w:rFonts w:ascii="宋体" w:hAnsi="宋体" w:cs="Arial"/>
                <w:sz w:val="24"/>
                <w:szCs w:val="24"/>
              </w:rPr>
              <w:t>提示当病人年龄阶段为老人时，检查病人处方中是否存在不适宜老年人使用的药品。帮助医生或药师更合理地对老人用药，防止药物不良事件的发生。</w:t>
            </w:r>
          </w:p>
          <w:p>
            <w:pPr>
              <w:rPr>
                <w:rFonts w:hint="default" w:ascii="宋体" w:hAnsi="宋体" w:cs="Arial"/>
                <w:sz w:val="24"/>
                <w:szCs w:val="24"/>
              </w:rPr>
            </w:pPr>
            <w:r>
              <w:rPr>
                <w:rFonts w:ascii="宋体" w:hAnsi="宋体" w:cs="Arial"/>
                <w:sz w:val="24"/>
                <w:szCs w:val="24"/>
              </w:rPr>
              <w:t>（10）</w:t>
            </w:r>
            <w:r>
              <w:rPr>
                <w:rFonts w:ascii="宋体" w:hAnsi="宋体" w:cs="Arial"/>
                <w:sz w:val="24"/>
                <w:szCs w:val="24"/>
              </w:rPr>
              <w:tab/>
            </w:r>
            <w:r>
              <w:rPr>
                <w:rFonts w:ascii="宋体" w:hAnsi="宋体" w:cs="Arial"/>
                <w:sz w:val="24"/>
                <w:szCs w:val="24"/>
              </w:rPr>
              <w:t>妊娠用药审查</w:t>
            </w:r>
          </w:p>
          <w:p>
            <w:pPr>
              <w:rPr>
                <w:rFonts w:hint="default" w:ascii="宋体" w:hAnsi="宋体" w:cs="Arial"/>
                <w:sz w:val="24"/>
                <w:szCs w:val="24"/>
              </w:rPr>
            </w:pPr>
            <w:r>
              <w:rPr>
                <w:rFonts w:ascii="宋体" w:hAnsi="宋体" w:cs="Arial"/>
                <w:sz w:val="24"/>
                <w:szCs w:val="24"/>
              </w:rPr>
              <w:t>提示当病人为妊娠期妇女时，检查病人处方中是否存在不适于妊娠期使用的药品。帮助医生或药师在病人妊娠期间合理用药，提高妊娠用药安全性。</w:t>
            </w:r>
          </w:p>
          <w:p>
            <w:pPr>
              <w:rPr>
                <w:rFonts w:hint="default" w:ascii="宋体" w:hAnsi="宋体" w:cs="Arial"/>
                <w:sz w:val="24"/>
                <w:szCs w:val="24"/>
              </w:rPr>
            </w:pPr>
            <w:r>
              <w:rPr>
                <w:rFonts w:ascii="宋体" w:hAnsi="宋体" w:cs="Arial"/>
                <w:sz w:val="24"/>
                <w:szCs w:val="24"/>
              </w:rPr>
              <w:t>（11）</w:t>
            </w:r>
            <w:r>
              <w:rPr>
                <w:rFonts w:ascii="宋体" w:hAnsi="宋体" w:cs="Arial"/>
                <w:sz w:val="24"/>
                <w:szCs w:val="24"/>
              </w:rPr>
              <w:tab/>
            </w:r>
            <w:r>
              <w:rPr>
                <w:rFonts w:ascii="宋体" w:hAnsi="宋体" w:cs="Arial"/>
                <w:sz w:val="24"/>
                <w:szCs w:val="24"/>
              </w:rPr>
              <w:t>哺乳用药审查</w:t>
            </w:r>
          </w:p>
          <w:p>
            <w:pPr>
              <w:rPr>
                <w:rFonts w:hint="default" w:ascii="宋体" w:hAnsi="宋体" w:cs="Arial"/>
                <w:sz w:val="24"/>
                <w:szCs w:val="24"/>
              </w:rPr>
            </w:pPr>
            <w:r>
              <w:rPr>
                <w:rFonts w:ascii="宋体" w:hAnsi="宋体" w:cs="Arial"/>
                <w:sz w:val="24"/>
                <w:szCs w:val="24"/>
              </w:rPr>
              <w:t>哺乳期妇女用药时，药物除对母亲产生影响外，还可通过乳汁进入婴儿体内，从而对婴儿也产生影响。本审查功能可提示当病人为哺乳期妇女时，检查病人处方中是否存在不适宜哺乳妇女使用的药品。帮助医生或药师在病人哺乳期间合理用药，防止针对哺乳妇女和乳儿的药物不良事件发生。</w:t>
            </w:r>
          </w:p>
          <w:p>
            <w:pPr>
              <w:rPr>
                <w:rFonts w:hint="default" w:ascii="宋体" w:hAnsi="宋体" w:cs="Arial"/>
                <w:sz w:val="24"/>
                <w:szCs w:val="24"/>
              </w:rPr>
            </w:pPr>
            <w:r>
              <w:rPr>
                <w:rFonts w:ascii="宋体" w:hAnsi="宋体" w:cs="Arial"/>
                <w:sz w:val="24"/>
                <w:szCs w:val="24"/>
              </w:rPr>
              <w:t>（12）</w:t>
            </w:r>
            <w:r>
              <w:rPr>
                <w:rFonts w:ascii="宋体" w:hAnsi="宋体" w:cs="Arial"/>
                <w:sz w:val="24"/>
                <w:szCs w:val="24"/>
              </w:rPr>
              <w:tab/>
            </w:r>
            <w:r>
              <w:rPr>
                <w:rFonts w:ascii="宋体" w:hAnsi="宋体" w:cs="Arial"/>
                <w:sz w:val="24"/>
                <w:szCs w:val="24"/>
              </w:rPr>
              <w:t>性别用药审查</w:t>
            </w:r>
          </w:p>
          <w:p>
            <w:pPr>
              <w:rPr>
                <w:rFonts w:hint="default" w:ascii="宋体" w:hAnsi="宋体" w:cs="Arial"/>
                <w:sz w:val="24"/>
                <w:szCs w:val="24"/>
              </w:rPr>
            </w:pPr>
            <w:r>
              <w:rPr>
                <w:rFonts w:ascii="宋体" w:hAnsi="宋体" w:cs="Arial"/>
                <w:sz w:val="24"/>
                <w:szCs w:val="24"/>
              </w:rPr>
              <w:t>提示病人处方中是否存在不适宜用于该病人性别的药品（如盐酸坦洛新缓释胶囊，用于缓解前列腺增生症引起的排尿障碍，则不适宜用于女性患者）。帮助医生或药师合理用药，防止药物不良事件的发生。</w:t>
            </w:r>
          </w:p>
          <w:p>
            <w:pPr>
              <w:rPr>
                <w:rFonts w:hint="default" w:ascii="宋体" w:hAnsi="宋体" w:cs="Arial"/>
                <w:sz w:val="24"/>
                <w:szCs w:val="24"/>
              </w:rPr>
            </w:pPr>
            <w:r>
              <w:rPr>
                <w:rFonts w:ascii="宋体" w:hAnsi="宋体" w:cs="Arial"/>
                <w:sz w:val="24"/>
                <w:szCs w:val="24"/>
              </w:rPr>
              <w:t>（13）</w:t>
            </w:r>
            <w:r>
              <w:rPr>
                <w:rFonts w:ascii="宋体" w:hAnsi="宋体" w:cs="Arial"/>
                <w:sz w:val="24"/>
                <w:szCs w:val="24"/>
              </w:rPr>
              <w:tab/>
            </w:r>
            <w:r>
              <w:rPr>
                <w:rFonts w:ascii="宋体" w:hAnsi="宋体" w:cs="Arial"/>
                <w:sz w:val="24"/>
                <w:szCs w:val="24"/>
              </w:rPr>
              <w:t>药物过敏审查</w:t>
            </w:r>
          </w:p>
          <w:p>
            <w:pPr>
              <w:rPr>
                <w:rFonts w:hint="default" w:ascii="宋体" w:hAnsi="宋体" w:cs="Arial"/>
                <w:sz w:val="24"/>
                <w:szCs w:val="24"/>
              </w:rPr>
            </w:pPr>
            <w:r>
              <w:rPr>
                <w:rFonts w:ascii="宋体" w:hAnsi="宋体" w:cs="Arial"/>
                <w:sz w:val="24"/>
                <w:szCs w:val="24"/>
              </w:rPr>
              <w:t>在获取病人既往过敏原或过敏类信息的基础上，提示病人处方中是否存在与病人既往过敏原相关、可能导致类似过敏反应的药品。帮助医生或药师合理用药，防止药物不良事件的发生。</w:t>
            </w:r>
          </w:p>
          <w:p>
            <w:pPr>
              <w:rPr>
                <w:rFonts w:hint="default" w:ascii="宋体" w:hAnsi="宋体" w:cs="Arial"/>
                <w:sz w:val="24"/>
                <w:szCs w:val="24"/>
              </w:rPr>
            </w:pPr>
            <w:r>
              <w:rPr>
                <w:rFonts w:ascii="宋体" w:hAnsi="宋体" w:cs="Arial"/>
                <w:sz w:val="24"/>
                <w:szCs w:val="24"/>
              </w:rPr>
              <w:t>（14）</w:t>
            </w:r>
            <w:r>
              <w:rPr>
                <w:rFonts w:ascii="宋体" w:hAnsi="宋体" w:cs="Arial"/>
                <w:sz w:val="24"/>
                <w:szCs w:val="24"/>
              </w:rPr>
              <w:tab/>
            </w:r>
            <w:r>
              <w:rPr>
                <w:rFonts w:ascii="宋体" w:hAnsi="宋体" w:cs="Arial"/>
                <w:sz w:val="24"/>
                <w:szCs w:val="24"/>
              </w:rPr>
              <w:t>给药途径审查（剂型-给药途径、药品-给药途径审查）</w:t>
            </w:r>
          </w:p>
          <w:p>
            <w:pPr>
              <w:rPr>
                <w:rFonts w:hint="default" w:ascii="宋体" w:hAnsi="宋体" w:cs="Arial"/>
                <w:sz w:val="24"/>
                <w:szCs w:val="24"/>
              </w:rPr>
            </w:pPr>
            <w:r>
              <w:rPr>
                <w:rFonts w:ascii="宋体" w:hAnsi="宋体" w:cs="Arial"/>
                <w:sz w:val="24"/>
                <w:szCs w:val="24"/>
              </w:rPr>
              <w:t>检查病人处方中是否存在药品剂型与给药途径不匹配，如片剂不可注射、滴眼液不可口服等；或者药品不能用于某些给药途径，如胰岛素注射液不能用于口服，氯化钾注射液不能静推等。临床上如果有此类用药不规范的情况，即予以警示提醒，并提示用户可能有处方录入错误。</w:t>
            </w:r>
          </w:p>
          <w:p>
            <w:pPr>
              <w:rPr>
                <w:rFonts w:hint="default" w:ascii="宋体" w:hAnsi="宋体" w:cs="Arial"/>
                <w:sz w:val="24"/>
                <w:szCs w:val="24"/>
              </w:rPr>
            </w:pPr>
            <w:r>
              <w:rPr>
                <w:rFonts w:ascii="宋体" w:hAnsi="宋体" w:cs="Arial"/>
                <w:sz w:val="24"/>
                <w:szCs w:val="24"/>
              </w:rPr>
              <w:t>（15）</w:t>
            </w:r>
            <w:r>
              <w:rPr>
                <w:rFonts w:ascii="宋体" w:hAnsi="宋体" w:cs="Arial"/>
                <w:sz w:val="24"/>
                <w:szCs w:val="24"/>
              </w:rPr>
              <w:tab/>
            </w:r>
            <w:r>
              <w:rPr>
                <w:rFonts w:ascii="宋体" w:hAnsi="宋体" w:cs="Arial"/>
                <w:sz w:val="24"/>
                <w:szCs w:val="24"/>
              </w:rPr>
              <w:t>重复用药审查（重复成分、重复治疗审查）</w:t>
            </w:r>
          </w:p>
          <w:p>
            <w:pPr>
              <w:rPr>
                <w:rFonts w:hint="default" w:ascii="宋体" w:hAnsi="宋体" w:cs="Arial"/>
                <w:sz w:val="24"/>
                <w:szCs w:val="24"/>
              </w:rPr>
            </w:pPr>
            <w:r>
              <w:rPr>
                <w:rFonts w:ascii="宋体" w:hAnsi="宋体" w:cs="Arial"/>
                <w:sz w:val="24"/>
                <w:szCs w:val="24"/>
              </w:rPr>
              <w:t>提示病人用药处方中的两个或多个药品是否存在相同的药物成分，可能导致重复用药问题；重复治疗审查提示处方中的两个或多个药品（带给药途径）同属某个药物治疗分类（即具有同一种治疗目的），可能存在重复用药的问题。</w:t>
            </w:r>
          </w:p>
          <w:p>
            <w:pPr>
              <w:rPr>
                <w:rFonts w:hint="default" w:ascii="宋体" w:hAnsi="宋体" w:cs="Arial"/>
                <w:sz w:val="24"/>
                <w:szCs w:val="24"/>
              </w:rPr>
            </w:pPr>
            <w:r>
              <w:rPr>
                <w:rFonts w:ascii="宋体" w:hAnsi="宋体" w:cs="Arial"/>
                <w:sz w:val="24"/>
                <w:szCs w:val="24"/>
              </w:rPr>
              <w:t>（16）</w:t>
            </w:r>
            <w:r>
              <w:rPr>
                <w:rFonts w:ascii="宋体" w:hAnsi="宋体" w:cs="Arial"/>
                <w:sz w:val="24"/>
                <w:szCs w:val="24"/>
              </w:rPr>
              <w:tab/>
            </w:r>
            <w:r>
              <w:rPr>
                <w:rFonts w:ascii="宋体" w:hAnsi="宋体" w:cs="Arial"/>
                <w:sz w:val="24"/>
                <w:szCs w:val="24"/>
              </w:rPr>
              <w:t>肝损害剂量审查</w:t>
            </w:r>
          </w:p>
          <w:p>
            <w:pPr>
              <w:rPr>
                <w:rFonts w:hint="default" w:ascii="宋体" w:hAnsi="宋体" w:cs="Arial"/>
                <w:sz w:val="24"/>
                <w:szCs w:val="24"/>
              </w:rPr>
            </w:pPr>
            <w:r>
              <w:rPr>
                <w:rFonts w:ascii="宋体" w:hAnsi="宋体" w:cs="Arial"/>
                <w:sz w:val="24"/>
                <w:szCs w:val="24"/>
              </w:rPr>
              <w:t>由于病人存在肝功能损害时肌体对药物的吸收、代谢、排泄等均受到影响，给药剂量与常规剂量范围有一定差异，需检测该类人群使用药品剂量是否合理，如果使用剂量不在药品说明书推荐的剂量范围内，则系统发出警告提醒医生可能需要调整病人的药物剂量。</w:t>
            </w:r>
          </w:p>
          <w:p>
            <w:pPr>
              <w:rPr>
                <w:rFonts w:hint="default" w:ascii="宋体" w:hAnsi="宋体" w:cs="Arial"/>
                <w:sz w:val="24"/>
                <w:szCs w:val="24"/>
              </w:rPr>
            </w:pPr>
            <w:r>
              <w:rPr>
                <w:rFonts w:ascii="宋体" w:hAnsi="宋体" w:cs="Arial"/>
                <w:sz w:val="24"/>
                <w:szCs w:val="24"/>
              </w:rPr>
              <w:t>（17）</w:t>
            </w:r>
            <w:r>
              <w:rPr>
                <w:rFonts w:ascii="宋体" w:hAnsi="宋体" w:cs="Arial"/>
                <w:sz w:val="24"/>
                <w:szCs w:val="24"/>
              </w:rPr>
              <w:tab/>
            </w:r>
            <w:r>
              <w:rPr>
                <w:rFonts w:ascii="宋体" w:hAnsi="宋体" w:cs="Arial"/>
                <w:sz w:val="24"/>
                <w:szCs w:val="24"/>
              </w:rPr>
              <w:t>肾损害剂量审查</w:t>
            </w:r>
          </w:p>
          <w:p>
            <w:pPr>
              <w:rPr>
                <w:rFonts w:hint="default" w:ascii="宋体" w:hAnsi="宋体" w:cs="Arial"/>
                <w:sz w:val="24"/>
                <w:szCs w:val="24"/>
              </w:rPr>
            </w:pPr>
            <w:r>
              <w:rPr>
                <w:rFonts w:ascii="宋体" w:hAnsi="宋体" w:cs="Arial"/>
                <w:sz w:val="24"/>
                <w:szCs w:val="24"/>
              </w:rPr>
              <w:t>由于病人存在肾功能损害时肾的排泄和调节功能将会降低或减弱，给药剂量与常规剂量范围有一定差异，需检测该类人群使用药品剂量是否合理，如果使用剂量不在药品说明书推荐的剂量范围内，则系统发出警告提醒医生可能需要调整病人的药物剂量。</w:t>
            </w:r>
          </w:p>
          <w:p>
            <w:pPr>
              <w:rPr>
                <w:rFonts w:hint="default" w:ascii="宋体" w:hAnsi="宋体" w:cs="Arial"/>
                <w:sz w:val="24"/>
                <w:szCs w:val="24"/>
              </w:rPr>
            </w:pPr>
            <w:r>
              <w:rPr>
                <w:rFonts w:ascii="宋体" w:hAnsi="宋体" w:cs="Arial"/>
                <w:sz w:val="24"/>
                <w:szCs w:val="24"/>
              </w:rPr>
              <w:t>（18）</w:t>
            </w:r>
            <w:r>
              <w:rPr>
                <w:rFonts w:ascii="宋体" w:hAnsi="宋体" w:cs="Arial"/>
                <w:sz w:val="24"/>
                <w:szCs w:val="24"/>
              </w:rPr>
              <w:tab/>
            </w:r>
            <w:r>
              <w:rPr>
                <w:rFonts w:ascii="宋体" w:hAnsi="宋体" w:cs="Arial"/>
                <w:sz w:val="24"/>
                <w:szCs w:val="24"/>
              </w:rPr>
              <w:t>超适应症审查</w:t>
            </w:r>
          </w:p>
          <w:p>
            <w:pPr>
              <w:rPr>
                <w:rFonts w:hint="default" w:ascii="宋体" w:hAnsi="宋体" w:cs="Arial"/>
                <w:sz w:val="24"/>
                <w:szCs w:val="24"/>
              </w:rPr>
            </w:pPr>
            <w:r>
              <w:rPr>
                <w:rFonts w:ascii="宋体" w:hAnsi="宋体" w:cs="Arial"/>
                <w:sz w:val="24"/>
                <w:szCs w:val="24"/>
              </w:rPr>
              <w:t>检查病人的疾病情况是否在处方中的药品适应症范围内，若病人存在超药品适应症用药的情况，系统则发出警告提醒医生可能需要调整病人的处方药品或更改药物治疗方案。</w:t>
            </w:r>
          </w:p>
          <w:p>
            <w:pPr>
              <w:rPr>
                <w:rFonts w:hint="default" w:ascii="宋体" w:hAnsi="宋体" w:cs="Arial"/>
                <w:sz w:val="24"/>
                <w:szCs w:val="24"/>
              </w:rPr>
            </w:pPr>
            <w:r>
              <w:rPr>
                <w:rFonts w:ascii="宋体" w:hAnsi="宋体" w:cs="Arial"/>
                <w:sz w:val="24"/>
                <w:szCs w:val="24"/>
              </w:rPr>
              <w:t>（19）</w:t>
            </w:r>
            <w:r>
              <w:rPr>
                <w:rFonts w:ascii="宋体" w:hAnsi="宋体" w:cs="Arial"/>
                <w:sz w:val="24"/>
                <w:szCs w:val="24"/>
              </w:rPr>
              <w:tab/>
            </w:r>
            <w:r>
              <w:rPr>
                <w:rFonts w:ascii="宋体" w:hAnsi="宋体" w:cs="Arial"/>
                <w:sz w:val="24"/>
                <w:szCs w:val="24"/>
              </w:rPr>
              <w:t>越权用药审查</w:t>
            </w:r>
          </w:p>
          <w:p>
            <w:pPr>
              <w:rPr>
                <w:rFonts w:hint="default" w:ascii="宋体" w:hAnsi="宋体" w:cs="Arial"/>
                <w:sz w:val="24"/>
                <w:szCs w:val="24"/>
              </w:rPr>
            </w:pPr>
            <w:r>
              <w:rPr>
                <w:rFonts w:ascii="宋体" w:hAnsi="宋体" w:cs="Arial"/>
                <w:sz w:val="24"/>
                <w:szCs w:val="24"/>
              </w:rPr>
              <w:t>根据医院规定的医生处方权限类别和对应的药品清单，检查医生开出的处方药品是否在其可以使用的权限范围内，可以对越权用药行为进行警示提醒，监控医生越级使用抗菌药物、越级使用特殊管制药品。</w:t>
            </w:r>
          </w:p>
          <w:p>
            <w:pPr>
              <w:rPr>
                <w:rFonts w:hint="default" w:ascii="宋体" w:hAnsi="宋体" w:cs="Arial"/>
                <w:sz w:val="24"/>
                <w:szCs w:val="24"/>
              </w:rPr>
            </w:pPr>
            <w:r>
              <w:rPr>
                <w:rFonts w:ascii="宋体" w:hAnsi="宋体" w:cs="Arial"/>
                <w:sz w:val="24"/>
                <w:szCs w:val="24"/>
              </w:rPr>
              <w:t>（20）</w:t>
            </w:r>
            <w:r>
              <w:rPr>
                <w:rFonts w:ascii="宋体" w:hAnsi="宋体" w:cs="Arial"/>
                <w:sz w:val="24"/>
                <w:szCs w:val="24"/>
              </w:rPr>
              <w:tab/>
            </w:r>
            <w:r>
              <w:rPr>
                <w:rFonts w:ascii="宋体" w:hAnsi="宋体" w:cs="Arial"/>
                <w:sz w:val="24"/>
                <w:szCs w:val="24"/>
              </w:rPr>
              <w:t>围术期用药审查</w:t>
            </w:r>
          </w:p>
          <w:p>
            <w:pPr>
              <w:rPr>
                <w:rFonts w:hint="default" w:ascii="宋体" w:hAnsi="宋体" w:cs="Arial"/>
                <w:sz w:val="24"/>
                <w:szCs w:val="24"/>
              </w:rPr>
            </w:pPr>
            <w:r>
              <w:rPr>
                <w:rFonts w:ascii="宋体" w:hAnsi="宋体" w:cs="Arial"/>
                <w:sz w:val="24"/>
                <w:szCs w:val="24"/>
              </w:rPr>
              <w:t>检查医生在围手术期内使用抗菌药物是否合理，包括抗菌药物品种是否合理，使用抗菌药物的时机和时限是否合理。若在围手术期若使用抗菌药物的品种不在已维护的手术能够使用的抗菌药物的品种范围内、手术使用抗菌药物时机和时长不在医院规定的时间内(可以精确到小时)，则系统发出警告提醒医生可能需要调整病人处方药品或更改围手术期的用药方案。</w:t>
            </w:r>
          </w:p>
          <w:p>
            <w:pPr>
              <w:rPr>
                <w:rFonts w:hint="default" w:ascii="宋体" w:hAnsi="宋体" w:cs="Arial"/>
                <w:sz w:val="24"/>
                <w:szCs w:val="24"/>
              </w:rPr>
            </w:pPr>
            <w:r>
              <w:rPr>
                <w:rFonts w:ascii="宋体" w:hAnsi="宋体" w:cs="Arial"/>
                <w:sz w:val="24"/>
                <w:szCs w:val="24"/>
              </w:rPr>
              <w:t>（21）</w:t>
            </w:r>
            <w:r>
              <w:rPr>
                <w:rFonts w:ascii="宋体" w:hAnsi="宋体" w:cs="Arial"/>
                <w:sz w:val="24"/>
                <w:szCs w:val="24"/>
              </w:rPr>
              <w:tab/>
            </w:r>
            <w:r>
              <w:rPr>
                <w:rFonts w:ascii="宋体" w:hAnsi="宋体" w:cs="Arial"/>
                <w:sz w:val="24"/>
                <w:szCs w:val="24"/>
              </w:rPr>
              <w:t>细菌耐药率审查</w:t>
            </w:r>
          </w:p>
          <w:p>
            <w:pPr>
              <w:rPr>
                <w:rFonts w:hint="default" w:ascii="宋体" w:hAnsi="宋体" w:cs="Arial"/>
                <w:sz w:val="24"/>
                <w:szCs w:val="24"/>
              </w:rPr>
            </w:pPr>
            <w:r>
              <w:rPr>
                <w:rFonts w:ascii="宋体" w:hAnsi="宋体" w:cs="Arial"/>
                <w:sz w:val="24"/>
                <w:szCs w:val="24"/>
              </w:rPr>
              <w:t>提示病人处方中药品的本院细菌耐药情况（包括哪些细菌对处方药品耐药和耐药率），医生可根据耐药情况的警示提醒调整处方药品或更改用药方案。</w:t>
            </w:r>
          </w:p>
          <w:p>
            <w:pPr>
              <w:rPr>
                <w:rFonts w:hint="default" w:ascii="宋体" w:hAnsi="宋体" w:cs="Arial"/>
                <w:sz w:val="24"/>
                <w:szCs w:val="24"/>
              </w:rPr>
            </w:pPr>
            <w:r>
              <w:rPr>
                <w:rFonts w:ascii="宋体" w:hAnsi="宋体" w:cs="Arial"/>
                <w:sz w:val="24"/>
                <w:szCs w:val="24"/>
              </w:rPr>
              <w:t>1.2待审处方提示</w:t>
            </w:r>
          </w:p>
          <w:p>
            <w:pPr>
              <w:rPr>
                <w:rFonts w:hint="default" w:ascii="宋体" w:hAnsi="宋体" w:cs="Arial"/>
                <w:sz w:val="24"/>
                <w:szCs w:val="24"/>
              </w:rPr>
            </w:pPr>
            <w:r>
              <w:rPr>
                <w:rFonts w:ascii="宋体" w:hAnsi="宋体" w:cs="Arial"/>
                <w:sz w:val="24"/>
                <w:szCs w:val="24"/>
              </w:rPr>
              <w:t>提示药师有待审查新处方或待审查已修改处方。</w:t>
            </w:r>
          </w:p>
          <w:p>
            <w:pPr>
              <w:rPr>
                <w:rFonts w:hint="default" w:ascii="宋体" w:hAnsi="宋体" w:cs="Arial"/>
                <w:sz w:val="24"/>
                <w:szCs w:val="24"/>
              </w:rPr>
            </w:pPr>
            <w:r>
              <w:rPr>
                <w:rFonts w:ascii="宋体" w:hAnsi="宋体" w:cs="Arial"/>
                <w:sz w:val="24"/>
                <w:szCs w:val="24"/>
              </w:rPr>
              <w:t>1.3药师人工审查</w:t>
            </w:r>
          </w:p>
          <w:p>
            <w:pPr>
              <w:rPr>
                <w:rFonts w:hint="default" w:ascii="宋体" w:hAnsi="宋体" w:cs="Arial"/>
                <w:sz w:val="24"/>
                <w:szCs w:val="24"/>
              </w:rPr>
            </w:pPr>
            <w:r>
              <w:rPr>
                <w:rFonts w:ascii="宋体" w:hAnsi="宋体" w:cs="Arial"/>
                <w:sz w:val="24"/>
                <w:szCs w:val="24"/>
              </w:rPr>
              <w:t>药师在审方界面可以看到待审处方数量。待审门诊处方信息以处方笺格式显示，待审住院医嘱还会显示病人手术等详细信息。药师还可以查看系统审查结果详细信息，作为人工审查的参考。</w:t>
            </w:r>
          </w:p>
          <w:p>
            <w:pPr>
              <w:rPr>
                <w:rFonts w:hint="default" w:ascii="宋体" w:hAnsi="宋体" w:cs="Arial"/>
                <w:sz w:val="24"/>
                <w:szCs w:val="24"/>
              </w:rPr>
            </w:pPr>
            <w:r>
              <w:rPr>
                <w:rFonts w:ascii="宋体" w:hAnsi="宋体" w:cs="Arial"/>
                <w:sz w:val="24"/>
                <w:szCs w:val="24"/>
              </w:rPr>
              <w:t>1.4批量审查</w:t>
            </w:r>
          </w:p>
          <w:p>
            <w:pPr>
              <w:rPr>
                <w:rFonts w:hint="default" w:ascii="宋体" w:hAnsi="宋体" w:cs="Arial"/>
                <w:sz w:val="24"/>
                <w:szCs w:val="24"/>
              </w:rPr>
            </w:pPr>
            <w:r>
              <w:rPr>
                <w:rFonts w:ascii="宋体" w:hAnsi="宋体" w:cs="Arial"/>
                <w:sz w:val="24"/>
                <w:szCs w:val="24"/>
              </w:rPr>
              <w:t>药师结合处方详细信息和系统审查结果信息审查完后，可选择多张待审查新处方（医嘱）批量通过人工审查。</w:t>
            </w:r>
          </w:p>
          <w:p>
            <w:pPr>
              <w:rPr>
                <w:rFonts w:hint="default" w:ascii="宋体" w:hAnsi="宋体" w:cs="Arial"/>
                <w:sz w:val="24"/>
                <w:szCs w:val="24"/>
              </w:rPr>
            </w:pPr>
            <w:r>
              <w:rPr>
                <w:rFonts w:ascii="宋体" w:hAnsi="宋体" w:cs="Arial"/>
                <w:sz w:val="24"/>
                <w:szCs w:val="24"/>
              </w:rPr>
              <w:t>1.5药师医生实时互动</w:t>
            </w:r>
          </w:p>
          <w:p>
            <w:pPr>
              <w:rPr>
                <w:rFonts w:hint="default" w:ascii="宋体" w:hAnsi="宋体" w:cs="Arial"/>
                <w:sz w:val="24"/>
                <w:szCs w:val="24"/>
              </w:rPr>
            </w:pPr>
            <w:r>
              <w:rPr>
                <w:rFonts w:ascii="宋体" w:hAnsi="宋体" w:cs="Arial"/>
                <w:sz w:val="24"/>
                <w:szCs w:val="24"/>
              </w:rPr>
              <w:t>关于药师人工审查未通过的处方，药师可以通过PASS通信平台与医生进行沟通。系统为药师提供了不合理用药问题描述模板，药师可以在此基础上编辑不通过处方的详细描述发给医生，医生修改处方信息后，处方重新进入系统审查-人工审查-修改处方环节，直至处方通过。同时，药师可以根据具体情况赋予医生处方强制执行权限。</w:t>
            </w:r>
          </w:p>
          <w:p>
            <w:pPr>
              <w:rPr>
                <w:rFonts w:hint="default" w:ascii="宋体" w:hAnsi="宋体" w:cs="Arial"/>
                <w:sz w:val="24"/>
                <w:szCs w:val="24"/>
              </w:rPr>
            </w:pPr>
            <w:r>
              <w:rPr>
                <w:rFonts w:ascii="宋体" w:hAnsi="宋体" w:cs="Arial"/>
                <w:sz w:val="24"/>
                <w:szCs w:val="24"/>
              </w:rPr>
              <w:t>1.6处方状态标记</w:t>
            </w:r>
          </w:p>
          <w:p>
            <w:pPr>
              <w:rPr>
                <w:rFonts w:hint="default" w:ascii="宋体" w:hAnsi="宋体" w:cs="Arial"/>
                <w:sz w:val="24"/>
                <w:szCs w:val="24"/>
              </w:rPr>
            </w:pPr>
            <w:r>
              <w:rPr>
                <w:rFonts w:ascii="宋体" w:hAnsi="宋体" w:cs="Arial"/>
                <w:sz w:val="24"/>
                <w:szCs w:val="24"/>
              </w:rPr>
              <w:t>处方最终通过审查的情况有很多，为了区分这些不同情况下通过的处方，以及记录通过处方的每个修改版本的情况，系统给这些处方会添加不同的标记如“系统通过”、“药师首次不通过”、“系统关闭通过”等。</w:t>
            </w:r>
          </w:p>
          <w:p>
            <w:pPr>
              <w:rPr>
                <w:rFonts w:hint="default" w:ascii="宋体" w:hAnsi="宋体" w:cs="Arial"/>
                <w:sz w:val="24"/>
                <w:szCs w:val="24"/>
              </w:rPr>
            </w:pPr>
            <w:r>
              <w:rPr>
                <w:rFonts w:ascii="宋体" w:hAnsi="宋体" w:cs="Arial"/>
                <w:sz w:val="24"/>
                <w:szCs w:val="24"/>
              </w:rPr>
              <w:t>1.7实时查看通过处方信息</w:t>
            </w:r>
          </w:p>
          <w:p>
            <w:pPr>
              <w:rPr>
                <w:rFonts w:hint="default" w:ascii="宋体" w:hAnsi="宋体" w:cs="Arial"/>
                <w:sz w:val="24"/>
                <w:szCs w:val="24"/>
              </w:rPr>
            </w:pPr>
            <w:r>
              <w:rPr>
                <w:rFonts w:ascii="宋体" w:hAnsi="宋体" w:cs="Arial"/>
                <w:sz w:val="24"/>
                <w:szCs w:val="24"/>
              </w:rPr>
              <w:t>经过系统审查、药师人工审查、药师医生沟通等多个环节后，处方通过并进入了下一环节。药师可在审方界面实时查看当天已通过处方的详细信息。</w:t>
            </w:r>
          </w:p>
          <w:p>
            <w:pPr>
              <w:rPr>
                <w:rFonts w:hint="default" w:ascii="宋体" w:hAnsi="宋体" w:cs="Arial"/>
                <w:sz w:val="24"/>
                <w:szCs w:val="24"/>
              </w:rPr>
            </w:pPr>
            <w:r>
              <w:rPr>
                <w:rFonts w:ascii="宋体" w:hAnsi="宋体" w:cs="Arial"/>
                <w:sz w:val="24"/>
                <w:szCs w:val="24"/>
              </w:rPr>
              <w:t>1.8离开模式</w:t>
            </w:r>
          </w:p>
          <w:p>
            <w:pPr>
              <w:rPr>
                <w:rFonts w:hint="default" w:ascii="宋体" w:hAnsi="宋体" w:cs="Arial"/>
                <w:sz w:val="24"/>
                <w:szCs w:val="24"/>
              </w:rPr>
            </w:pPr>
            <w:r>
              <w:rPr>
                <w:rFonts w:ascii="宋体" w:hAnsi="宋体" w:cs="Arial"/>
                <w:sz w:val="24"/>
                <w:szCs w:val="24"/>
              </w:rPr>
              <w:t>若药师临时有其它事务需要处理，可以选择“我要离开”，若有审查中处方，系统会提示药师。启动了离开模式后，新任务系统会自动分配给其它药师。</w:t>
            </w:r>
          </w:p>
          <w:p>
            <w:pPr>
              <w:rPr>
                <w:rFonts w:hint="default" w:ascii="宋体" w:hAnsi="宋体" w:cs="Arial"/>
                <w:sz w:val="24"/>
                <w:szCs w:val="24"/>
              </w:rPr>
            </w:pPr>
            <w:r>
              <w:rPr>
                <w:rFonts w:ascii="宋体" w:hAnsi="宋体" w:cs="Arial"/>
                <w:sz w:val="24"/>
                <w:szCs w:val="24"/>
              </w:rPr>
              <w:t>1.9定时审方</w:t>
            </w:r>
          </w:p>
          <w:p>
            <w:pPr>
              <w:rPr>
                <w:rFonts w:hint="default" w:ascii="宋体" w:hAnsi="宋体" w:cs="宋体"/>
                <w:kern w:val="0"/>
                <w:sz w:val="24"/>
                <w:szCs w:val="24"/>
              </w:rPr>
            </w:pPr>
            <w:r>
              <w:rPr>
                <w:rFonts w:ascii="宋体" w:hAnsi="宋体" w:cs="Arial"/>
                <w:sz w:val="24"/>
                <w:szCs w:val="24"/>
              </w:rPr>
              <w:t>住院药师审方干预提供两种审查模式供用户选择，除实时审查模式外还提供定时审查模式，不同于实时审查模式的系统自动更新任务，药师可根据自身工作安排，自主选择某个时间点获取任务。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488" w:type="pct"/>
            <w:noWrap w:val="0"/>
            <w:vAlign w:val="center"/>
          </w:tcPr>
          <w:p>
            <w:pPr>
              <w:pStyle w:val="50"/>
              <w:ind w:left="0" w:leftChars="0" w:firstLine="0" w:firstLineChars="0"/>
              <w:jc w:val="center"/>
              <w:rPr>
                <w:rFonts w:hint="default" w:ascii="宋体" w:hAnsi="宋体" w:cs="黑体"/>
                <w:bCs/>
                <w:sz w:val="24"/>
                <w:szCs w:val="24"/>
              </w:rPr>
            </w:pPr>
            <w:r>
              <w:rPr>
                <w:rFonts w:ascii="宋体" w:hAnsi="宋体" w:cs="黑体"/>
                <w:bCs/>
                <w:sz w:val="24"/>
                <w:szCs w:val="24"/>
              </w:rPr>
              <w:t>2</w:t>
            </w:r>
          </w:p>
        </w:tc>
        <w:tc>
          <w:tcPr>
            <w:tcW w:w="814" w:type="pct"/>
            <w:noWrap w:val="0"/>
            <w:vAlign w:val="center"/>
          </w:tcPr>
          <w:p>
            <w:pPr>
              <w:pStyle w:val="50"/>
              <w:ind w:left="0" w:leftChars="0" w:firstLine="0" w:firstLineChars="0"/>
              <w:rPr>
                <w:rFonts w:hint="default" w:ascii="宋体" w:hAnsi="宋体" w:cs="黑体"/>
                <w:bCs/>
                <w:sz w:val="24"/>
                <w:szCs w:val="24"/>
              </w:rPr>
            </w:pPr>
            <w:r>
              <w:rPr>
                <w:rFonts w:ascii="宋体" w:hAnsi="宋体" w:cs="Arial"/>
                <w:sz w:val="24"/>
                <w:szCs w:val="24"/>
              </w:rPr>
              <w:t>审方干预自定义</w:t>
            </w:r>
          </w:p>
        </w:tc>
        <w:tc>
          <w:tcPr>
            <w:tcW w:w="3698" w:type="pct"/>
            <w:noWrap w:val="0"/>
            <w:vAlign w:val="center"/>
          </w:tcPr>
          <w:p>
            <w:pPr>
              <w:rPr>
                <w:rFonts w:hint="default" w:ascii="宋体" w:hAnsi="宋体" w:cs="Arial"/>
                <w:sz w:val="24"/>
                <w:szCs w:val="24"/>
              </w:rPr>
            </w:pPr>
            <w:r>
              <w:rPr>
                <w:rFonts w:ascii="宋体" w:hAnsi="宋体" w:cs="Arial"/>
                <w:sz w:val="24"/>
                <w:szCs w:val="24"/>
              </w:rPr>
              <w:t>为了贴合医院实际需要，系统为用户提供审方干预自定义功能。</w:t>
            </w:r>
          </w:p>
          <w:p>
            <w:pPr>
              <w:rPr>
                <w:rFonts w:hint="default" w:ascii="宋体" w:hAnsi="宋体" w:cs="Arial"/>
                <w:sz w:val="24"/>
                <w:szCs w:val="24"/>
              </w:rPr>
            </w:pPr>
            <w:r>
              <w:rPr>
                <w:rFonts w:ascii="宋体" w:hAnsi="宋体" w:cs="Arial"/>
                <w:sz w:val="24"/>
                <w:szCs w:val="24"/>
              </w:rPr>
              <w:t>用户可以设置审方时限即超过规定时限，待审查处方自动通过，避免患者等待时间过长。</w:t>
            </w:r>
          </w:p>
          <w:p>
            <w:pPr>
              <w:rPr>
                <w:rFonts w:hint="default" w:ascii="宋体" w:hAnsi="宋体" w:cs="Arial"/>
                <w:sz w:val="24"/>
                <w:szCs w:val="24"/>
              </w:rPr>
            </w:pPr>
            <w:r>
              <w:rPr>
                <w:rFonts w:ascii="宋体" w:hAnsi="宋体" w:cs="Arial"/>
                <w:sz w:val="24"/>
                <w:szCs w:val="24"/>
              </w:rPr>
              <w:t>用户可以设置需要药师人工审查的问题处方（医嘱）的问题严重程度和审查项目。系统审查后，问题严重程度低的处方（医嘱）直接通过，药师只审查问题严重程度高的问题处方（医嘱）即可，减轻药师工作量。</w:t>
            </w:r>
          </w:p>
          <w:p>
            <w:pPr>
              <w:rPr>
                <w:rFonts w:hint="default" w:ascii="宋体" w:hAnsi="宋体" w:cs="Arial"/>
                <w:sz w:val="24"/>
                <w:szCs w:val="24"/>
              </w:rPr>
            </w:pPr>
            <w:r>
              <w:rPr>
                <w:rFonts w:ascii="宋体" w:hAnsi="宋体" w:cs="Arial"/>
                <w:sz w:val="24"/>
                <w:szCs w:val="24"/>
              </w:rPr>
              <w:t>非药师审方工作时间，可将系统关闭，关闭时若有未处理任务，系统先提示，用户确认后，未处理的任务全部自动通过，处方状态标记为“系统关闭-自动通过”。系统关闭期间传过来的处方自动通过，系统不审查，不影响处方（医嘱）执行。</w:t>
            </w:r>
          </w:p>
          <w:p>
            <w:pPr>
              <w:rPr>
                <w:rFonts w:hint="default" w:ascii="宋体" w:hAnsi="宋体" w:cs="Arial"/>
                <w:sz w:val="24"/>
                <w:szCs w:val="24"/>
              </w:rPr>
            </w:pPr>
            <w:r>
              <w:rPr>
                <w:rFonts w:ascii="宋体" w:hAnsi="宋体" w:cs="Arial"/>
                <w:sz w:val="24"/>
                <w:szCs w:val="24"/>
              </w:rPr>
              <w:t>可将任意医生、疾病、药品设置为重点关注，包含重点关注信息的处方由药师进行全面审查。</w:t>
            </w:r>
          </w:p>
          <w:p>
            <w:pPr>
              <w:rPr>
                <w:rFonts w:hint="default" w:ascii="宋体" w:hAnsi="宋体" w:cs="宋体"/>
                <w:kern w:val="0"/>
                <w:sz w:val="24"/>
                <w:szCs w:val="24"/>
              </w:rPr>
            </w:pPr>
            <w:r>
              <w:rPr>
                <w:rFonts w:ascii="宋体" w:hAnsi="宋体" w:cs="Arial"/>
                <w:sz w:val="24"/>
                <w:szCs w:val="24"/>
              </w:rPr>
              <w:t>用户可根据实际情况对药师是否可以赋予医生强制执行权限进行设置。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1" w:hRule="atLeast"/>
        </w:trPr>
        <w:tc>
          <w:tcPr>
            <w:tcW w:w="488" w:type="pct"/>
            <w:noWrap w:val="0"/>
            <w:vAlign w:val="center"/>
          </w:tcPr>
          <w:p>
            <w:pPr>
              <w:pStyle w:val="50"/>
              <w:ind w:left="0" w:leftChars="0" w:firstLine="0" w:firstLineChars="0"/>
              <w:jc w:val="center"/>
              <w:rPr>
                <w:rFonts w:hint="default" w:ascii="宋体" w:hAnsi="宋体" w:cs="黑体"/>
                <w:bCs/>
                <w:sz w:val="24"/>
                <w:szCs w:val="24"/>
              </w:rPr>
            </w:pPr>
            <w:r>
              <w:rPr>
                <w:rFonts w:ascii="宋体" w:hAnsi="宋体" w:cs="黑体"/>
                <w:bCs/>
                <w:sz w:val="24"/>
                <w:szCs w:val="24"/>
              </w:rPr>
              <w:t>3</w:t>
            </w:r>
          </w:p>
        </w:tc>
        <w:tc>
          <w:tcPr>
            <w:tcW w:w="814" w:type="pct"/>
            <w:noWrap w:val="0"/>
            <w:vAlign w:val="center"/>
          </w:tcPr>
          <w:p>
            <w:pPr>
              <w:rPr>
                <w:rFonts w:hint="default" w:ascii="宋体" w:hAnsi="宋体" w:cs="Arial"/>
                <w:sz w:val="24"/>
                <w:szCs w:val="24"/>
              </w:rPr>
            </w:pPr>
            <w:r>
              <w:rPr>
                <w:rFonts w:ascii="宋体" w:hAnsi="宋体" w:cs="Arial"/>
                <w:sz w:val="24"/>
                <w:szCs w:val="24"/>
              </w:rPr>
              <w:t>任务分配功能</w:t>
            </w:r>
          </w:p>
        </w:tc>
        <w:tc>
          <w:tcPr>
            <w:tcW w:w="3698" w:type="pct"/>
            <w:noWrap w:val="0"/>
            <w:vAlign w:val="center"/>
          </w:tcPr>
          <w:p>
            <w:pPr>
              <w:rPr>
                <w:rFonts w:hint="default" w:ascii="宋体" w:hAnsi="宋体" w:cs="Arial"/>
                <w:sz w:val="24"/>
                <w:szCs w:val="24"/>
              </w:rPr>
            </w:pPr>
            <w:r>
              <w:rPr>
                <w:rFonts w:ascii="宋体" w:hAnsi="宋体" w:cs="Arial"/>
                <w:sz w:val="24"/>
                <w:szCs w:val="24"/>
              </w:rPr>
              <w:t>多个药师同时使用系统进行审方工作，为避免任务分配不均等问题，系统处方分配按如下原则进行：</w:t>
            </w:r>
          </w:p>
          <w:p>
            <w:pPr>
              <w:rPr>
                <w:rFonts w:hint="default" w:ascii="宋体" w:hAnsi="宋体" w:cs="Arial"/>
                <w:sz w:val="24"/>
                <w:szCs w:val="24"/>
              </w:rPr>
            </w:pPr>
            <w:r>
              <w:rPr>
                <w:rFonts w:ascii="宋体" w:hAnsi="宋体" w:cs="Arial"/>
                <w:sz w:val="24"/>
                <w:szCs w:val="24"/>
              </w:rPr>
              <w:t>（1）多个药师同时工作时先根据权限分配（不同的药师审核不同科室的处方），相同权限范围内随机分配。</w:t>
            </w:r>
          </w:p>
          <w:p>
            <w:pPr>
              <w:rPr>
                <w:rFonts w:hint="default" w:ascii="宋体" w:hAnsi="宋体" w:cs="Arial"/>
                <w:sz w:val="24"/>
                <w:szCs w:val="24"/>
              </w:rPr>
            </w:pPr>
            <w:r>
              <w:rPr>
                <w:rFonts w:ascii="宋体" w:hAnsi="宋体" w:cs="Arial"/>
                <w:sz w:val="24"/>
                <w:szCs w:val="24"/>
              </w:rPr>
              <w:t>（2）门诊一张处方即为一个任务，若有多个任务，按（1）原则分配。一张处方没有通过之前，所有修改版本都分配给同一个药师。</w:t>
            </w:r>
          </w:p>
          <w:p>
            <w:pPr>
              <w:rPr>
                <w:rFonts w:hint="default" w:ascii="宋体" w:hAnsi="宋体" w:cs="宋体"/>
                <w:kern w:val="0"/>
                <w:sz w:val="24"/>
                <w:szCs w:val="24"/>
              </w:rPr>
            </w:pPr>
            <w:r>
              <w:rPr>
                <w:rFonts w:ascii="宋体" w:hAnsi="宋体" w:cs="Arial"/>
                <w:sz w:val="24"/>
                <w:szCs w:val="24"/>
              </w:rPr>
              <w:t>住院医嘱以病人为单位进行管理，同一个病人的所有医嘱任务都分配给同一个药师。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1" w:hRule="atLeast"/>
        </w:trPr>
        <w:tc>
          <w:tcPr>
            <w:tcW w:w="488" w:type="pct"/>
            <w:noWrap w:val="0"/>
            <w:vAlign w:val="center"/>
          </w:tcPr>
          <w:p>
            <w:pPr>
              <w:pStyle w:val="50"/>
              <w:ind w:left="0" w:leftChars="0" w:firstLine="0" w:firstLineChars="0"/>
              <w:jc w:val="center"/>
              <w:rPr>
                <w:rFonts w:hint="default" w:ascii="宋体" w:hAnsi="宋体" w:cs="黑体"/>
                <w:bCs/>
                <w:sz w:val="24"/>
                <w:szCs w:val="24"/>
              </w:rPr>
            </w:pPr>
            <w:r>
              <w:rPr>
                <w:rFonts w:ascii="宋体" w:hAnsi="宋体" w:cs="黑体"/>
                <w:bCs/>
                <w:sz w:val="24"/>
                <w:szCs w:val="24"/>
              </w:rPr>
              <w:t>4</w:t>
            </w:r>
          </w:p>
        </w:tc>
        <w:tc>
          <w:tcPr>
            <w:tcW w:w="814" w:type="pct"/>
            <w:noWrap w:val="0"/>
            <w:vAlign w:val="center"/>
          </w:tcPr>
          <w:p>
            <w:pPr>
              <w:rPr>
                <w:rFonts w:hint="default" w:ascii="宋体" w:hAnsi="宋体" w:cs="Arial"/>
                <w:sz w:val="24"/>
                <w:szCs w:val="24"/>
              </w:rPr>
            </w:pPr>
            <w:r>
              <w:rPr>
                <w:rFonts w:ascii="宋体" w:hAnsi="宋体" w:cs="Arial"/>
                <w:sz w:val="24"/>
                <w:szCs w:val="24"/>
              </w:rPr>
              <w:t>统计分析功能</w:t>
            </w:r>
          </w:p>
        </w:tc>
        <w:tc>
          <w:tcPr>
            <w:tcW w:w="3698" w:type="pct"/>
            <w:noWrap w:val="0"/>
            <w:vAlign w:val="center"/>
          </w:tcPr>
          <w:p>
            <w:pPr>
              <w:rPr>
                <w:rFonts w:hint="default" w:ascii="宋体" w:hAnsi="宋体" w:cs="宋体"/>
                <w:kern w:val="0"/>
                <w:sz w:val="24"/>
                <w:szCs w:val="24"/>
              </w:rPr>
            </w:pPr>
            <w:r>
              <w:rPr>
                <w:rFonts w:ascii="宋体" w:hAnsi="宋体" w:cs="Arial"/>
                <w:sz w:val="24"/>
                <w:szCs w:val="24"/>
              </w:rPr>
              <w:t>系统在药师进行审方干预时，可以对药师干预结果数据进行自动采集和保存，并能提供全面的药师干预结果的统计和分析。用户可以根据需要设定统计条件和统计范围，能生成全院整体情况统计表、药师个人情况统计表、被干预排名表（医生、科室）等报表、柱状统计图、趋势图，为医院的相关部门分析研究和管理药师审方干预情况提供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488" w:type="pct"/>
            <w:noWrap w:val="0"/>
            <w:vAlign w:val="center"/>
          </w:tcPr>
          <w:p>
            <w:pPr>
              <w:pStyle w:val="50"/>
              <w:ind w:left="0" w:leftChars="0" w:firstLine="0" w:firstLineChars="0"/>
              <w:jc w:val="center"/>
              <w:rPr>
                <w:rFonts w:hint="default" w:ascii="宋体" w:hAnsi="宋体" w:cs="黑体"/>
                <w:bCs/>
                <w:sz w:val="24"/>
                <w:szCs w:val="24"/>
              </w:rPr>
            </w:pPr>
            <w:r>
              <w:rPr>
                <w:rFonts w:ascii="宋体" w:hAnsi="宋体" w:cs="黑体"/>
                <w:bCs/>
                <w:sz w:val="24"/>
                <w:szCs w:val="24"/>
              </w:rPr>
              <w:t>5</w:t>
            </w:r>
          </w:p>
        </w:tc>
        <w:tc>
          <w:tcPr>
            <w:tcW w:w="814" w:type="pct"/>
            <w:noWrap w:val="0"/>
            <w:vAlign w:val="center"/>
          </w:tcPr>
          <w:p>
            <w:pPr>
              <w:rPr>
                <w:rFonts w:hint="default" w:ascii="宋体" w:hAnsi="宋体"/>
                <w:bCs/>
                <w:sz w:val="24"/>
                <w:szCs w:val="24"/>
              </w:rPr>
            </w:pPr>
            <w:r>
              <w:rPr>
                <w:rFonts w:ascii="宋体" w:hAnsi="宋体" w:cs="Arial"/>
                <w:sz w:val="24"/>
                <w:szCs w:val="24"/>
              </w:rPr>
              <w:t>处方（医嘱）查询功能</w:t>
            </w:r>
          </w:p>
        </w:tc>
        <w:tc>
          <w:tcPr>
            <w:tcW w:w="3698" w:type="pct"/>
            <w:noWrap w:val="0"/>
            <w:vAlign w:val="center"/>
          </w:tcPr>
          <w:p>
            <w:pPr>
              <w:rPr>
                <w:rFonts w:hint="default" w:ascii="宋体" w:hAnsi="宋体" w:cs="宋体"/>
                <w:kern w:val="0"/>
                <w:sz w:val="24"/>
                <w:szCs w:val="24"/>
              </w:rPr>
            </w:pPr>
            <w:r>
              <w:rPr>
                <w:rFonts w:ascii="宋体" w:hAnsi="宋体" w:cs="Arial"/>
                <w:sz w:val="24"/>
                <w:szCs w:val="24"/>
              </w:rPr>
              <w:t>用户可以查看历史处方（医嘱）详细信息和药师干预的详细记录。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488" w:type="pct"/>
            <w:noWrap w:val="0"/>
            <w:vAlign w:val="center"/>
          </w:tcPr>
          <w:p>
            <w:pPr>
              <w:jc w:val="center"/>
              <w:rPr>
                <w:rFonts w:hint="default" w:ascii="宋体" w:hAnsi="宋体"/>
                <w:sz w:val="24"/>
                <w:szCs w:val="24"/>
              </w:rPr>
            </w:pPr>
            <w:r>
              <w:rPr>
                <w:rFonts w:ascii="宋体" w:hAnsi="宋体"/>
                <w:sz w:val="24"/>
                <w:szCs w:val="24"/>
              </w:rPr>
              <w:t>6</w:t>
            </w:r>
          </w:p>
        </w:tc>
        <w:tc>
          <w:tcPr>
            <w:tcW w:w="814" w:type="pct"/>
            <w:noWrap w:val="0"/>
            <w:vAlign w:val="center"/>
          </w:tcPr>
          <w:p>
            <w:pPr>
              <w:rPr>
                <w:rFonts w:hint="default" w:ascii="宋体" w:hAnsi="宋体"/>
                <w:sz w:val="24"/>
                <w:szCs w:val="24"/>
              </w:rPr>
            </w:pPr>
            <w:r>
              <w:rPr>
                <w:rFonts w:ascii="宋体" w:hAnsi="宋体"/>
                <w:sz w:val="24"/>
                <w:szCs w:val="24"/>
              </w:rPr>
              <w:t>其他</w:t>
            </w:r>
          </w:p>
        </w:tc>
        <w:tc>
          <w:tcPr>
            <w:tcW w:w="3698" w:type="pct"/>
            <w:noWrap w:val="0"/>
            <w:vAlign w:val="center"/>
          </w:tcPr>
          <w:p>
            <w:pPr>
              <w:rPr>
                <w:rFonts w:hint="default" w:ascii="宋体" w:hAnsi="宋体"/>
                <w:sz w:val="24"/>
                <w:szCs w:val="24"/>
              </w:rPr>
            </w:pPr>
            <w:r>
              <w:rPr>
                <w:rFonts w:ascii="宋体" w:hAnsi="宋体"/>
                <w:sz w:val="24"/>
                <w:szCs w:val="24"/>
              </w:rPr>
              <w:t>满足电子病历4级标准要求内容。</w:t>
            </w:r>
          </w:p>
        </w:tc>
      </w:tr>
    </w:tbl>
    <w:p>
      <w:pPr>
        <w:pStyle w:val="5"/>
        <w:numPr>
          <w:ilvl w:val="2"/>
          <w:numId w:val="13"/>
        </w:numPr>
        <w:spacing w:before="0" w:after="0" w:line="360" w:lineRule="auto"/>
        <w:rPr>
          <w:rFonts w:ascii="宋体" w:hAnsi="宋体"/>
        </w:rPr>
      </w:pPr>
      <w:r>
        <w:rPr>
          <w:rFonts w:hint="eastAsia" w:ascii="宋体" w:hAnsi="宋体"/>
        </w:rPr>
        <w:t>防统方系统</w:t>
      </w:r>
    </w:p>
    <w:tbl>
      <w:tblPr>
        <w:tblStyle w:val="5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0"/>
        <w:gridCol w:w="1571"/>
        <w:gridCol w:w="62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blHeader/>
          <w:jc w:val="center"/>
        </w:trPr>
        <w:tc>
          <w:tcPr>
            <w:tcW w:w="440" w:type="pct"/>
            <w:noWrap w:val="0"/>
            <w:vAlign w:val="center"/>
          </w:tcPr>
          <w:p>
            <w:pPr>
              <w:snapToGrid w:val="0"/>
              <w:spacing w:line="340" w:lineRule="exact"/>
              <w:jc w:val="center"/>
              <w:rPr>
                <w:rFonts w:hint="default" w:ascii="宋体" w:hAnsi="宋体" w:cs="宋体"/>
                <w:b/>
                <w:bCs/>
                <w:sz w:val="24"/>
                <w:szCs w:val="24"/>
              </w:rPr>
            </w:pPr>
            <w:r>
              <w:rPr>
                <w:rFonts w:ascii="宋体" w:hAnsi="宋体" w:cs="宋体"/>
                <w:b/>
                <w:bCs/>
                <w:sz w:val="24"/>
                <w:szCs w:val="24"/>
              </w:rPr>
              <w:t>序号</w:t>
            </w:r>
          </w:p>
        </w:tc>
        <w:tc>
          <w:tcPr>
            <w:tcW w:w="922" w:type="pct"/>
            <w:noWrap w:val="0"/>
            <w:vAlign w:val="center"/>
          </w:tcPr>
          <w:p>
            <w:pPr>
              <w:snapToGrid w:val="0"/>
              <w:spacing w:line="340" w:lineRule="exact"/>
              <w:jc w:val="center"/>
              <w:rPr>
                <w:rFonts w:hint="default" w:ascii="宋体" w:hAnsi="宋体" w:cs="宋体"/>
                <w:b/>
                <w:bCs/>
                <w:sz w:val="24"/>
                <w:szCs w:val="24"/>
              </w:rPr>
            </w:pPr>
            <w:r>
              <w:rPr>
                <w:rFonts w:ascii="宋体" w:hAnsi="宋体" w:cs="宋体"/>
                <w:b/>
                <w:bCs/>
                <w:sz w:val="24"/>
                <w:szCs w:val="24"/>
              </w:rPr>
              <w:t>功能模块</w:t>
            </w:r>
          </w:p>
        </w:tc>
        <w:tc>
          <w:tcPr>
            <w:tcW w:w="3638" w:type="pct"/>
            <w:noWrap w:val="0"/>
            <w:vAlign w:val="center"/>
          </w:tcPr>
          <w:p>
            <w:pPr>
              <w:snapToGrid w:val="0"/>
              <w:spacing w:line="340" w:lineRule="exact"/>
              <w:jc w:val="center"/>
              <w:rPr>
                <w:rFonts w:hint="default" w:ascii="宋体" w:hAnsi="宋体" w:cs="宋体"/>
                <w:b/>
                <w:bCs/>
                <w:sz w:val="24"/>
                <w:szCs w:val="24"/>
              </w:rPr>
            </w:pPr>
            <w:r>
              <w:rPr>
                <w:rFonts w:ascii="宋体" w:hAnsi="宋体" w:cs="宋体"/>
                <w:b/>
                <w:bCs/>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40" w:type="pct"/>
            <w:vMerge w:val="restart"/>
            <w:noWrap w:val="0"/>
            <w:vAlign w:val="center"/>
          </w:tcPr>
          <w:p>
            <w:pPr>
              <w:snapToGrid w:val="0"/>
              <w:spacing w:line="340" w:lineRule="exact"/>
              <w:jc w:val="center"/>
              <w:rPr>
                <w:rFonts w:hint="default" w:ascii="宋体" w:hAnsi="宋体" w:cs="宋体"/>
                <w:sz w:val="24"/>
                <w:szCs w:val="24"/>
              </w:rPr>
            </w:pPr>
            <w:r>
              <w:rPr>
                <w:rFonts w:ascii="宋体" w:hAnsi="宋体" w:cs="宋体"/>
                <w:sz w:val="24"/>
                <w:szCs w:val="24"/>
              </w:rPr>
              <w:t>1</w:t>
            </w:r>
          </w:p>
        </w:tc>
        <w:tc>
          <w:tcPr>
            <w:tcW w:w="922" w:type="pct"/>
            <w:vMerge w:val="restart"/>
            <w:noWrap w:val="0"/>
            <w:vAlign w:val="center"/>
          </w:tcPr>
          <w:p>
            <w:pPr>
              <w:snapToGrid w:val="0"/>
              <w:spacing w:line="340" w:lineRule="exact"/>
              <w:jc w:val="center"/>
              <w:rPr>
                <w:rFonts w:hint="default" w:ascii="宋体" w:hAnsi="宋体" w:cs="宋体"/>
                <w:bCs/>
                <w:sz w:val="24"/>
                <w:szCs w:val="24"/>
              </w:rPr>
            </w:pPr>
            <w:r>
              <w:rPr>
                <w:rFonts w:ascii="宋体" w:hAnsi="宋体" w:cs="宋体"/>
                <w:bCs/>
                <w:sz w:val="24"/>
                <w:szCs w:val="24"/>
              </w:rPr>
              <w:t>系统架构</w:t>
            </w: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系统具有采用旁路部署方式，不需要更改现有网络结构、服务器相关配置，系统运行不得影响现有网络和业务的正常运行。系统应能独立完成审计数据采集，不依赖于数据库自身审计日志系统，不得在现有服务器上安装可能带来风险的程序</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采用B/S架构，提供中文WEB管理界面以便于管理。并应可以根据不同的安全级别采用不同的实时告警响应方式，包括记录、消息、鸣音、邮件等，</w:t>
            </w:r>
            <w:r>
              <w:rPr>
                <w:rFonts w:ascii="宋体" w:hAnsi="宋体" w:cs="宋体"/>
                <w:sz w:val="24"/>
                <w:szCs w:val="24"/>
                <w:lang w:eastAsia="zh-Hans"/>
              </w:rPr>
              <w:t>支持对接</w:t>
            </w:r>
            <w:r>
              <w:rPr>
                <w:rFonts w:ascii="宋体" w:hAnsi="宋体" w:cs="宋体"/>
                <w:sz w:val="24"/>
                <w:szCs w:val="24"/>
              </w:rPr>
              <w:t>短信平台</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系统具有双密码用户，安全性更高</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所有系统数据都具有加密传输，防止信息外泄</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40" w:type="pct"/>
            <w:vMerge w:val="continue"/>
            <w:noWrap w:val="0"/>
            <w:vAlign w:val="center"/>
          </w:tcPr>
          <w:p>
            <w:pPr>
              <w:jc w:val="center"/>
              <w:rPr>
                <w:rFonts w:hint="default" w:ascii="宋体" w:hAnsi="宋体" w:cs="宋体"/>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rPr>
            </w:pPr>
            <w:r>
              <w:rPr>
                <w:rFonts w:ascii="宋体" w:hAnsi="宋体" w:cs="宋体"/>
                <w:sz w:val="24"/>
                <w:szCs w:val="24"/>
              </w:rPr>
              <w:t>系统的时间可以和关键服务器中的数据库的时间进行同步，确保记录时间的一致性。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restart"/>
            <w:noWrap w:val="0"/>
            <w:vAlign w:val="center"/>
          </w:tcPr>
          <w:p>
            <w:pPr>
              <w:snapToGrid w:val="0"/>
              <w:spacing w:line="340" w:lineRule="exact"/>
              <w:jc w:val="center"/>
              <w:rPr>
                <w:rFonts w:hint="default" w:ascii="宋体" w:hAnsi="宋体" w:cs="宋体"/>
                <w:sz w:val="24"/>
                <w:szCs w:val="24"/>
              </w:rPr>
            </w:pPr>
            <w:r>
              <w:rPr>
                <w:rFonts w:ascii="宋体" w:hAnsi="宋体" w:cs="宋体"/>
                <w:sz w:val="24"/>
                <w:szCs w:val="24"/>
              </w:rPr>
              <w:t>2</w:t>
            </w:r>
          </w:p>
        </w:tc>
        <w:tc>
          <w:tcPr>
            <w:tcW w:w="922" w:type="pct"/>
            <w:vMerge w:val="restart"/>
            <w:noWrap w:val="0"/>
            <w:vAlign w:val="center"/>
          </w:tcPr>
          <w:p>
            <w:pPr>
              <w:snapToGrid w:val="0"/>
              <w:spacing w:line="340" w:lineRule="exact"/>
              <w:jc w:val="center"/>
              <w:rPr>
                <w:rFonts w:hint="default" w:ascii="宋体" w:hAnsi="宋体" w:cs="宋体"/>
                <w:bCs/>
                <w:sz w:val="24"/>
                <w:szCs w:val="24"/>
              </w:rPr>
            </w:pPr>
            <w:r>
              <w:rPr>
                <w:rFonts w:ascii="宋体" w:hAnsi="宋体" w:cs="宋体"/>
                <w:bCs/>
                <w:sz w:val="24"/>
                <w:szCs w:val="24"/>
              </w:rPr>
              <w:t>系统性能</w:t>
            </w: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系统具有软硬一体机，具有千兆以上网络环境及大概至少1500个客户端同时并发的监控，应达到每秒50000个以上的事务处理能力</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审计数据应能永久保存（请注明内接硬盘的容量大小及具有的最大容量），并具有外接存储设备进行备份。数据应进行加密保管，只能通过专门工具进行恢复和查询浏览</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具有集群,系统具有冗余备份</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40" w:type="pct"/>
            <w:vMerge w:val="continue"/>
            <w:noWrap w:val="0"/>
            <w:vAlign w:val="center"/>
          </w:tcPr>
          <w:p>
            <w:pPr>
              <w:jc w:val="center"/>
              <w:rPr>
                <w:rFonts w:hint="default" w:ascii="宋体" w:hAnsi="宋体" w:cs="宋体"/>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rPr>
            </w:pPr>
            <w:r>
              <w:rPr>
                <w:rFonts w:ascii="宋体" w:hAnsi="宋体" w:cs="宋体"/>
                <w:sz w:val="24"/>
                <w:szCs w:val="24"/>
              </w:rPr>
              <w:t>系统配置文件具有导入、导出。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noWrap w:val="0"/>
            <w:vAlign w:val="center"/>
          </w:tcPr>
          <w:p>
            <w:pPr>
              <w:snapToGrid w:val="0"/>
              <w:spacing w:line="340" w:lineRule="exact"/>
              <w:jc w:val="center"/>
              <w:rPr>
                <w:rFonts w:hint="default" w:ascii="宋体" w:hAnsi="宋体" w:cs="宋体"/>
                <w:bCs/>
                <w:kern w:val="0"/>
                <w:sz w:val="24"/>
                <w:szCs w:val="24"/>
              </w:rPr>
            </w:pPr>
            <w:r>
              <w:rPr>
                <w:rFonts w:ascii="宋体" w:hAnsi="宋体" w:cs="宋体"/>
                <w:bCs/>
                <w:kern w:val="0"/>
                <w:sz w:val="24"/>
                <w:szCs w:val="24"/>
              </w:rPr>
              <w:t>3</w:t>
            </w:r>
          </w:p>
        </w:tc>
        <w:tc>
          <w:tcPr>
            <w:tcW w:w="922" w:type="pct"/>
            <w:noWrap w:val="0"/>
            <w:vAlign w:val="center"/>
          </w:tcPr>
          <w:p>
            <w:pPr>
              <w:snapToGrid w:val="0"/>
              <w:spacing w:line="340" w:lineRule="exact"/>
              <w:jc w:val="center"/>
              <w:rPr>
                <w:rFonts w:hint="default" w:ascii="宋体" w:hAnsi="宋体" w:cs="宋体"/>
                <w:bCs/>
                <w:kern w:val="0"/>
                <w:sz w:val="24"/>
                <w:szCs w:val="24"/>
              </w:rPr>
            </w:pPr>
            <w:r>
              <w:rPr>
                <w:rFonts w:ascii="宋体" w:hAnsi="宋体" w:cs="宋体"/>
                <w:bCs/>
                <w:kern w:val="0"/>
                <w:sz w:val="24"/>
                <w:szCs w:val="24"/>
              </w:rPr>
              <w:t>数据库</w:t>
            </w:r>
          </w:p>
        </w:tc>
        <w:tc>
          <w:tcPr>
            <w:tcW w:w="3638" w:type="pct"/>
            <w:noWrap w:val="0"/>
            <w:vAlign w:val="center"/>
          </w:tcPr>
          <w:p>
            <w:pPr>
              <w:snapToGrid w:val="0"/>
              <w:spacing w:line="340" w:lineRule="exact"/>
              <w:rPr>
                <w:rFonts w:hint="default" w:ascii="宋体" w:hAnsi="宋体" w:cs="宋体"/>
                <w:kern w:val="0"/>
                <w:sz w:val="24"/>
                <w:szCs w:val="24"/>
              </w:rPr>
            </w:pPr>
            <w:r>
              <w:rPr>
                <w:rFonts w:ascii="宋体" w:hAnsi="宋体" w:cs="宋体"/>
                <w:sz w:val="24"/>
                <w:szCs w:val="24"/>
              </w:rPr>
              <w:t>具有对Oracle、MS-SQL 、DB2、MYSQL、CACHE DB、POSTGRESQL和Sybase 等主流数据库提供自动化评估、审计和保护功能,可审计的数据库或集群数量不少于6个，并具有单家医疗机构多种类型数据库并存的信息系统。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440" w:type="pct"/>
            <w:vMerge w:val="restart"/>
            <w:noWrap w:val="0"/>
            <w:vAlign w:val="center"/>
          </w:tcPr>
          <w:p>
            <w:pPr>
              <w:snapToGrid w:val="0"/>
              <w:spacing w:line="340" w:lineRule="exact"/>
              <w:jc w:val="center"/>
              <w:rPr>
                <w:rFonts w:hint="default" w:ascii="宋体" w:hAnsi="宋体" w:cs="宋体"/>
                <w:sz w:val="24"/>
                <w:szCs w:val="24"/>
              </w:rPr>
            </w:pPr>
            <w:r>
              <w:rPr>
                <w:rFonts w:ascii="宋体" w:hAnsi="宋体" w:cs="宋体"/>
                <w:sz w:val="24"/>
                <w:szCs w:val="24"/>
              </w:rPr>
              <w:t>4</w:t>
            </w:r>
          </w:p>
        </w:tc>
        <w:tc>
          <w:tcPr>
            <w:tcW w:w="922" w:type="pct"/>
            <w:vMerge w:val="restart"/>
            <w:noWrap w:val="0"/>
            <w:vAlign w:val="center"/>
          </w:tcPr>
          <w:p>
            <w:pPr>
              <w:snapToGrid w:val="0"/>
              <w:spacing w:line="340" w:lineRule="exact"/>
              <w:jc w:val="center"/>
              <w:rPr>
                <w:rFonts w:hint="default" w:ascii="宋体" w:hAnsi="宋体" w:cs="宋体"/>
                <w:bCs/>
                <w:sz w:val="24"/>
                <w:szCs w:val="24"/>
              </w:rPr>
            </w:pPr>
            <w:r>
              <w:rPr>
                <w:rFonts w:ascii="宋体" w:hAnsi="宋体" w:cs="宋体"/>
                <w:bCs/>
                <w:sz w:val="24"/>
                <w:szCs w:val="24"/>
              </w:rPr>
              <w:t>用户权限</w:t>
            </w: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通过定义用户角色，灵活制定每个用户所拥有的权限，权限颗粒度能控制到界面视图和按钮操作</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rPr>
            </w:pPr>
            <w:r>
              <w:rPr>
                <w:rFonts w:ascii="宋体" w:hAnsi="宋体" w:cs="宋体"/>
                <w:sz w:val="24"/>
                <w:szCs w:val="24"/>
              </w:rPr>
              <w:t>管理、审计用户权限分开，相应权限的用户只能查看、管理相应的系统功能，责任明确。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restart"/>
            <w:noWrap w:val="0"/>
            <w:vAlign w:val="center"/>
          </w:tcPr>
          <w:p>
            <w:pPr>
              <w:snapToGrid w:val="0"/>
              <w:spacing w:line="340" w:lineRule="exact"/>
              <w:jc w:val="center"/>
              <w:rPr>
                <w:rFonts w:hint="default" w:ascii="宋体" w:hAnsi="宋体" w:cs="宋体"/>
                <w:bCs/>
                <w:sz w:val="24"/>
                <w:szCs w:val="24"/>
              </w:rPr>
            </w:pPr>
            <w:r>
              <w:rPr>
                <w:rFonts w:ascii="宋体" w:hAnsi="宋体" w:cs="宋体"/>
                <w:bCs/>
                <w:sz w:val="24"/>
                <w:szCs w:val="24"/>
              </w:rPr>
              <w:t>5</w:t>
            </w:r>
          </w:p>
        </w:tc>
        <w:tc>
          <w:tcPr>
            <w:tcW w:w="922" w:type="pct"/>
            <w:vMerge w:val="restart"/>
            <w:noWrap w:val="0"/>
            <w:vAlign w:val="center"/>
          </w:tcPr>
          <w:p>
            <w:pPr>
              <w:snapToGrid w:val="0"/>
              <w:spacing w:line="340" w:lineRule="exact"/>
              <w:jc w:val="center"/>
              <w:rPr>
                <w:rFonts w:hint="default" w:ascii="宋体" w:hAnsi="宋体" w:cs="宋体"/>
                <w:bCs/>
                <w:sz w:val="24"/>
                <w:szCs w:val="24"/>
              </w:rPr>
            </w:pPr>
            <w:r>
              <w:rPr>
                <w:rFonts w:ascii="宋体" w:hAnsi="宋体" w:cs="宋体"/>
                <w:bCs/>
                <w:sz w:val="24"/>
                <w:szCs w:val="24"/>
              </w:rPr>
              <w:t>事件管理</w:t>
            </w: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系统从业务流程角度入手，结合核心数据特征，提供了高度集成的“事前+事中+事后”数据防护手段</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40" w:type="pct"/>
            <w:vMerge w:val="continue"/>
            <w:noWrap w:val="0"/>
            <w:vAlign w:val="center"/>
          </w:tcPr>
          <w:p>
            <w:pPr>
              <w:jc w:val="center"/>
              <w:rPr>
                <w:rFonts w:hint="default" w:ascii="宋体" w:hAnsi="宋体" w:cs="宋体"/>
                <w:bCs/>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系统确保最小报警监控时间间隔为5秒，保证统方事件的及时告警</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主动/被动方式监控关键服务器的开放端口，提供扫描现有应用系统的漏洞</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根据客户端应用程序名单，实时阻断非法客户端程序或伪装正常客户端程序对关键服务器的访问</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rPr>
            </w:pPr>
            <w:r>
              <w:rPr>
                <w:rFonts w:ascii="宋体" w:hAnsi="宋体" w:cs="宋体"/>
                <w:sz w:val="24"/>
                <w:szCs w:val="24"/>
              </w:rPr>
              <w:t>阻断可疑会话功能，甄别数据访问，阻止非正常数据会话。能根据预定规则阻断SQL语句的“数据库墙”功能，如根据系统设置的客户端IP/MAC黑名单，以及数据内容中的敏感信息，实时阻断黑名单中的客户端对关键服务器的访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40" w:type="pct"/>
            <w:vMerge w:val="restart"/>
            <w:noWrap w:val="0"/>
            <w:vAlign w:val="center"/>
          </w:tcPr>
          <w:p>
            <w:pPr>
              <w:snapToGrid w:val="0"/>
              <w:spacing w:line="340" w:lineRule="exact"/>
              <w:jc w:val="center"/>
              <w:rPr>
                <w:rFonts w:hint="default" w:ascii="宋体" w:hAnsi="宋体" w:cs="宋体"/>
                <w:bCs/>
                <w:sz w:val="24"/>
                <w:szCs w:val="24"/>
              </w:rPr>
            </w:pPr>
            <w:r>
              <w:rPr>
                <w:rFonts w:ascii="宋体" w:hAnsi="宋体" w:cs="宋体"/>
                <w:bCs/>
                <w:sz w:val="24"/>
                <w:szCs w:val="24"/>
              </w:rPr>
              <w:t>6</w:t>
            </w:r>
          </w:p>
        </w:tc>
        <w:tc>
          <w:tcPr>
            <w:tcW w:w="922" w:type="pct"/>
            <w:vMerge w:val="restart"/>
            <w:noWrap w:val="0"/>
            <w:vAlign w:val="center"/>
          </w:tcPr>
          <w:p>
            <w:pPr>
              <w:snapToGrid w:val="0"/>
              <w:spacing w:line="340" w:lineRule="exact"/>
              <w:jc w:val="center"/>
              <w:rPr>
                <w:rFonts w:hint="default" w:ascii="宋体" w:hAnsi="宋体" w:cs="宋体"/>
                <w:bCs/>
                <w:sz w:val="24"/>
                <w:szCs w:val="24"/>
              </w:rPr>
            </w:pPr>
            <w:r>
              <w:rPr>
                <w:rFonts w:ascii="宋体" w:hAnsi="宋体" w:cs="宋体"/>
                <w:bCs/>
                <w:sz w:val="24"/>
                <w:szCs w:val="24"/>
              </w:rPr>
              <w:t>预警管理</w:t>
            </w: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系统应能对自身的事件（包括登录、系统参数修改、系统异常等）进行审计并预警</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rPr>
            </w:pPr>
            <w:r>
              <w:rPr>
                <w:rFonts w:ascii="宋体" w:hAnsi="宋体" w:cs="宋体"/>
                <w:sz w:val="24"/>
                <w:szCs w:val="24"/>
              </w:rPr>
              <w:t>可针对事件执行指定预警操作，如短信报警, 手机APP告警；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kern w:val="0"/>
                <w:sz w:val="24"/>
                <w:szCs w:val="24"/>
                <w:lang w:eastAsia="zh-Hans"/>
              </w:rPr>
            </w:pPr>
            <w:r>
              <w:rPr>
                <w:rFonts w:ascii="宋体" w:hAnsi="宋体" w:cs="宋体"/>
                <w:sz w:val="24"/>
                <w:szCs w:val="24"/>
              </w:rPr>
              <w:t>统方白名单权限的设置，可对授权统方行为的操作人员工号、操作类型、IP地址、客户端工具、操作系统用户名、主机名、MAC地址、SQL语句和操作的时间范围等条件进行设置，只有通过了授权和验证才可以获得统方权限</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kern w:val="0"/>
                <w:sz w:val="24"/>
                <w:szCs w:val="24"/>
                <w:lang w:eastAsia="zh-Hans"/>
              </w:rPr>
            </w:pPr>
            <w:r>
              <w:rPr>
                <w:rFonts w:ascii="宋体" w:hAnsi="宋体" w:cs="宋体"/>
                <w:sz w:val="24"/>
                <w:szCs w:val="24"/>
              </w:rPr>
              <w:t>可根据SQL执行的时间长短设定规则，如命令执行时长超过30秒进行告警；可根据返回记录数多少设定规则，如SQL操作返回的记录数或受影响的行数大于等于10000行时进行告警</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40" w:type="pct"/>
            <w:vMerge w:val="continue"/>
            <w:noWrap w:val="0"/>
            <w:vAlign w:val="center"/>
          </w:tcPr>
          <w:p>
            <w:pPr>
              <w:jc w:val="center"/>
              <w:rPr>
                <w:rFonts w:hint="default" w:ascii="宋体" w:hAnsi="宋体" w:cs="宋体"/>
                <w:bCs/>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kern w:val="0"/>
                <w:sz w:val="24"/>
                <w:szCs w:val="24"/>
                <w:lang w:eastAsia="zh-Hans"/>
              </w:rPr>
            </w:pPr>
            <w:r>
              <w:rPr>
                <w:rFonts w:ascii="宋体" w:hAnsi="宋体" w:cs="宋体"/>
                <w:sz w:val="24"/>
                <w:szCs w:val="24"/>
              </w:rPr>
              <w:t>提供数据库登录用户名称异常探测、数据库操作源终端异常探测、数据库操作源程序名称异常探测、数据库操作源终端用户名称异常探测，可设定异常黑白名单，对客户端地址、客户端程序、数据库账号、客户端用户名以及执行结果等异常的行为进行异常告警，具有自主学习能力</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sz w:val="24"/>
                <w:szCs w:val="24"/>
              </w:rPr>
            </w:pPr>
          </w:p>
        </w:tc>
        <w:tc>
          <w:tcPr>
            <w:tcW w:w="922" w:type="pct"/>
            <w:vMerge w:val="continue"/>
            <w:noWrap w:val="0"/>
            <w:vAlign w:val="center"/>
          </w:tcPr>
          <w:p>
            <w:pPr>
              <w:jc w:val="center"/>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kern w:val="0"/>
                <w:sz w:val="24"/>
                <w:szCs w:val="24"/>
                <w:lang w:eastAsia="zh-Hans"/>
              </w:rPr>
            </w:pPr>
            <w:r>
              <w:rPr>
                <w:rFonts w:ascii="宋体" w:hAnsi="宋体" w:cs="宋体"/>
                <w:sz w:val="24"/>
                <w:szCs w:val="24"/>
              </w:rPr>
              <w:t>能够检测网络拷贝等操作,能够检测通过网络KVM发出的指令</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restart"/>
            <w:noWrap w:val="0"/>
            <w:vAlign w:val="center"/>
          </w:tcPr>
          <w:p>
            <w:pPr>
              <w:snapToGrid w:val="0"/>
              <w:spacing w:line="340" w:lineRule="exact"/>
              <w:jc w:val="center"/>
              <w:rPr>
                <w:rFonts w:hint="default" w:ascii="宋体" w:hAnsi="宋体" w:cs="宋体"/>
                <w:bCs/>
                <w:kern w:val="0"/>
                <w:sz w:val="24"/>
                <w:szCs w:val="24"/>
              </w:rPr>
            </w:pPr>
            <w:r>
              <w:rPr>
                <w:rFonts w:ascii="宋体" w:hAnsi="宋体" w:cs="宋体"/>
                <w:bCs/>
                <w:kern w:val="0"/>
                <w:sz w:val="24"/>
                <w:szCs w:val="24"/>
              </w:rPr>
              <w:t>7</w:t>
            </w:r>
          </w:p>
        </w:tc>
        <w:tc>
          <w:tcPr>
            <w:tcW w:w="922" w:type="pct"/>
            <w:vMerge w:val="restart"/>
            <w:noWrap w:val="0"/>
            <w:vAlign w:val="center"/>
          </w:tcPr>
          <w:p>
            <w:pPr>
              <w:snapToGrid w:val="0"/>
              <w:spacing w:line="340" w:lineRule="exact"/>
              <w:jc w:val="center"/>
              <w:rPr>
                <w:rFonts w:hint="default" w:ascii="宋体" w:hAnsi="宋体" w:cs="宋体"/>
                <w:bCs/>
                <w:kern w:val="0"/>
                <w:sz w:val="24"/>
                <w:szCs w:val="24"/>
              </w:rPr>
            </w:pPr>
            <w:r>
              <w:rPr>
                <w:rFonts w:ascii="宋体" w:hAnsi="宋体" w:cs="宋体"/>
                <w:bCs/>
                <w:kern w:val="0"/>
                <w:sz w:val="24"/>
                <w:szCs w:val="24"/>
              </w:rPr>
              <w:t>审计方式</w:t>
            </w: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系统应能具有对数据库SQL操作语句的详细审计，可以分析出每条语句的操作方式、表名、存储过程名、详细操作内容，执行时长、操作成功/失败，受影响行数，关联表与关联表数等字段信息，可审计并还原SQL操作语句</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kern w:val="0"/>
                <w:sz w:val="24"/>
                <w:szCs w:val="24"/>
                <w:lang w:eastAsia="zh-Hans"/>
              </w:rPr>
            </w:pPr>
            <w:r>
              <w:rPr>
                <w:rFonts w:ascii="宋体" w:hAnsi="宋体" w:cs="宋体"/>
                <w:sz w:val="24"/>
                <w:szCs w:val="24"/>
              </w:rPr>
              <w:t>可以监控和审计用户对数据库中的数据库表 、视图、序列、包、存储过程、函数、库、索引、同义词、快照、触发器等的创建、修改和删除等，分析的内容可以精确到SQL操作语句一级</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具有对超长SQL语句完整解析</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具有对双向数据包的解析、识别及还原，不仅对数据库操作请求进行实时监控，而且还可对数据库系统返回结果进行完整的还原，根据统方行为的特征实时告警</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具有包括ASCII、Unicode、UTF-8、UTF-16、GB2312、EBCDIC等编码格式，避免因编码格式不同而导致审计报表出现乱码的情况，保证了审计报表的可读性</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sz w:val="24"/>
                <w:szCs w:val="24"/>
              </w:rPr>
            </w:pPr>
            <w:r>
              <w:rPr>
                <w:rFonts w:ascii="宋体" w:hAnsi="宋体" w:cs="宋体"/>
                <w:sz w:val="24"/>
                <w:szCs w:val="24"/>
              </w:rPr>
              <w:t>系统应能具有多个网段客户端对数据库操作行为的会话审计，能够对各种访问数据的途径（如客户端软件、PL/SQL、SQL*Plus、PB、Toad等各种SQL操作工具）进行监控和设计，可以跟踪审计某某时间、某某IP、某某计算机名、某某用户对数据库服务器进行了该类操作，具有可疑对象定位功能，可以精确定位可疑对象的物理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具有加密方式的数据库连接信息分析（如MS SQL SERVER2005及更高版本等）</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sz w:val="24"/>
                <w:szCs w:val="24"/>
              </w:rPr>
            </w:pPr>
            <w:r>
              <w:rPr>
                <w:rFonts w:ascii="宋体" w:hAnsi="宋体" w:cs="宋体"/>
                <w:sz w:val="24"/>
                <w:szCs w:val="24"/>
              </w:rPr>
              <w:t>系统可以监控、记录并且还原客户端连接到服务器的TELNET/FTP等远程登录操作信息，记录内容包括客户端IP地址，客户端MAC地址，服务器地址以及产生记录的时间，并提供多种查询，具有多种文件格式导出。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分析可疑对象的信息，包括IP、端口、MAC、主机名、程序信息、数据库连接信息</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noWrap w:val="0"/>
            <w:vAlign w:val="center"/>
          </w:tcPr>
          <w:p>
            <w:pPr>
              <w:snapToGrid w:val="0"/>
              <w:spacing w:line="340" w:lineRule="exact"/>
              <w:jc w:val="center"/>
              <w:rPr>
                <w:rFonts w:hint="default" w:ascii="宋体" w:hAnsi="宋体" w:cs="宋体"/>
                <w:bCs/>
                <w:kern w:val="0"/>
                <w:sz w:val="24"/>
                <w:szCs w:val="24"/>
              </w:rPr>
            </w:pPr>
            <w:r>
              <w:rPr>
                <w:rFonts w:ascii="宋体" w:hAnsi="宋体" w:cs="宋体"/>
                <w:bCs/>
                <w:kern w:val="0"/>
                <w:sz w:val="24"/>
                <w:szCs w:val="24"/>
              </w:rPr>
              <w:t>8</w:t>
            </w:r>
          </w:p>
        </w:tc>
        <w:tc>
          <w:tcPr>
            <w:tcW w:w="922" w:type="pct"/>
            <w:noWrap w:val="0"/>
            <w:vAlign w:val="center"/>
          </w:tcPr>
          <w:p>
            <w:pPr>
              <w:snapToGrid w:val="0"/>
              <w:spacing w:line="340" w:lineRule="exact"/>
              <w:jc w:val="center"/>
              <w:rPr>
                <w:rFonts w:hint="default" w:ascii="宋体" w:hAnsi="宋体" w:cs="宋体"/>
                <w:bCs/>
                <w:kern w:val="0"/>
                <w:sz w:val="24"/>
                <w:szCs w:val="24"/>
              </w:rPr>
            </w:pPr>
            <w:r>
              <w:rPr>
                <w:rFonts w:ascii="宋体" w:hAnsi="宋体" w:cs="宋体"/>
                <w:bCs/>
                <w:kern w:val="0"/>
                <w:sz w:val="24"/>
                <w:szCs w:val="24"/>
              </w:rPr>
              <w:t>非关注内容过滤</w:t>
            </w:r>
          </w:p>
        </w:tc>
        <w:tc>
          <w:tcPr>
            <w:tcW w:w="3638" w:type="pct"/>
            <w:noWrap w:val="0"/>
            <w:vAlign w:val="center"/>
          </w:tcPr>
          <w:p>
            <w:pPr>
              <w:snapToGrid w:val="0"/>
              <w:spacing w:line="340" w:lineRule="exact"/>
              <w:rPr>
                <w:rFonts w:hint="default" w:ascii="宋体" w:hAnsi="宋体" w:cs="宋体"/>
                <w:kern w:val="0"/>
                <w:sz w:val="24"/>
                <w:szCs w:val="24"/>
              </w:rPr>
            </w:pPr>
            <w:r>
              <w:rPr>
                <w:rFonts w:ascii="宋体" w:hAnsi="宋体" w:cs="宋体"/>
                <w:sz w:val="24"/>
                <w:szCs w:val="24"/>
              </w:rPr>
              <w:t>具有指定非关注策略，系统将非关注的内容进行过滤，不进行记录，降低了存储空间和无用信息的堆砌。策略因子包括：数据库操作来源IP地址、数据库登录用户名称、数据库操作源程序名称、数据库操作源终端名称、数据库操作源终端用户名称、SQL操作语句（DDL、DML、DCL）、数据库表组（表、列）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40" w:type="pct"/>
            <w:vMerge w:val="restart"/>
            <w:noWrap w:val="0"/>
            <w:vAlign w:val="center"/>
          </w:tcPr>
          <w:p>
            <w:pPr>
              <w:snapToGrid w:val="0"/>
              <w:spacing w:line="340" w:lineRule="exact"/>
              <w:jc w:val="center"/>
              <w:rPr>
                <w:rFonts w:hint="default" w:ascii="宋体" w:hAnsi="宋体" w:cs="宋体"/>
                <w:bCs/>
                <w:kern w:val="0"/>
                <w:sz w:val="24"/>
                <w:szCs w:val="24"/>
              </w:rPr>
            </w:pPr>
            <w:r>
              <w:rPr>
                <w:rFonts w:ascii="宋体" w:hAnsi="宋体" w:cs="宋体"/>
                <w:bCs/>
                <w:kern w:val="0"/>
                <w:sz w:val="24"/>
                <w:szCs w:val="24"/>
              </w:rPr>
              <w:t>9</w:t>
            </w:r>
          </w:p>
        </w:tc>
        <w:tc>
          <w:tcPr>
            <w:tcW w:w="922" w:type="pct"/>
            <w:vMerge w:val="restart"/>
            <w:noWrap w:val="0"/>
            <w:vAlign w:val="center"/>
          </w:tcPr>
          <w:p>
            <w:pPr>
              <w:snapToGrid w:val="0"/>
              <w:spacing w:line="340" w:lineRule="exact"/>
              <w:jc w:val="center"/>
              <w:rPr>
                <w:rFonts w:hint="default" w:ascii="宋体" w:hAnsi="宋体" w:cs="宋体"/>
                <w:bCs/>
                <w:kern w:val="0"/>
                <w:sz w:val="24"/>
                <w:szCs w:val="24"/>
              </w:rPr>
            </w:pPr>
            <w:r>
              <w:rPr>
                <w:rFonts w:ascii="宋体" w:hAnsi="宋体" w:cs="宋体"/>
                <w:bCs/>
                <w:kern w:val="0"/>
                <w:sz w:val="24"/>
                <w:szCs w:val="24"/>
              </w:rPr>
              <w:t>审计内容</w:t>
            </w: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具有医院信息管理系统多层结构，提供全方位的三层（应用层、中间层、数据库层）的访问审计，三层关联必需具有自动关联，以提升关联准确度和审计人员追踪索源难度，同时需要具有手动关联，可以直接追踪到前端业务的操作人员IP地址、MAC地址和用户</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具有对指定时间内全院抗菌药物品种、剂型、规格、使用量、使用金额，使用量和使用金额分别排名前N位的抗菌药物品种进行分析，自动生成报表</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具有应用层追踪，通过HIS统方的可以追踪到所使用的HIS工号</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具有Terminal、Studio、Protal、T-SQL、web等五种Cache访问方式审计；具有Cache运行功能</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kern w:val="0"/>
                <w:sz w:val="24"/>
                <w:szCs w:val="24"/>
                <w:lang w:eastAsia="zh-Hans"/>
              </w:rPr>
            </w:pPr>
            <w:r>
              <w:rPr>
                <w:rFonts w:ascii="宋体" w:hAnsi="宋体" w:cs="宋体"/>
                <w:sz w:val="24"/>
                <w:szCs w:val="24"/>
              </w:rPr>
              <w:t>系统对于图形会话的操作审计可以完整记录普通用户的图形操作</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sz w:val="24"/>
                <w:szCs w:val="24"/>
              </w:rPr>
            </w:pPr>
            <w:r>
              <w:rPr>
                <w:rFonts w:ascii="宋体" w:hAnsi="宋体" w:cs="宋体"/>
                <w:sz w:val="24"/>
                <w:szCs w:val="24"/>
              </w:rPr>
              <w:t>对于具有的图形连接的单点登录功能，无需用户输入用户名密码。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restart"/>
            <w:noWrap w:val="0"/>
            <w:vAlign w:val="center"/>
          </w:tcPr>
          <w:p>
            <w:pPr>
              <w:snapToGrid w:val="0"/>
              <w:spacing w:line="340" w:lineRule="exact"/>
              <w:jc w:val="center"/>
              <w:rPr>
                <w:rFonts w:hint="default" w:ascii="宋体" w:hAnsi="宋体" w:cs="宋体"/>
                <w:bCs/>
                <w:kern w:val="0"/>
                <w:sz w:val="24"/>
                <w:szCs w:val="24"/>
              </w:rPr>
            </w:pPr>
            <w:r>
              <w:rPr>
                <w:rFonts w:ascii="宋体" w:hAnsi="宋体" w:cs="宋体"/>
                <w:bCs/>
                <w:kern w:val="0"/>
                <w:sz w:val="24"/>
                <w:szCs w:val="24"/>
              </w:rPr>
              <w:t>10</w:t>
            </w:r>
          </w:p>
        </w:tc>
        <w:tc>
          <w:tcPr>
            <w:tcW w:w="922" w:type="pct"/>
            <w:vMerge w:val="restart"/>
            <w:noWrap w:val="0"/>
            <w:vAlign w:val="center"/>
          </w:tcPr>
          <w:p>
            <w:pPr>
              <w:snapToGrid w:val="0"/>
              <w:spacing w:line="340" w:lineRule="exact"/>
              <w:jc w:val="center"/>
              <w:rPr>
                <w:rFonts w:hint="default" w:ascii="宋体" w:hAnsi="宋体" w:cs="宋体"/>
                <w:bCs/>
                <w:kern w:val="0"/>
                <w:sz w:val="24"/>
                <w:szCs w:val="24"/>
              </w:rPr>
            </w:pPr>
            <w:r>
              <w:rPr>
                <w:rFonts w:ascii="宋体" w:hAnsi="宋体" w:cs="宋体"/>
                <w:bCs/>
                <w:kern w:val="0"/>
                <w:sz w:val="24"/>
                <w:szCs w:val="24"/>
              </w:rPr>
              <w:t>系统监控</w:t>
            </w:r>
          </w:p>
        </w:tc>
        <w:tc>
          <w:tcPr>
            <w:tcW w:w="3638" w:type="pct"/>
            <w:noWrap w:val="0"/>
            <w:vAlign w:val="center"/>
          </w:tcPr>
          <w:p>
            <w:pPr>
              <w:snapToGrid w:val="0"/>
              <w:spacing w:line="340" w:lineRule="exact"/>
              <w:rPr>
                <w:rFonts w:hint="default" w:ascii="宋体" w:hAnsi="宋体" w:cs="宋体"/>
                <w:kern w:val="0"/>
                <w:sz w:val="24"/>
                <w:szCs w:val="24"/>
              </w:rPr>
            </w:pPr>
            <w:r>
              <w:rPr>
                <w:rFonts w:ascii="宋体" w:hAnsi="宋体" w:cs="宋体"/>
                <w:sz w:val="24"/>
                <w:szCs w:val="24"/>
              </w:rPr>
              <w:t>系统内置防统方知识库，且具有自我学习功能。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sz w:val="24"/>
                <w:szCs w:val="24"/>
              </w:rPr>
            </w:pPr>
            <w:r>
              <w:rPr>
                <w:rFonts w:ascii="宋体" w:hAnsi="宋体" w:cs="宋体"/>
                <w:sz w:val="24"/>
                <w:szCs w:val="24"/>
              </w:rPr>
              <w:t>系统内置故障排错系统，判断故障所在，帮助管理人员快速排查问题。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kern w:val="0"/>
                <w:sz w:val="24"/>
                <w:szCs w:val="24"/>
                <w:lang w:eastAsia="zh-Hans"/>
              </w:rPr>
            </w:pPr>
            <w:r>
              <w:rPr>
                <w:rFonts w:ascii="宋体" w:hAnsi="宋体" w:cs="宋体"/>
                <w:sz w:val="24"/>
                <w:szCs w:val="24"/>
              </w:rPr>
              <w:t>具备用户行为记录功能，记录用户所有的操作（业务访问、系统维护、策略配置等）</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center"/>
              <w:rPr>
                <w:rFonts w:hint="default" w:ascii="宋体" w:hAnsi="宋体" w:cs="宋体"/>
                <w:bCs/>
                <w:kern w:val="0"/>
                <w:sz w:val="24"/>
                <w:szCs w:val="24"/>
              </w:rPr>
            </w:pPr>
          </w:p>
        </w:tc>
        <w:tc>
          <w:tcPr>
            <w:tcW w:w="922" w:type="pct"/>
            <w:vMerge w:val="continue"/>
            <w:noWrap w:val="0"/>
            <w:vAlign w:val="center"/>
          </w:tcPr>
          <w:p>
            <w:pPr>
              <w:jc w:val="center"/>
              <w:rPr>
                <w:rFonts w:hint="default" w:ascii="宋体" w:hAnsi="宋体" w:cs="宋体"/>
                <w:bCs/>
                <w:kern w:val="0"/>
                <w:sz w:val="24"/>
                <w:szCs w:val="24"/>
              </w:rPr>
            </w:pPr>
          </w:p>
        </w:tc>
        <w:tc>
          <w:tcPr>
            <w:tcW w:w="3638" w:type="pct"/>
            <w:noWrap w:val="0"/>
            <w:vAlign w:val="center"/>
          </w:tcPr>
          <w:p>
            <w:pPr>
              <w:snapToGrid w:val="0"/>
              <w:spacing w:line="340" w:lineRule="exact"/>
              <w:rPr>
                <w:rFonts w:hint="default" w:ascii="宋体" w:hAnsi="宋体" w:cs="宋体"/>
                <w:sz w:val="24"/>
                <w:szCs w:val="24"/>
              </w:rPr>
            </w:pPr>
            <w:r>
              <w:rPr>
                <w:rFonts w:ascii="宋体" w:hAnsi="宋体" w:cs="宋体"/>
                <w:sz w:val="24"/>
                <w:szCs w:val="24"/>
              </w:rPr>
              <w:t>可疑对象定位功能，可以精确定位可疑对象的物理位置。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restart"/>
            <w:noWrap w:val="0"/>
            <w:vAlign w:val="center"/>
          </w:tcPr>
          <w:p>
            <w:pPr>
              <w:snapToGrid w:val="0"/>
              <w:spacing w:line="340" w:lineRule="exact"/>
              <w:jc w:val="center"/>
              <w:rPr>
                <w:rFonts w:hint="default" w:ascii="宋体" w:hAnsi="宋体" w:cs="宋体"/>
                <w:sz w:val="24"/>
                <w:szCs w:val="24"/>
              </w:rPr>
            </w:pPr>
            <w:r>
              <w:rPr>
                <w:rFonts w:ascii="宋体" w:hAnsi="宋体" w:cs="宋体"/>
                <w:sz w:val="24"/>
                <w:szCs w:val="24"/>
              </w:rPr>
              <w:t>11</w:t>
            </w:r>
          </w:p>
        </w:tc>
        <w:tc>
          <w:tcPr>
            <w:tcW w:w="922" w:type="pct"/>
            <w:vMerge w:val="restart"/>
            <w:noWrap w:val="0"/>
            <w:vAlign w:val="center"/>
          </w:tcPr>
          <w:p>
            <w:pPr>
              <w:snapToGrid w:val="0"/>
              <w:spacing w:line="340" w:lineRule="exact"/>
              <w:jc w:val="center"/>
              <w:rPr>
                <w:rFonts w:hint="default" w:ascii="宋体" w:hAnsi="宋体" w:cs="宋体"/>
                <w:bCs/>
                <w:sz w:val="24"/>
                <w:szCs w:val="24"/>
              </w:rPr>
            </w:pPr>
            <w:r>
              <w:rPr>
                <w:rFonts w:ascii="宋体" w:hAnsi="宋体" w:cs="宋体"/>
                <w:bCs/>
                <w:sz w:val="24"/>
                <w:szCs w:val="24"/>
              </w:rPr>
              <w:t>报表管理</w:t>
            </w: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报表的生成方式分为手工报表和自动报表两种，具有多种格式(excel、pdf、txt等)导出</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left"/>
              <w:rPr>
                <w:rFonts w:hint="default" w:ascii="宋体" w:hAnsi="宋体" w:cs="宋体"/>
                <w:sz w:val="24"/>
                <w:szCs w:val="24"/>
              </w:rPr>
            </w:pPr>
          </w:p>
        </w:tc>
        <w:tc>
          <w:tcPr>
            <w:tcW w:w="922" w:type="pct"/>
            <w:vMerge w:val="continue"/>
            <w:noWrap w:val="0"/>
            <w:vAlign w:val="center"/>
          </w:tcPr>
          <w:p>
            <w:pPr>
              <w:jc w:val="left"/>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kern w:val="0"/>
                <w:sz w:val="24"/>
                <w:szCs w:val="24"/>
                <w:lang w:eastAsia="zh-Hans"/>
              </w:rPr>
            </w:pPr>
            <w:r>
              <w:rPr>
                <w:rFonts w:ascii="宋体" w:hAnsi="宋体" w:cs="宋体"/>
                <w:sz w:val="24"/>
                <w:szCs w:val="24"/>
              </w:rPr>
              <w:t>可以对某统方行为的所有操作以及操作结果关联起来，以报表的形式呈现给使用部门，便于使用部门分析和追溯统方事件</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40" w:type="pct"/>
            <w:vMerge w:val="continue"/>
            <w:noWrap w:val="0"/>
            <w:vAlign w:val="center"/>
          </w:tcPr>
          <w:p>
            <w:pPr>
              <w:jc w:val="left"/>
              <w:rPr>
                <w:rFonts w:hint="default" w:ascii="宋体" w:hAnsi="宋体" w:cs="宋体"/>
                <w:sz w:val="24"/>
                <w:szCs w:val="24"/>
              </w:rPr>
            </w:pPr>
          </w:p>
        </w:tc>
        <w:tc>
          <w:tcPr>
            <w:tcW w:w="922" w:type="pct"/>
            <w:vMerge w:val="continue"/>
            <w:noWrap w:val="0"/>
            <w:vAlign w:val="center"/>
          </w:tcPr>
          <w:p>
            <w:pPr>
              <w:jc w:val="left"/>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kern w:val="0"/>
                <w:sz w:val="24"/>
                <w:szCs w:val="24"/>
                <w:lang w:eastAsia="zh-Hans"/>
              </w:rPr>
            </w:pPr>
            <w:r>
              <w:rPr>
                <w:rFonts w:ascii="宋体" w:hAnsi="宋体" w:cs="宋体"/>
                <w:sz w:val="24"/>
                <w:szCs w:val="24"/>
              </w:rPr>
              <w:t>能够出具针对纪委监察部门的相关人员使用的防统方审计报告（具有每天或多天生成统方审计报告，报告需简单明了，且具有主动将所有的计算机语言翻译成通俗易懂的自然语言的系统机制，具有将整条SQL语句翻译成中文）</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left"/>
              <w:rPr>
                <w:rFonts w:hint="default" w:ascii="宋体" w:hAnsi="宋体" w:cs="宋体"/>
                <w:sz w:val="24"/>
                <w:szCs w:val="24"/>
              </w:rPr>
            </w:pPr>
          </w:p>
        </w:tc>
        <w:tc>
          <w:tcPr>
            <w:tcW w:w="922" w:type="pct"/>
            <w:vMerge w:val="continue"/>
            <w:noWrap w:val="0"/>
            <w:vAlign w:val="center"/>
          </w:tcPr>
          <w:p>
            <w:pPr>
              <w:jc w:val="left"/>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lang w:eastAsia="zh-Hans"/>
              </w:rPr>
            </w:pPr>
            <w:r>
              <w:rPr>
                <w:rFonts w:ascii="宋体" w:hAnsi="宋体" w:cs="宋体"/>
                <w:sz w:val="24"/>
                <w:szCs w:val="24"/>
              </w:rPr>
              <w:t>用户可以根据需要自定义规则，并能根据设定的条件产生审计报告。能对审计结果进行多条件组合查询，比如按下列条件查询：IP地址、MAC地址、表名、操作方式、计算机名、数据库名、程序名等。并就能具有按关键词进行模糊查询。查询结果应具有多种格式(excel、pdf、txt等)导出</w:t>
            </w:r>
            <w:r>
              <w:rPr>
                <w:rFonts w:ascii="宋体" w:hAnsi="宋体" w:cs="宋体"/>
                <w:sz w:val="24"/>
                <w:szCs w:val="24"/>
                <w:lang w:eastAsia="zh-Han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0" w:type="pct"/>
            <w:vMerge w:val="continue"/>
            <w:noWrap w:val="0"/>
            <w:vAlign w:val="center"/>
          </w:tcPr>
          <w:p>
            <w:pPr>
              <w:jc w:val="left"/>
              <w:rPr>
                <w:rFonts w:hint="default" w:ascii="宋体" w:hAnsi="宋体" w:cs="宋体"/>
                <w:sz w:val="24"/>
                <w:szCs w:val="24"/>
              </w:rPr>
            </w:pPr>
          </w:p>
        </w:tc>
        <w:tc>
          <w:tcPr>
            <w:tcW w:w="922" w:type="pct"/>
            <w:vMerge w:val="continue"/>
            <w:noWrap w:val="0"/>
            <w:vAlign w:val="center"/>
          </w:tcPr>
          <w:p>
            <w:pPr>
              <w:jc w:val="left"/>
              <w:rPr>
                <w:rFonts w:hint="default" w:ascii="宋体" w:hAnsi="宋体" w:cs="宋体"/>
                <w:bCs/>
                <w:sz w:val="24"/>
                <w:szCs w:val="24"/>
              </w:rPr>
            </w:pPr>
          </w:p>
        </w:tc>
        <w:tc>
          <w:tcPr>
            <w:tcW w:w="3638" w:type="pct"/>
            <w:noWrap w:val="0"/>
            <w:vAlign w:val="center"/>
          </w:tcPr>
          <w:p>
            <w:pPr>
              <w:snapToGrid w:val="0"/>
              <w:spacing w:line="340" w:lineRule="exact"/>
              <w:rPr>
                <w:rFonts w:hint="default" w:ascii="宋体" w:hAnsi="宋体" w:cs="宋体"/>
                <w:sz w:val="24"/>
                <w:szCs w:val="24"/>
              </w:rPr>
            </w:pPr>
            <w:r>
              <w:rPr>
                <w:rFonts w:ascii="宋体" w:hAnsi="宋体" w:cs="宋体"/>
                <w:sz w:val="24"/>
                <w:szCs w:val="24"/>
              </w:rPr>
              <w:t>应用云计算功能提供数据分析平台，对用户提交的数据进行自主分析，并生成报告和相关建议规则反馈给用户。</w:t>
            </w:r>
          </w:p>
        </w:tc>
      </w:tr>
    </w:tbl>
    <w:p>
      <w:pPr>
        <w:pStyle w:val="5"/>
        <w:numPr>
          <w:ilvl w:val="2"/>
          <w:numId w:val="13"/>
        </w:numPr>
        <w:spacing w:before="0" w:after="0" w:line="360" w:lineRule="auto"/>
        <w:rPr>
          <w:rFonts w:ascii="宋体" w:hAnsi="宋体"/>
        </w:rPr>
      </w:pPr>
      <w:r>
        <w:rPr>
          <w:rFonts w:hint="eastAsia" w:ascii="宋体" w:hAnsi="宋体"/>
        </w:rPr>
        <w:t>人事管理系统</w:t>
      </w:r>
    </w:p>
    <w:tbl>
      <w:tblPr>
        <w:tblStyle w:val="5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2"/>
        <w:gridCol w:w="781"/>
        <w:gridCol w:w="1273"/>
        <w:gridCol w:w="56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tblHeader/>
          <w:jc w:val="center"/>
        </w:trPr>
        <w:tc>
          <w:tcPr>
            <w:tcW w:w="459" w:type="pct"/>
            <w:noWrap w:val="0"/>
            <w:vAlign w:val="center"/>
          </w:tcPr>
          <w:p>
            <w:pPr>
              <w:spacing w:before="120" w:after="120"/>
              <w:jc w:val="center"/>
              <w:rPr>
                <w:rFonts w:hint="default" w:ascii="宋体" w:hAnsi="宋体" w:cs="宋体"/>
                <w:b/>
                <w:sz w:val="24"/>
                <w:szCs w:val="24"/>
              </w:rPr>
            </w:pPr>
            <w:r>
              <w:rPr>
                <w:rFonts w:ascii="宋体" w:hAnsi="宋体" w:cs="宋体"/>
                <w:b/>
                <w:sz w:val="24"/>
                <w:szCs w:val="24"/>
              </w:rPr>
              <w:t>序号</w:t>
            </w:r>
          </w:p>
        </w:tc>
        <w:tc>
          <w:tcPr>
            <w:tcW w:w="458" w:type="pct"/>
            <w:noWrap w:val="0"/>
            <w:vAlign w:val="center"/>
          </w:tcPr>
          <w:p>
            <w:pPr>
              <w:spacing w:before="120" w:after="120"/>
              <w:jc w:val="center"/>
              <w:rPr>
                <w:rFonts w:hint="default" w:ascii="宋体" w:hAnsi="宋体" w:cs="宋体"/>
                <w:b/>
                <w:sz w:val="24"/>
                <w:szCs w:val="24"/>
              </w:rPr>
            </w:pPr>
            <w:r>
              <w:rPr>
                <w:rFonts w:ascii="宋体" w:hAnsi="宋体" w:cs="宋体"/>
                <w:b/>
                <w:sz w:val="24"/>
                <w:szCs w:val="24"/>
              </w:rPr>
              <w:t>分类</w:t>
            </w:r>
          </w:p>
        </w:tc>
        <w:tc>
          <w:tcPr>
            <w:tcW w:w="747" w:type="pct"/>
            <w:noWrap w:val="0"/>
            <w:vAlign w:val="center"/>
          </w:tcPr>
          <w:p>
            <w:pPr>
              <w:spacing w:before="120" w:after="120"/>
              <w:jc w:val="center"/>
              <w:rPr>
                <w:rFonts w:hint="default" w:ascii="宋体" w:hAnsi="宋体" w:cs="宋体"/>
                <w:b/>
                <w:sz w:val="24"/>
                <w:szCs w:val="24"/>
              </w:rPr>
            </w:pPr>
            <w:r>
              <w:rPr>
                <w:rFonts w:ascii="宋体" w:hAnsi="宋体" w:cs="宋体"/>
                <w:b/>
                <w:sz w:val="24"/>
                <w:szCs w:val="24"/>
              </w:rPr>
              <w:t>模块</w:t>
            </w:r>
          </w:p>
        </w:tc>
        <w:tc>
          <w:tcPr>
            <w:tcW w:w="3336" w:type="pct"/>
            <w:noWrap w:val="0"/>
            <w:vAlign w:val="center"/>
          </w:tcPr>
          <w:p>
            <w:pPr>
              <w:spacing w:before="120" w:after="120"/>
              <w:jc w:val="center"/>
              <w:rPr>
                <w:rFonts w:hint="default" w:ascii="宋体" w:hAnsi="宋体" w:cs="宋体"/>
                <w:b/>
                <w:sz w:val="24"/>
                <w:szCs w:val="24"/>
              </w:rPr>
            </w:pPr>
            <w:r>
              <w:rPr>
                <w:rFonts w:ascii="宋体" w:hAnsi="宋体" w:cs="宋体"/>
                <w:b/>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458"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门户在线</w:t>
            </w: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移动工作台</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提供更丰富的工作台信息展现方式，深度集成钉钉，告别传统钉钉工作台的九宫格单调展现形式，打造专属个性化工作台，按需划分各类应用，实现单点登录效果。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PC门户</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支持针对不同部门、团队配置不同的web门户。支持全系统换肤，支持每个门户页面自定义与访问权限控制。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458"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日常办公</w:t>
            </w: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审批流程</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更复杂的审批单据设置、流程节点设置，流程流转分析、可对接第三方系统数据等。可以全面覆盖组织日常各类请假、出差、IT申请、行政服务申请、财务申请等。更可支持各类营销、项目、研发业务流程审批与管理，支持与ERP系统等对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会议管理</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会议室资源预约，管控会议的发起、沟通、纪要、执行，与日程自动同步，提升组织协同力。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工作总结</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日、周、月、季度、年、半年、阶段性七种周期性的计划与总结模板系统，计划与总结联动，目标管理更有效；点评互动，培养组织相互欣赏，相互促进的组织文化底蕴。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工作沟通</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提供一种异步协作与沟通的新方式，可替代内部邮件，用于内部正式与半正式工作协调。包括发起沟通主题，组成虚拟团队共同完成一个工作事项，方便日常工作沟通留痕。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59" w:type="pct"/>
            <w:noWrap w:val="0"/>
            <w:vAlign w:val="center"/>
          </w:tcPr>
          <w:p>
            <w:pPr>
              <w:jc w:val="center"/>
              <w:rPr>
                <w:rFonts w:hint="default" w:ascii="宋体" w:hAnsi="宋体" w:cs="宋体"/>
                <w:kern w:val="0"/>
                <w:sz w:val="24"/>
                <w:szCs w:val="24"/>
              </w:rPr>
            </w:pP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考勤打卡</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依托钉钉原生考勤数据，支持更强大的考勤审批设置、考勤数据统计。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规范制度</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统一管理各类规章制度，提供严格权限控制与阅读审计的员工查询服务。覆盖规章制度的起草、审批、校对、发布、取消的全生命周期管理，支持规章制度的版本管理。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图表中心</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提供统计图表和统计报表，可自行统计系统表单和流程数据，并通过门户和手机查询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458"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团队协作</w:t>
            </w: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知识文档</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支持多维多分类查询，支持文档上传时审批、通知推送、阅读明细、权限控制、点评推荐等。基于知识管理理念设计，帮助组织构建统一知识库的全过程管理，促进组织知识的沉淀、共享、学习、应用与创新。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日程安排</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提供了一个群组化的协同管理行程、同时整合了项目管控、工作待办事项、会议召集确认、行程预约提醒、出差请假流程等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任务管理</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任务安排、分解、跟踪、反馈、评价、查询、任务暂停、结项等，轻松掌控进度，提升组织执行力；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458"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组织文化</w:t>
            </w: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网上调查</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提供面向内部各类员工的网上调查功能，包括发起调查、审核、发布、在线参与调查、调查结果查阅等全生命周期管理。支持单选、多选、矩阵、问答、评分等题型，并支持题型扩展，可用于各类满意度调查、培训效果调查、工作环境调查等工作。支持问卷模板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知识地图</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提供场景式的导航，更直观地将知识、制度、流程、应用等组合在一起，进行可视化展现。系统自带多套地图模板，可快速实现新员工地图、岗位地图、业务地图等。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14</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员工黄页</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统一搜索入口，支持多维度查找组织员工，集员工个人名片、个人相关知识、问答、学习、考试等信息于一体，将个人资料统一集中式展现。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15</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员工活动</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员工活动组织管理，包括活动计划审核、活动通知、员工在线报名，报名情况统计等，存留历史员工活动记录。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16</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内部社区</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打造组织文化的宣传阵地。可设置社区版块、帖子、积分管理、支持匿名发帖等。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17</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投票管理</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支持发起投票、参与、查看、终止、催办投票的全周期管理，采集内部新想法、新建议，提升组织反馈力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18</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新闻公告</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适用于组织内部新闻、公告、通知、员工活动消息，支持审批后发布，支持在线推送，保证全体员工及时接收。可针对每篇公告进行阅读权限控制、附件下载权限控制等。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19</w:t>
            </w:r>
          </w:p>
        </w:tc>
        <w:tc>
          <w:tcPr>
            <w:tcW w:w="458"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人事在线</w:t>
            </w: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人事档案</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人事档案模块负责管理员工的人事档案和简历信息，支持与钉钉通讯录同步。提供对在职员工、解聘员工、离退员工的档案管理功能。考虑HR日常事务处理的各种使用场景，提供包括概览、预警提醒、员工经历自助维护、工资条发放等多项功能服务，节省重复工作量确保效率提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20</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招聘管理</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可以发起招聘申请、进行招聘岗位管理、应聘者信息管理、面试通知、offer审批、offer通知、入职准备等。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21</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人事流程</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实现人事入职、异动、合同等流程办理，流程通过后自动更新相关员工的人事档案信息。包括入职、转正、调岗、调薪、离职、退休、解聘、返聘、合同签订、合同变更、合同解除等。通过流程记录相关数据，以便将来实现人事相关报表的查询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22</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绩效考核</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实现从指标库搭建、绩效考评组设置、绩效考核活动发起、员工绩效目标制定、到360绩效评分的全绩效过程管理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23</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统计报表</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员工生日、合同到期、试用到期、性别比例，学历分布，司龄分布，类别分布，职务等级，异动情况，婚姻状况等，提供多维度在职图表，人事概况一目了然。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59" w:type="pct"/>
            <w:noWrap w:val="0"/>
            <w:vAlign w:val="center"/>
          </w:tcPr>
          <w:p>
            <w:pPr>
              <w:jc w:val="center"/>
              <w:rPr>
                <w:rFonts w:hint="default" w:ascii="宋体" w:hAnsi="宋体" w:cs="宋体"/>
                <w:kern w:val="0"/>
                <w:sz w:val="24"/>
                <w:szCs w:val="24"/>
              </w:rPr>
            </w:pPr>
            <w:r>
              <w:rPr>
                <w:rFonts w:ascii="宋体" w:hAnsi="宋体" w:cs="宋体"/>
                <w:kern w:val="0"/>
                <w:sz w:val="24"/>
                <w:szCs w:val="24"/>
              </w:rPr>
              <w:t>24</w:t>
            </w:r>
          </w:p>
        </w:tc>
        <w:tc>
          <w:tcPr>
            <w:tcW w:w="458" w:type="pct"/>
            <w:vMerge w:val="continue"/>
            <w:noWrap w:val="0"/>
            <w:vAlign w:val="center"/>
          </w:tcPr>
          <w:p>
            <w:pPr>
              <w:jc w:val="left"/>
              <w:rPr>
                <w:rFonts w:hint="default" w:ascii="宋体" w:hAnsi="宋体" w:cs="宋体"/>
                <w:kern w:val="0"/>
                <w:sz w:val="24"/>
                <w:szCs w:val="24"/>
              </w:rPr>
            </w:pPr>
          </w:p>
        </w:tc>
        <w:tc>
          <w:tcPr>
            <w:tcW w:w="747" w:type="pct"/>
            <w:noWrap w:val="0"/>
            <w:vAlign w:val="center"/>
          </w:tcPr>
          <w:p>
            <w:pPr>
              <w:jc w:val="left"/>
              <w:rPr>
                <w:rFonts w:hint="default" w:ascii="宋体" w:hAnsi="宋体" w:cs="宋体"/>
                <w:kern w:val="0"/>
                <w:sz w:val="24"/>
                <w:szCs w:val="24"/>
              </w:rPr>
            </w:pPr>
            <w:r>
              <w:rPr>
                <w:rFonts w:ascii="宋体" w:hAnsi="宋体" w:cs="宋体"/>
                <w:kern w:val="0"/>
                <w:sz w:val="24"/>
                <w:szCs w:val="24"/>
              </w:rPr>
              <w:t>薪资管理</w:t>
            </w:r>
          </w:p>
        </w:tc>
        <w:tc>
          <w:tcPr>
            <w:tcW w:w="3336" w:type="pct"/>
            <w:noWrap w:val="0"/>
            <w:vAlign w:val="center"/>
          </w:tcPr>
          <w:p>
            <w:pPr>
              <w:jc w:val="left"/>
              <w:rPr>
                <w:rFonts w:hint="default" w:ascii="宋体" w:hAnsi="宋体" w:cs="宋体"/>
                <w:kern w:val="0"/>
                <w:sz w:val="24"/>
                <w:szCs w:val="24"/>
              </w:rPr>
            </w:pPr>
            <w:r>
              <w:rPr>
                <w:rFonts w:ascii="宋体" w:hAnsi="宋体" w:cs="宋体"/>
                <w:kern w:val="0"/>
                <w:sz w:val="24"/>
                <w:szCs w:val="24"/>
              </w:rPr>
              <w:t>从员工定薪/调薪、薪资设置、社保公积金管理、薪资核算、工资条发放和查看的全周期管理；</w:t>
            </w:r>
          </w:p>
        </w:tc>
      </w:tr>
    </w:tbl>
    <w:p>
      <w:pPr>
        <w:pStyle w:val="5"/>
        <w:numPr>
          <w:ilvl w:val="2"/>
          <w:numId w:val="13"/>
        </w:numPr>
        <w:spacing w:before="0" w:after="0" w:line="360" w:lineRule="auto"/>
        <w:rPr>
          <w:rFonts w:ascii="宋体" w:hAnsi="宋体"/>
        </w:rPr>
      </w:pPr>
      <w:r>
        <w:rPr>
          <w:rFonts w:hint="eastAsia" w:ascii="宋体" w:hAnsi="宋体"/>
        </w:rPr>
        <w:t>单病种管理系统</w:t>
      </w:r>
    </w:p>
    <w:p>
      <w:pPr>
        <w:rPr>
          <w:rFonts w:hint="default"/>
        </w:rPr>
      </w:pPr>
    </w:p>
    <w:tbl>
      <w:tblPr>
        <w:tblStyle w:val="5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118"/>
        <w:gridCol w:w="1239"/>
        <w:gridCol w:w="54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1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656"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分类</w:t>
            </w:r>
          </w:p>
        </w:tc>
        <w:tc>
          <w:tcPr>
            <w:tcW w:w="727"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198" w:type="pct"/>
            <w:noWrap w:val="0"/>
            <w:vAlign w:val="top"/>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Times New Roman" w:hAnsi="Times New Roman"/>
                <w:b/>
                <w:bCs/>
                <w:sz w:val="24"/>
                <w:szCs w:val="24"/>
              </w:rPr>
            </w:pPr>
            <w:r>
              <w:rPr>
                <w:rFonts w:ascii="宋体" w:hAnsi="宋体" w:cs="宋体"/>
                <w:kern w:val="0"/>
                <w:sz w:val="24"/>
                <w:szCs w:val="24"/>
              </w:rPr>
              <w:t>1</w:t>
            </w:r>
          </w:p>
        </w:tc>
        <w:tc>
          <w:tcPr>
            <w:tcW w:w="656" w:type="pct"/>
            <w:vMerge w:val="restart"/>
            <w:noWrap w:val="0"/>
            <w:vAlign w:val="center"/>
          </w:tcPr>
          <w:p>
            <w:pPr>
              <w:jc w:val="left"/>
              <w:rPr>
                <w:rFonts w:hint="default" w:ascii="宋体" w:hAnsi="宋体" w:cs="宋体"/>
                <w:kern w:val="0"/>
                <w:sz w:val="24"/>
                <w:szCs w:val="24"/>
              </w:rPr>
            </w:pPr>
            <w:r>
              <w:rPr>
                <w:rFonts w:ascii="Times New Roman" w:hAnsi="Times New Roman"/>
                <w:sz w:val="24"/>
                <w:szCs w:val="24"/>
              </w:rPr>
              <w:t>单病种智能填报模块</w:t>
            </w: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上报病种智能入组</w:t>
            </w:r>
          </w:p>
        </w:tc>
        <w:tc>
          <w:tcPr>
            <w:tcW w:w="3198" w:type="pct"/>
            <w:noWrap w:val="0"/>
            <w:vAlign w:val="top"/>
          </w:tcPr>
          <w:p>
            <w:pPr>
              <w:jc w:val="left"/>
              <w:rPr>
                <w:rFonts w:hint="default" w:ascii="宋体" w:hAnsi="宋体" w:cs="宋体"/>
                <w:kern w:val="0"/>
                <w:sz w:val="24"/>
                <w:szCs w:val="24"/>
              </w:rPr>
            </w:pPr>
            <w:r>
              <w:rPr>
                <w:rFonts w:ascii="宋体" w:hAnsi="宋体" w:cs="宋体"/>
                <w:kern w:val="0"/>
                <w:sz w:val="24"/>
                <w:szCs w:val="24"/>
              </w:rPr>
              <w:t xml:space="preserve">按照《国家卫生健康委办公厅关于进一步加强单病种质量管理与控制工作的通知》的要求，系统智能识别需要上报的病例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656" w:type="pct"/>
            <w:vMerge w:val="continue"/>
            <w:noWrap w:val="0"/>
            <w:vAlign w:val="center"/>
          </w:tcPr>
          <w:p>
            <w:pPr>
              <w:jc w:val="left"/>
              <w:rPr>
                <w:rFonts w:hint="default" w:ascii="宋体" w:hAnsi="宋体" w:cs="宋体"/>
                <w:kern w:val="0"/>
                <w:sz w:val="24"/>
                <w:szCs w:val="24"/>
              </w:rPr>
            </w:pPr>
          </w:p>
        </w:tc>
        <w:tc>
          <w:tcPr>
            <w:tcW w:w="727"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上报内容</w:t>
            </w:r>
          </w:p>
        </w:tc>
        <w:tc>
          <w:tcPr>
            <w:tcW w:w="3198" w:type="pct"/>
            <w:noWrap w:val="0"/>
            <w:vAlign w:val="top"/>
          </w:tcPr>
          <w:p>
            <w:pPr>
              <w:jc w:val="left"/>
              <w:rPr>
                <w:rFonts w:hint="default" w:ascii="宋体" w:hAnsi="宋体" w:cs="宋体"/>
                <w:kern w:val="0"/>
                <w:sz w:val="24"/>
                <w:szCs w:val="24"/>
              </w:rPr>
            </w:pPr>
            <w:r>
              <w:rPr>
                <w:rFonts w:ascii="宋体" w:hAnsi="宋体" w:cs="宋体"/>
                <w:kern w:val="0"/>
                <w:sz w:val="24"/>
                <w:szCs w:val="24"/>
              </w:rPr>
              <w:t>系统应覆盖《单病种质量监测信息项（2020版）》中要求的51个病种的全部上报内容。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19" w:type="pct"/>
            <w:noWrap w:val="0"/>
            <w:vAlign w:val="center"/>
          </w:tcPr>
          <w:p>
            <w:pPr>
              <w:jc w:val="center"/>
              <w:rPr>
                <w:rFonts w:hint="default" w:ascii="宋体" w:hAnsi="宋体" w:cs="宋体"/>
                <w:kern w:val="0"/>
                <w:sz w:val="24"/>
                <w:szCs w:val="24"/>
                <w:lang w:eastAsia="zh-Hans"/>
              </w:rPr>
            </w:pPr>
            <w:r>
              <w:rPr>
                <w:rFonts w:ascii="宋体" w:hAnsi="宋体" w:cs="宋体"/>
                <w:kern w:val="0"/>
                <w:sz w:val="24"/>
                <w:szCs w:val="24"/>
              </w:rPr>
              <w:t>3</w:t>
            </w:r>
          </w:p>
        </w:tc>
        <w:tc>
          <w:tcPr>
            <w:tcW w:w="656" w:type="pct"/>
            <w:vMerge w:val="continue"/>
            <w:noWrap w:val="0"/>
            <w:vAlign w:val="center"/>
          </w:tcPr>
          <w:p>
            <w:pPr>
              <w:jc w:val="left"/>
              <w:rPr>
                <w:rFonts w:hint="default" w:ascii="宋体" w:hAnsi="宋体" w:cs="宋体"/>
                <w:kern w:val="0"/>
                <w:sz w:val="24"/>
                <w:szCs w:val="24"/>
                <w:lang w:eastAsia="zh-Hans"/>
              </w:rPr>
            </w:pPr>
          </w:p>
        </w:tc>
        <w:tc>
          <w:tcPr>
            <w:tcW w:w="727" w:type="pct"/>
            <w:vMerge w:val="continue"/>
            <w:noWrap w:val="0"/>
            <w:vAlign w:val="center"/>
          </w:tcPr>
          <w:p>
            <w:pPr>
              <w:jc w:val="left"/>
              <w:rPr>
                <w:rFonts w:hint="default" w:ascii="宋体" w:hAnsi="宋体" w:cs="宋体"/>
                <w:kern w:val="0"/>
                <w:sz w:val="24"/>
                <w:szCs w:val="24"/>
                <w:lang w:eastAsia="zh-Hans"/>
              </w:rPr>
            </w:pPr>
          </w:p>
        </w:tc>
        <w:tc>
          <w:tcPr>
            <w:tcW w:w="3198" w:type="pct"/>
            <w:noWrap w:val="0"/>
            <w:vAlign w:val="top"/>
          </w:tcPr>
          <w:p>
            <w:pPr>
              <w:jc w:val="left"/>
              <w:rPr>
                <w:rFonts w:hint="default" w:ascii="宋体" w:hAnsi="宋体" w:cs="宋体"/>
                <w:kern w:val="0"/>
                <w:sz w:val="24"/>
                <w:szCs w:val="24"/>
              </w:rPr>
            </w:pPr>
            <w:r>
              <w:rPr>
                <w:rFonts w:ascii="宋体" w:hAnsi="宋体" w:cs="宋体"/>
                <w:kern w:val="0"/>
                <w:sz w:val="24"/>
                <w:szCs w:val="24"/>
                <w:lang w:eastAsia="zh-Hans"/>
              </w:rPr>
              <w:t>系统应覆盖《</w:t>
            </w:r>
            <w:r>
              <w:rPr>
                <w:rFonts w:ascii="宋体" w:hAnsi="宋体" w:cs="宋体"/>
                <w:kern w:val="0"/>
                <w:sz w:val="24"/>
                <w:szCs w:val="24"/>
              </w:rPr>
              <w:t>三级医院评审标准（2022年版）</w:t>
            </w:r>
            <w:r>
              <w:rPr>
                <w:rFonts w:ascii="宋体" w:hAnsi="宋体" w:cs="宋体"/>
                <w:kern w:val="0"/>
                <w:sz w:val="24"/>
                <w:szCs w:val="24"/>
                <w:lang w:eastAsia="zh-Hans"/>
              </w:rPr>
              <w:t>》中要求的51个病种，能满足该标准要求的入组要求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上报患者管理</w:t>
            </w:r>
          </w:p>
        </w:tc>
        <w:tc>
          <w:tcPr>
            <w:tcW w:w="3198" w:type="pct"/>
            <w:noWrap w:val="0"/>
            <w:vAlign w:val="top"/>
          </w:tcPr>
          <w:p>
            <w:pPr>
              <w:jc w:val="left"/>
              <w:rPr>
                <w:rFonts w:hint="default" w:ascii="宋体" w:hAnsi="宋体" w:cs="宋体"/>
                <w:kern w:val="0"/>
                <w:sz w:val="24"/>
                <w:szCs w:val="24"/>
              </w:rPr>
            </w:pPr>
            <w:r>
              <w:rPr>
                <w:rFonts w:ascii="宋体" w:hAnsi="宋体" w:cs="宋体"/>
                <w:kern w:val="0"/>
                <w:sz w:val="24"/>
                <w:szCs w:val="24"/>
              </w:rPr>
              <w:t>★系统自动识别单病种需要上报的患者，进行集中数据填报，可分类显示每种病种的填报人数、自动填报完成数、人工填报完成数、未完成数，完成比例等内容。系统验收时，自动识别需上报患者率，需要达到100%。</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数据集成与采集</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系统基于患者诊疗过程中诊疗数据（病案首页、HIS、LIS、PACS、手麻系统、护理系统、电子病历系统），支持自动填报病种相关上报项目内容，支持医生查阅、修改。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1" w:hRule="atLeast"/>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单病种表单自动填充</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构建单病种数据集，基于数据集自动填充上报表单的相关数据，快速实现数据回填。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智能定位</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支持用户在病种填报过程中，对未校验通过的位置快速定位，并智能提醒未通过原因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 w:hRule="atLeast"/>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智能审核</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支持对病种上报必填项目的完整性进行提醒及上报拦截。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填报病种</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用户根据病种权限对具有上报权限的病种进行填报。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患者医嘱查询</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系统应支持在填报内容界面进行该患者医嘱查询，包括患者病案号、姓名、性别、年龄、科室、以及该患者的原始医嘱信息，医嘱应该包含药品、检查、检验、处置、护理等类别，包医嘱名称、医嘱开始时间和结束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患者检查报告查询</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系统应支持在填报内容界面进行该患者检查报告查询，包括患者病案号、姓名、性别、年龄、科室、以及该患者的原始检查报告信息，报告应包含检查名称、申请时间、报告时间，检查描述，检查结果。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患者检验报告查询</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系统应支持在填报内容界面进行该患者检查报告查询，包括患者病案号、姓名、性别、年龄、科室、以及该患者的原始检验报告信息，报告应包含检验名称、申请时间、报告时间，检验结果值、单位、参考值。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数据上报审核</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对待上报、已上报、已退回等多种状态数据的管理、查询，系统验证通过的数据可自动审核，也可通过手工方式审核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656" w:type="pct"/>
            <w:vMerge w:val="continue"/>
            <w:noWrap w:val="0"/>
            <w:vAlign w:val="center"/>
          </w:tcPr>
          <w:p>
            <w:pPr>
              <w:jc w:val="left"/>
              <w:rPr>
                <w:rFonts w:hint="default" w:ascii="宋体" w:hAnsi="宋体" w:cs="宋体"/>
                <w:kern w:val="0"/>
                <w:sz w:val="24"/>
                <w:szCs w:val="24"/>
              </w:rPr>
            </w:pPr>
          </w:p>
        </w:tc>
        <w:tc>
          <w:tcPr>
            <w:tcW w:w="727"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上报状态</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支持通过病种上报状态查询已上报数据。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14</w:t>
            </w:r>
          </w:p>
        </w:tc>
        <w:tc>
          <w:tcPr>
            <w:tcW w:w="656" w:type="pct"/>
            <w:vMerge w:val="continue"/>
            <w:noWrap w:val="0"/>
            <w:vAlign w:val="center"/>
          </w:tcPr>
          <w:p>
            <w:pPr>
              <w:jc w:val="left"/>
              <w:rPr>
                <w:rFonts w:hint="default" w:ascii="宋体" w:hAnsi="宋体" w:cs="宋体"/>
                <w:kern w:val="0"/>
                <w:sz w:val="24"/>
                <w:szCs w:val="24"/>
              </w:rPr>
            </w:pPr>
          </w:p>
        </w:tc>
        <w:tc>
          <w:tcPr>
            <w:tcW w:w="727" w:type="pct"/>
            <w:vMerge w:val="continue"/>
            <w:noWrap w:val="0"/>
            <w:vAlign w:val="center"/>
          </w:tcPr>
          <w:p>
            <w:pPr>
              <w:jc w:val="left"/>
              <w:rPr>
                <w:rFonts w:hint="default" w:ascii="宋体" w:hAnsi="宋体" w:cs="宋体"/>
                <w:kern w:val="0"/>
                <w:sz w:val="24"/>
                <w:szCs w:val="24"/>
              </w:rPr>
            </w:pP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支持查询上报失败原因。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15</w:t>
            </w:r>
          </w:p>
        </w:tc>
        <w:tc>
          <w:tcPr>
            <w:tcW w:w="656"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单病种数据管理模块</w:t>
            </w:r>
          </w:p>
        </w:tc>
        <w:tc>
          <w:tcPr>
            <w:tcW w:w="727"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上报数据统计</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系统可根据出院或入院时间范围（“时间范围”可按昨天、最近7天、上周、本月、上个季度或自定义选择）检索出病种上报数据，包含累计病历数和患者数。并支持显示每个病种的待填报数、已上报数，下钻到每个病种的数据填报入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16</w:t>
            </w:r>
          </w:p>
        </w:tc>
        <w:tc>
          <w:tcPr>
            <w:tcW w:w="656" w:type="pct"/>
            <w:vMerge w:val="continue"/>
            <w:noWrap w:val="0"/>
            <w:vAlign w:val="center"/>
          </w:tcPr>
          <w:p>
            <w:pPr>
              <w:pStyle w:val="158"/>
              <w:kinsoku w:val="0"/>
              <w:overflowPunct w:val="0"/>
              <w:rPr>
                <w:rFonts w:ascii="宋体" w:hAnsi="宋体" w:eastAsia="宋体" w:cs="宋体"/>
                <w:sz w:val="24"/>
                <w:szCs w:val="24"/>
              </w:rPr>
            </w:pPr>
          </w:p>
        </w:tc>
        <w:tc>
          <w:tcPr>
            <w:tcW w:w="727" w:type="pct"/>
            <w:vMerge w:val="continue"/>
            <w:noWrap w:val="0"/>
            <w:vAlign w:val="center"/>
          </w:tcPr>
          <w:p>
            <w:pPr>
              <w:pStyle w:val="158"/>
              <w:kinsoku w:val="0"/>
              <w:overflowPunct w:val="0"/>
              <w:rPr>
                <w:rFonts w:ascii="宋体" w:hAnsi="宋体" w:eastAsia="宋体" w:cs="宋体"/>
                <w:sz w:val="24"/>
                <w:szCs w:val="24"/>
              </w:rPr>
            </w:pPr>
          </w:p>
        </w:tc>
        <w:tc>
          <w:tcPr>
            <w:tcW w:w="3198" w:type="pct"/>
            <w:noWrap w:val="0"/>
            <w:vAlign w:val="center"/>
          </w:tcPr>
          <w:p>
            <w:pPr>
              <w:pStyle w:val="158"/>
              <w:kinsoku w:val="0"/>
              <w:overflowPunct w:val="0"/>
              <w:rPr>
                <w:rFonts w:ascii="宋体" w:hAnsi="宋体" w:eastAsia="宋体" w:cs="宋体"/>
                <w:sz w:val="24"/>
                <w:szCs w:val="24"/>
                <w:lang w:eastAsia="zh-CN"/>
              </w:rPr>
            </w:pPr>
            <w:r>
              <w:rPr>
                <w:rFonts w:hint="eastAsia" w:ascii="宋体" w:hAnsi="宋体" w:eastAsia="宋体" w:cs="宋体"/>
                <w:sz w:val="24"/>
                <w:szCs w:val="24"/>
                <w:lang w:eastAsia="zh-CN"/>
              </w:rPr>
              <w:t>系统可根据出院或入院时间范围（“时间范围”可按昨天、最近7天、上周、本月、上个季度或自定义选择）按填报状态、上报状态、入组状态、病案号、患者姓名、科室、主治医师、住院医师等维度进行数据检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17</w:t>
            </w:r>
          </w:p>
        </w:tc>
        <w:tc>
          <w:tcPr>
            <w:tcW w:w="656" w:type="pct"/>
            <w:vMerge w:val="continue"/>
            <w:noWrap w:val="0"/>
            <w:vAlign w:val="center"/>
          </w:tcPr>
          <w:p>
            <w:pPr>
              <w:jc w:val="left"/>
              <w:rPr>
                <w:rFonts w:hint="default" w:ascii="宋体" w:hAnsi="宋体" w:cs="宋体"/>
                <w:kern w:val="0"/>
                <w:sz w:val="24"/>
                <w:szCs w:val="24"/>
              </w:rPr>
            </w:pPr>
          </w:p>
        </w:tc>
        <w:tc>
          <w:tcPr>
            <w:tcW w:w="727"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上报病历自动筛选</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病种自动入组：根据单病种国家填报要求，基于患者归档后的病案首页诊断编码、手术编码对符合填报要求的患者进行自动入组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18</w:t>
            </w:r>
          </w:p>
        </w:tc>
        <w:tc>
          <w:tcPr>
            <w:tcW w:w="656" w:type="pct"/>
            <w:vMerge w:val="continue"/>
            <w:noWrap w:val="0"/>
            <w:vAlign w:val="center"/>
          </w:tcPr>
          <w:p>
            <w:pPr>
              <w:jc w:val="left"/>
              <w:rPr>
                <w:rFonts w:hint="default" w:ascii="宋体" w:hAnsi="宋体" w:cs="宋体"/>
                <w:kern w:val="0"/>
                <w:sz w:val="24"/>
                <w:szCs w:val="24"/>
              </w:rPr>
            </w:pPr>
          </w:p>
        </w:tc>
        <w:tc>
          <w:tcPr>
            <w:tcW w:w="727" w:type="pct"/>
            <w:vMerge w:val="continue"/>
            <w:noWrap w:val="0"/>
            <w:vAlign w:val="center"/>
          </w:tcPr>
          <w:p>
            <w:pPr>
              <w:jc w:val="left"/>
              <w:rPr>
                <w:rFonts w:hint="default" w:ascii="宋体" w:hAnsi="宋体" w:cs="宋体"/>
                <w:kern w:val="0"/>
                <w:sz w:val="24"/>
                <w:szCs w:val="24"/>
              </w:rPr>
            </w:pP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病历入组：系统可根据就诊时间范围（“时间范围”可按昨天、最近7天、上周、本月、上个季度或自定义选择）按入组项目（覆盖51个病种）、病案号、患者姓名、科室等维度进行病历检索，以列表形式展示，并支持入组操作、取消入组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19</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病种漏报</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支持通过填报状态查询对系统自动筛选填报患者中没有完成填报（漏报）的患者。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20</w:t>
            </w:r>
          </w:p>
        </w:tc>
        <w:tc>
          <w:tcPr>
            <w:tcW w:w="656" w:type="pct"/>
            <w:vMerge w:val="restart"/>
            <w:noWrap w:val="0"/>
            <w:vAlign w:val="center"/>
          </w:tcPr>
          <w:p>
            <w:pPr>
              <w:pStyle w:val="158"/>
              <w:kinsoku w:val="0"/>
              <w:overflowPunct w:val="0"/>
              <w:rPr>
                <w:rFonts w:ascii="宋体" w:hAnsi="宋体" w:eastAsia="宋体" w:cs="宋体"/>
                <w:sz w:val="24"/>
                <w:szCs w:val="24"/>
              </w:rPr>
            </w:pPr>
            <w:r>
              <w:rPr>
                <w:rFonts w:hint="eastAsia" w:ascii="宋体" w:hAnsi="宋体" w:eastAsia="宋体" w:cs="宋体"/>
                <w:sz w:val="24"/>
                <w:szCs w:val="24"/>
              </w:rPr>
              <w:t>单病种统计分析模块</w:t>
            </w:r>
          </w:p>
        </w:tc>
        <w:tc>
          <w:tcPr>
            <w:tcW w:w="727" w:type="pct"/>
            <w:vMerge w:val="restart"/>
            <w:noWrap w:val="0"/>
            <w:vAlign w:val="center"/>
          </w:tcPr>
          <w:p>
            <w:pPr>
              <w:pStyle w:val="158"/>
              <w:kinsoku w:val="0"/>
              <w:overflowPunct w:val="0"/>
              <w:rPr>
                <w:rFonts w:ascii="宋体" w:hAnsi="宋体" w:eastAsia="宋体" w:cs="宋体"/>
                <w:sz w:val="24"/>
                <w:szCs w:val="24"/>
              </w:rPr>
            </w:pPr>
            <w:r>
              <w:rPr>
                <w:rFonts w:hint="eastAsia" w:ascii="宋体" w:hAnsi="宋体" w:eastAsia="宋体" w:cs="宋体"/>
                <w:sz w:val="24"/>
                <w:szCs w:val="24"/>
              </w:rPr>
              <w:t>数据指标分析</w:t>
            </w:r>
          </w:p>
        </w:tc>
        <w:tc>
          <w:tcPr>
            <w:tcW w:w="3198" w:type="pct"/>
            <w:noWrap w:val="0"/>
            <w:vAlign w:val="center"/>
          </w:tcPr>
          <w:p>
            <w:pPr>
              <w:pStyle w:val="158"/>
              <w:kinsoku w:val="0"/>
              <w:overflowPunct w:val="0"/>
              <w:rPr>
                <w:rFonts w:ascii="宋体" w:hAnsi="宋体" w:eastAsia="宋体" w:cs="宋体"/>
                <w:sz w:val="24"/>
                <w:szCs w:val="24"/>
                <w:lang w:eastAsia="zh-CN"/>
              </w:rPr>
            </w:pPr>
            <w:r>
              <w:rPr>
                <w:rFonts w:hint="eastAsia" w:ascii="宋体" w:hAnsi="宋体" w:eastAsia="宋体" w:cs="宋体"/>
                <w:sz w:val="24"/>
                <w:szCs w:val="24"/>
                <w:lang w:eastAsia="zh-CN"/>
              </w:rPr>
              <w:t>系统支持通过上报患者查看病种病种上报情况，包括：</w:t>
            </w:r>
          </w:p>
          <w:p>
            <w:pPr>
              <w:pStyle w:val="158"/>
              <w:kinsoku w:val="0"/>
              <w:overflowPunct w:val="0"/>
              <w:rPr>
                <w:rFonts w:ascii="宋体" w:hAnsi="宋体" w:eastAsia="宋体" w:cs="宋体"/>
                <w:sz w:val="24"/>
                <w:szCs w:val="24"/>
                <w:lang w:eastAsia="zh-CN"/>
              </w:rPr>
            </w:pPr>
            <w:r>
              <w:rPr>
                <w:rFonts w:hint="eastAsia" w:ascii="宋体" w:hAnsi="宋体" w:eastAsia="宋体" w:cs="宋体"/>
                <w:sz w:val="24"/>
                <w:szCs w:val="24"/>
                <w:lang w:eastAsia="zh-CN"/>
              </w:rPr>
              <w:t>病种上报例数：病种上报例数汇总、病种上报趋势。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21</w:t>
            </w:r>
          </w:p>
        </w:tc>
        <w:tc>
          <w:tcPr>
            <w:tcW w:w="656" w:type="pct"/>
            <w:vMerge w:val="continue"/>
            <w:noWrap w:val="0"/>
            <w:vAlign w:val="center"/>
          </w:tcPr>
          <w:p>
            <w:pPr>
              <w:pStyle w:val="158"/>
              <w:kinsoku w:val="0"/>
              <w:overflowPunct w:val="0"/>
              <w:rPr>
                <w:rFonts w:ascii="宋体" w:hAnsi="宋体" w:eastAsia="宋体" w:cs="宋体"/>
                <w:sz w:val="24"/>
                <w:szCs w:val="24"/>
              </w:rPr>
            </w:pPr>
          </w:p>
        </w:tc>
        <w:tc>
          <w:tcPr>
            <w:tcW w:w="727" w:type="pct"/>
            <w:vMerge w:val="continue"/>
            <w:noWrap w:val="0"/>
            <w:vAlign w:val="center"/>
          </w:tcPr>
          <w:p>
            <w:pPr>
              <w:pStyle w:val="158"/>
              <w:kinsoku w:val="0"/>
              <w:overflowPunct w:val="0"/>
              <w:rPr>
                <w:rFonts w:ascii="宋体" w:hAnsi="宋体" w:eastAsia="宋体" w:cs="宋体"/>
                <w:sz w:val="24"/>
                <w:szCs w:val="24"/>
              </w:rPr>
            </w:pPr>
          </w:p>
        </w:tc>
        <w:tc>
          <w:tcPr>
            <w:tcW w:w="3198" w:type="pct"/>
            <w:noWrap w:val="0"/>
            <w:vAlign w:val="center"/>
          </w:tcPr>
          <w:p>
            <w:pPr>
              <w:pStyle w:val="158"/>
              <w:kinsoku w:val="0"/>
              <w:overflowPunct w:val="0"/>
              <w:rPr>
                <w:rFonts w:ascii="宋体" w:hAnsi="宋体" w:eastAsia="宋体" w:cs="宋体"/>
                <w:sz w:val="24"/>
                <w:szCs w:val="24"/>
                <w:lang w:eastAsia="zh-CN"/>
              </w:rPr>
            </w:pPr>
            <w:r>
              <w:rPr>
                <w:rFonts w:hint="eastAsia" w:ascii="宋体" w:hAnsi="宋体" w:eastAsia="宋体" w:cs="宋体"/>
                <w:sz w:val="24"/>
                <w:szCs w:val="24"/>
                <w:lang w:eastAsia="zh-CN"/>
              </w:rPr>
              <w:t>病种上报例数汇总，可包含：今日上报、昨日上报、本月上报、本月未上报，并支持页面置顶展示。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22</w:t>
            </w:r>
          </w:p>
        </w:tc>
        <w:tc>
          <w:tcPr>
            <w:tcW w:w="656" w:type="pct"/>
            <w:vMerge w:val="continue"/>
            <w:noWrap w:val="0"/>
            <w:vAlign w:val="center"/>
          </w:tcPr>
          <w:p>
            <w:pPr>
              <w:pStyle w:val="158"/>
              <w:kinsoku w:val="0"/>
              <w:overflowPunct w:val="0"/>
              <w:rPr>
                <w:rFonts w:ascii="宋体" w:hAnsi="宋体" w:eastAsia="宋体" w:cs="宋体"/>
                <w:sz w:val="24"/>
                <w:szCs w:val="24"/>
              </w:rPr>
            </w:pPr>
          </w:p>
        </w:tc>
        <w:tc>
          <w:tcPr>
            <w:tcW w:w="727" w:type="pct"/>
            <w:noWrap w:val="0"/>
            <w:vAlign w:val="center"/>
          </w:tcPr>
          <w:p>
            <w:pPr>
              <w:pStyle w:val="158"/>
              <w:kinsoku w:val="0"/>
              <w:overflowPunct w:val="0"/>
              <w:rPr>
                <w:rFonts w:ascii="宋体" w:hAnsi="宋体" w:eastAsia="宋体" w:cs="宋体"/>
                <w:sz w:val="24"/>
                <w:szCs w:val="24"/>
              </w:rPr>
            </w:pPr>
            <w:r>
              <w:rPr>
                <w:rFonts w:hint="eastAsia" w:ascii="宋体" w:hAnsi="宋体" w:eastAsia="宋体" w:cs="宋体"/>
                <w:sz w:val="24"/>
                <w:szCs w:val="24"/>
              </w:rPr>
              <w:t>资源消耗分析</w:t>
            </w:r>
          </w:p>
        </w:tc>
        <w:tc>
          <w:tcPr>
            <w:tcW w:w="3198" w:type="pct"/>
            <w:noWrap w:val="0"/>
            <w:vAlign w:val="center"/>
          </w:tcPr>
          <w:p>
            <w:pPr>
              <w:pStyle w:val="158"/>
              <w:kinsoku w:val="0"/>
              <w:overflowPunct w:val="0"/>
              <w:rPr>
                <w:rFonts w:ascii="宋体" w:hAnsi="宋体" w:eastAsia="宋体" w:cs="宋体"/>
                <w:sz w:val="24"/>
                <w:szCs w:val="24"/>
                <w:lang w:eastAsia="zh-CN"/>
              </w:rPr>
            </w:pPr>
            <w:r>
              <w:rPr>
                <w:rFonts w:hint="eastAsia" w:ascii="宋体" w:hAnsi="宋体" w:eastAsia="宋体" w:cs="宋体"/>
                <w:sz w:val="24"/>
                <w:szCs w:val="24"/>
                <w:lang w:eastAsia="zh-CN"/>
              </w:rPr>
              <w:t>系统可根据科室、病种分类、病种名称、年、月等维度选择查询病种统计数据，应至少包括：已上报例数、上报科室、上报病种、病种分布、病种费用、住院天数、病种平均费用、年龄分布、患者性别分布等项目的详细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23</w:t>
            </w:r>
          </w:p>
        </w:tc>
        <w:tc>
          <w:tcPr>
            <w:tcW w:w="656" w:type="pct"/>
            <w:vMerge w:val="continue"/>
            <w:noWrap w:val="0"/>
            <w:vAlign w:val="center"/>
          </w:tcPr>
          <w:p>
            <w:pPr>
              <w:pStyle w:val="158"/>
              <w:kinsoku w:val="0"/>
              <w:overflowPunct w:val="0"/>
              <w:rPr>
                <w:rFonts w:ascii="宋体" w:hAnsi="宋体" w:eastAsia="宋体" w:cs="宋体"/>
                <w:sz w:val="24"/>
                <w:szCs w:val="24"/>
              </w:rPr>
            </w:pPr>
          </w:p>
        </w:tc>
        <w:tc>
          <w:tcPr>
            <w:tcW w:w="727" w:type="pct"/>
            <w:noWrap w:val="0"/>
            <w:vAlign w:val="center"/>
          </w:tcPr>
          <w:p>
            <w:pPr>
              <w:pStyle w:val="158"/>
              <w:kinsoku w:val="0"/>
              <w:overflowPunct w:val="0"/>
              <w:rPr>
                <w:rFonts w:ascii="宋体" w:hAnsi="宋体" w:eastAsia="宋体" w:cs="宋体"/>
                <w:sz w:val="24"/>
                <w:szCs w:val="24"/>
              </w:rPr>
            </w:pPr>
            <w:r>
              <w:rPr>
                <w:rFonts w:hint="eastAsia" w:ascii="宋体" w:hAnsi="宋体" w:eastAsia="宋体" w:cs="宋体"/>
                <w:sz w:val="24"/>
                <w:szCs w:val="24"/>
              </w:rPr>
              <w:t>质控指标数据统计</w:t>
            </w:r>
          </w:p>
        </w:tc>
        <w:tc>
          <w:tcPr>
            <w:tcW w:w="3198" w:type="pct"/>
            <w:noWrap w:val="0"/>
            <w:vAlign w:val="center"/>
          </w:tcPr>
          <w:p>
            <w:pPr>
              <w:pStyle w:val="158"/>
              <w:kinsoku w:val="0"/>
              <w:overflowPunct w:val="0"/>
              <w:rPr>
                <w:rFonts w:ascii="宋体" w:hAnsi="宋体" w:eastAsia="宋体" w:cs="宋体"/>
                <w:sz w:val="24"/>
                <w:szCs w:val="24"/>
                <w:lang w:eastAsia="zh-CN"/>
              </w:rPr>
            </w:pPr>
            <w:r>
              <w:rPr>
                <w:rFonts w:hint="eastAsia" w:ascii="宋体" w:hAnsi="宋体" w:eastAsia="宋体" w:cs="宋体"/>
                <w:sz w:val="24"/>
                <w:szCs w:val="24"/>
                <w:lang w:eastAsia="zh-CN"/>
              </w:rPr>
              <w:t>系统可根据出院时间范围（“时间范围”可按昨天、最近7天、上周、本月、上个季度或自定义选择）按周或按月查看所有病种质控指标完成情况、指标完成率等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24</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病种数据明细</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支持根据填报科室、填报人员汇总填报明细数据。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25</w:t>
            </w:r>
          </w:p>
        </w:tc>
        <w:tc>
          <w:tcPr>
            <w:tcW w:w="656"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系统管理模块</w:t>
            </w: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用户管理</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系统可根据用户名、用户类型、上报病种（覆盖51个病种）进行用户管理。并以列表形式展示用户的创建时间，支持管理员进行账户增加、修改、删除等角色维护系统用户。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26</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角色管理</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支持定义角色权限，至少应包含：填报员、审核员、医院管理员、系统管理员。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27</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权限管理</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支持根据角色进行系统功能、数据权限管理，以及定义用户上报病种范围。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28</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字典管理</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lang w:eastAsia="zh-Hans"/>
              </w:rPr>
              <w:t>系统支持针对不同病种，相关诊疗项目选择与院内诊疗字典关联维护功能，便于医生填报过程中，进行数据自动转换，从而实现数据自动生成，减少医生填报内容，避免由于项目字典命名及编码不同，导致的填报效率降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29</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一键上报国家平台</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lang w:eastAsia="zh-Hans"/>
              </w:rPr>
              <w:t>根据国家单病种上报平台接口要求，完成全部病种接口打通，医生可直接在医院内网电脑上完成病种填报，并实现一键上报至国家单病种上报平台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30</w:t>
            </w:r>
          </w:p>
        </w:tc>
        <w:tc>
          <w:tcPr>
            <w:tcW w:w="656" w:type="pct"/>
            <w:vMerge w:val="continue"/>
            <w:noWrap w:val="0"/>
            <w:vAlign w:val="center"/>
          </w:tcPr>
          <w:p>
            <w:pPr>
              <w:jc w:val="left"/>
              <w:rPr>
                <w:rFonts w:hint="default" w:ascii="宋体" w:hAnsi="宋体" w:cs="宋体"/>
                <w:kern w:val="0"/>
                <w:sz w:val="24"/>
                <w:szCs w:val="24"/>
                <w:lang w:eastAsia="zh-Hans"/>
              </w:rPr>
            </w:pPr>
          </w:p>
        </w:tc>
        <w:tc>
          <w:tcPr>
            <w:tcW w:w="727" w:type="pct"/>
            <w:noWrap w:val="0"/>
            <w:vAlign w:val="center"/>
          </w:tcPr>
          <w:p>
            <w:pPr>
              <w:jc w:val="left"/>
              <w:rPr>
                <w:rFonts w:hint="default" w:ascii="宋体" w:hAnsi="宋体" w:cs="宋体"/>
                <w:kern w:val="0"/>
                <w:sz w:val="24"/>
                <w:szCs w:val="24"/>
                <w:lang w:eastAsia="zh-Hans"/>
              </w:rPr>
            </w:pPr>
            <w:r>
              <w:rPr>
                <w:rFonts w:ascii="宋体" w:hAnsi="宋体" w:cs="宋体"/>
                <w:kern w:val="0"/>
                <w:sz w:val="24"/>
                <w:szCs w:val="24"/>
                <w:lang w:eastAsia="zh-Hans"/>
              </w:rPr>
              <w:t>一键更新</w:t>
            </w:r>
          </w:p>
        </w:tc>
        <w:tc>
          <w:tcPr>
            <w:tcW w:w="3198" w:type="pct"/>
            <w:noWrap w:val="0"/>
            <w:vAlign w:val="center"/>
          </w:tcPr>
          <w:p>
            <w:pPr>
              <w:jc w:val="left"/>
              <w:rPr>
                <w:rFonts w:hint="default" w:ascii="宋体" w:hAnsi="宋体" w:cs="宋体"/>
                <w:kern w:val="0"/>
                <w:sz w:val="24"/>
                <w:szCs w:val="24"/>
              </w:rPr>
            </w:pPr>
            <w:r>
              <w:rPr>
                <w:rFonts w:ascii="宋体" w:hAnsi="宋体" w:cs="宋体"/>
                <w:kern w:val="0"/>
                <w:sz w:val="24"/>
                <w:szCs w:val="24"/>
              </w:rPr>
              <w:t>★</w:t>
            </w:r>
            <w:r>
              <w:rPr>
                <w:rFonts w:ascii="宋体" w:hAnsi="宋体" w:cs="宋体"/>
                <w:kern w:val="0"/>
                <w:sz w:val="24"/>
                <w:szCs w:val="24"/>
                <w:lang w:eastAsia="zh-Hans"/>
              </w:rPr>
              <w:t>在系统管理页面，配置在线升级功能，当国家平台有新病种模板更新时，支持在页面上点击，实现一键更新</w:t>
            </w:r>
            <w:r>
              <w:rPr>
                <w:rFonts w:ascii="宋体" w:hAnsi="宋体" w:cs="宋体"/>
                <w:kern w:val="0"/>
                <w:sz w:val="24"/>
                <w:szCs w:val="24"/>
              </w:rPr>
              <w:t>。</w:t>
            </w:r>
            <w:r>
              <w:rPr>
                <w:rFonts w:ascii="宋体" w:hAnsi="宋体" w:cs="宋体"/>
                <w:b/>
                <w:bCs/>
                <w:kern w:val="0"/>
                <w:sz w:val="24"/>
                <w:szCs w:val="24"/>
              </w:rPr>
              <w:t>（</w:t>
            </w:r>
            <w:r>
              <w:rPr>
                <w:rFonts w:ascii="宋体" w:hAnsi="宋体" w:cs="宋体"/>
                <w:b/>
                <w:bCs/>
                <w:kern w:val="0"/>
                <w:sz w:val="24"/>
                <w:szCs w:val="24"/>
                <w:lang w:eastAsia="zh-CN"/>
              </w:rPr>
              <w:t>提供功能截图并加盖产品制造商公章</w:t>
            </w:r>
            <w:r>
              <w:rPr>
                <w:rFonts w:ascii="宋体" w:hAnsi="宋体" w:cs="宋体"/>
                <w:b/>
                <w:b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31</w:t>
            </w:r>
          </w:p>
        </w:tc>
        <w:tc>
          <w:tcPr>
            <w:tcW w:w="656"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单病种服务</w:t>
            </w: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软件服务</w:t>
            </w:r>
          </w:p>
        </w:tc>
        <w:tc>
          <w:tcPr>
            <w:tcW w:w="3198" w:type="pct"/>
            <w:noWrap w:val="0"/>
            <w:vAlign w:val="center"/>
          </w:tcPr>
          <w:p>
            <w:pPr>
              <w:jc w:val="left"/>
              <w:rPr>
                <w:rFonts w:hint="default" w:ascii="宋体" w:hAnsi="宋体" w:cs="宋体"/>
                <w:kern w:val="0"/>
                <w:sz w:val="24"/>
                <w:szCs w:val="24"/>
                <w:lang w:eastAsia="zh-Hans"/>
              </w:rPr>
            </w:pPr>
            <w:r>
              <w:rPr>
                <w:rFonts w:ascii="宋体" w:hAnsi="宋体" w:cs="宋体"/>
                <w:kern w:val="0"/>
                <w:sz w:val="24"/>
                <w:szCs w:val="24"/>
                <w:lang w:eastAsia="zh-Hans"/>
              </w:rPr>
              <w:t>由于国家单病种上报平台的不断优化性质，国家平台接口会有不定期的调整及改造，系统支持24-48h内迅速完成国家平台改造后的接口实现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32</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解决方案</w:t>
            </w:r>
          </w:p>
        </w:tc>
        <w:tc>
          <w:tcPr>
            <w:tcW w:w="3198" w:type="pct"/>
            <w:noWrap w:val="0"/>
            <w:vAlign w:val="center"/>
          </w:tcPr>
          <w:p>
            <w:pPr>
              <w:jc w:val="left"/>
              <w:rPr>
                <w:rFonts w:hint="default" w:ascii="宋体" w:hAnsi="宋体" w:cs="宋体"/>
                <w:kern w:val="0"/>
                <w:sz w:val="24"/>
                <w:szCs w:val="24"/>
                <w:lang w:eastAsia="zh-Hans"/>
              </w:rPr>
            </w:pPr>
            <w:r>
              <w:rPr>
                <w:rFonts w:ascii="宋体" w:hAnsi="宋体" w:cs="宋体"/>
                <w:kern w:val="0"/>
                <w:sz w:val="24"/>
                <w:szCs w:val="24"/>
                <w:lang w:eastAsia="zh-Hans"/>
              </w:rPr>
              <w:t>提供单病种上报完整解决方案，从政策解读，医院现状分析，医院单病种上报落地方案，系统部署，数据集成，系统培训，系统巡检，上报效果等方面提供全方位的解决方案。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33</w:t>
            </w:r>
          </w:p>
        </w:tc>
        <w:tc>
          <w:tcPr>
            <w:tcW w:w="656" w:type="pct"/>
            <w:vMerge w:val="continue"/>
            <w:noWrap w:val="0"/>
            <w:vAlign w:val="center"/>
          </w:tcPr>
          <w:p>
            <w:pPr>
              <w:jc w:val="left"/>
              <w:rPr>
                <w:rFonts w:hint="default" w:ascii="宋体" w:hAnsi="宋体" w:cs="宋体"/>
                <w:kern w:val="0"/>
                <w:sz w:val="24"/>
                <w:szCs w:val="24"/>
              </w:rPr>
            </w:pPr>
          </w:p>
        </w:tc>
        <w:tc>
          <w:tcPr>
            <w:tcW w:w="727" w:type="pct"/>
            <w:noWrap w:val="0"/>
            <w:vAlign w:val="center"/>
          </w:tcPr>
          <w:p>
            <w:pPr>
              <w:jc w:val="left"/>
              <w:rPr>
                <w:rFonts w:hint="default" w:ascii="宋体" w:hAnsi="宋体" w:cs="宋体"/>
                <w:kern w:val="0"/>
                <w:sz w:val="24"/>
                <w:szCs w:val="24"/>
              </w:rPr>
            </w:pPr>
            <w:r>
              <w:rPr>
                <w:rFonts w:ascii="宋体" w:hAnsi="宋体" w:cs="宋体"/>
                <w:kern w:val="0"/>
                <w:sz w:val="24"/>
                <w:szCs w:val="24"/>
              </w:rPr>
              <w:t>历史数据补报</w:t>
            </w:r>
          </w:p>
        </w:tc>
        <w:tc>
          <w:tcPr>
            <w:tcW w:w="3198" w:type="pct"/>
            <w:noWrap w:val="0"/>
            <w:vAlign w:val="center"/>
          </w:tcPr>
          <w:p>
            <w:pPr>
              <w:jc w:val="left"/>
              <w:rPr>
                <w:rFonts w:hint="default" w:ascii="宋体" w:hAnsi="宋体" w:cs="宋体"/>
                <w:kern w:val="0"/>
                <w:sz w:val="24"/>
                <w:szCs w:val="24"/>
                <w:lang w:eastAsia="zh-Hans"/>
              </w:rPr>
            </w:pPr>
            <w:r>
              <w:rPr>
                <w:rFonts w:ascii="宋体" w:hAnsi="宋体" w:cs="宋体"/>
                <w:kern w:val="0"/>
                <w:sz w:val="24"/>
                <w:szCs w:val="24"/>
                <w:lang w:eastAsia="zh-Hans"/>
              </w:rPr>
              <w:t>基于2020年等病种数据未上报的医院，系统支持历史数据补充上报，满足医院对历史数据的上报要求，减少医院历史数据筛选及填报工作量，提高工作效率。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9" w:type="pct"/>
            <w:noWrap w:val="0"/>
            <w:vAlign w:val="center"/>
          </w:tcPr>
          <w:p>
            <w:pPr>
              <w:jc w:val="center"/>
              <w:rPr>
                <w:rFonts w:hint="default" w:ascii="宋体" w:hAnsi="宋体" w:cs="宋体"/>
                <w:kern w:val="0"/>
                <w:sz w:val="24"/>
                <w:szCs w:val="24"/>
              </w:rPr>
            </w:pPr>
            <w:r>
              <w:rPr>
                <w:rFonts w:ascii="宋体" w:hAnsi="宋体" w:cs="宋体"/>
                <w:kern w:val="0"/>
                <w:sz w:val="24"/>
                <w:szCs w:val="24"/>
              </w:rPr>
              <w:t>34</w:t>
            </w:r>
          </w:p>
        </w:tc>
        <w:tc>
          <w:tcPr>
            <w:tcW w:w="656" w:type="pct"/>
            <w:noWrap w:val="0"/>
            <w:vAlign w:val="center"/>
          </w:tcPr>
          <w:p>
            <w:pPr>
              <w:pStyle w:val="158"/>
              <w:kinsoku w:val="0"/>
              <w:overflowPunct w:val="0"/>
              <w:rPr>
                <w:rFonts w:ascii="宋体" w:hAnsi="宋体" w:eastAsia="宋体" w:cs="宋体"/>
                <w:sz w:val="24"/>
                <w:szCs w:val="24"/>
              </w:rPr>
            </w:pPr>
            <w:r>
              <w:rPr>
                <w:rFonts w:hint="eastAsia" w:ascii="宋体" w:hAnsi="宋体" w:eastAsia="宋体" w:cs="宋体"/>
                <w:sz w:val="24"/>
                <w:szCs w:val="24"/>
              </w:rPr>
              <w:t>数据互联互通</w:t>
            </w:r>
          </w:p>
        </w:tc>
        <w:tc>
          <w:tcPr>
            <w:tcW w:w="3925" w:type="pct"/>
            <w:gridSpan w:val="2"/>
            <w:noWrap w:val="0"/>
            <w:vAlign w:val="center"/>
          </w:tcPr>
          <w:p>
            <w:pPr>
              <w:pStyle w:val="158"/>
              <w:kinsoku w:val="0"/>
              <w:overflowPunct w:val="0"/>
              <w:rPr>
                <w:rFonts w:ascii="宋体" w:hAnsi="宋体" w:eastAsia="宋体" w:cs="宋体"/>
                <w:sz w:val="24"/>
                <w:szCs w:val="24"/>
                <w:lang w:eastAsia="zh-Hans"/>
              </w:rPr>
            </w:pPr>
            <w:r>
              <w:rPr>
                <w:rFonts w:hint="eastAsia" w:ascii="宋体" w:hAnsi="宋体" w:eastAsia="宋体" w:cs="宋体"/>
                <w:sz w:val="24"/>
                <w:szCs w:val="24"/>
                <w:lang w:eastAsia="zh-CN"/>
              </w:rPr>
              <w:t>能实现医院病案首页、HIS、LIS、PACS、手麻系统、护理系统、电子病历系统、医疗平台等医院内部信息系统进行对接。</w:t>
            </w:r>
          </w:p>
        </w:tc>
      </w:tr>
    </w:tbl>
    <w:p>
      <w:pPr>
        <w:pStyle w:val="5"/>
        <w:numPr>
          <w:ilvl w:val="2"/>
          <w:numId w:val="13"/>
        </w:numPr>
        <w:spacing w:before="0" w:after="0" w:line="360" w:lineRule="auto"/>
        <w:rPr>
          <w:rFonts w:ascii="宋体" w:hAnsi="宋体"/>
        </w:rPr>
      </w:pPr>
      <w:r>
        <w:rPr>
          <w:rFonts w:hint="eastAsia" w:ascii="宋体" w:hAnsi="宋体"/>
        </w:rPr>
        <w:t>等级医院评审数据上报系统</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4"/>
        <w:gridCol w:w="745"/>
        <w:gridCol w:w="1365"/>
        <w:gridCol w:w="56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blHeader/>
        </w:trPr>
        <w:tc>
          <w:tcPr>
            <w:tcW w:w="419" w:type="pct"/>
            <w:noWrap/>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1238" w:type="pct"/>
            <w:gridSpan w:val="2"/>
            <w:noWrap/>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343"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437"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数据填报</w:t>
            </w:r>
          </w:p>
        </w:tc>
        <w:tc>
          <w:tcPr>
            <w:tcW w:w="801" w:type="pct"/>
            <w:noWrap/>
            <w:vAlign w:val="center"/>
          </w:tcPr>
          <w:p>
            <w:pPr>
              <w:jc w:val="left"/>
              <w:rPr>
                <w:rFonts w:hint="default" w:ascii="宋体" w:hAnsi="宋体" w:cs="宋体"/>
                <w:kern w:val="0"/>
                <w:sz w:val="24"/>
                <w:szCs w:val="24"/>
              </w:rPr>
            </w:pPr>
            <w:r>
              <w:rPr>
                <w:rFonts w:ascii="宋体" w:hAnsi="宋体" w:cs="宋体"/>
                <w:kern w:val="0"/>
                <w:sz w:val="24"/>
                <w:szCs w:val="24"/>
              </w:rPr>
              <w:t>多维度任务查询</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根据上报时间、上报人、上报方式综合查询数据填报结果，默认为登录用户近3个月的任务指标上报情况；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显示各章整体任务进度</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根据查询条件，显示各章任务进度；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能根据章节切换，下钻到各节的进度情况；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显示各节任务进度</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各节指标任务进度可以进行统计展示；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支持节的多选；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noWrap/>
            <w:vAlign w:val="center"/>
          </w:tcPr>
          <w:p>
            <w:pPr>
              <w:jc w:val="left"/>
              <w:rPr>
                <w:rFonts w:hint="default" w:ascii="宋体" w:hAnsi="宋体" w:cs="宋体"/>
                <w:kern w:val="0"/>
                <w:sz w:val="24"/>
                <w:szCs w:val="24"/>
              </w:rPr>
            </w:pPr>
            <w:r>
              <w:rPr>
                <w:rFonts w:ascii="宋体" w:hAnsi="宋体" w:cs="宋体"/>
                <w:kern w:val="0"/>
                <w:sz w:val="24"/>
                <w:szCs w:val="24"/>
              </w:rPr>
              <w:t>选择显示列</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可以自定义指标数据信息的显示列，支持多选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noWrap/>
            <w:vAlign w:val="center"/>
          </w:tcPr>
          <w:p>
            <w:pPr>
              <w:jc w:val="left"/>
              <w:rPr>
                <w:rFonts w:hint="default" w:ascii="宋体" w:hAnsi="宋体" w:cs="宋体"/>
                <w:kern w:val="0"/>
                <w:sz w:val="24"/>
                <w:szCs w:val="24"/>
              </w:rPr>
            </w:pPr>
            <w:r>
              <w:rPr>
                <w:rFonts w:ascii="宋体" w:hAnsi="宋体" w:cs="宋体"/>
                <w:kern w:val="0"/>
                <w:sz w:val="24"/>
                <w:szCs w:val="24"/>
              </w:rPr>
              <w:t>选择显示年份</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可以自定义指标数据信息的显示年份，支持多选，默认近3年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noWrap/>
            <w:vAlign w:val="center"/>
          </w:tcPr>
          <w:p>
            <w:pPr>
              <w:jc w:val="left"/>
              <w:rPr>
                <w:rFonts w:hint="default" w:ascii="宋体" w:hAnsi="宋体" w:cs="宋体"/>
                <w:kern w:val="0"/>
                <w:sz w:val="24"/>
                <w:szCs w:val="24"/>
              </w:rPr>
            </w:pPr>
            <w:r>
              <w:rPr>
                <w:rFonts w:ascii="宋体" w:hAnsi="宋体" w:cs="宋体"/>
                <w:kern w:val="0"/>
                <w:sz w:val="24"/>
                <w:szCs w:val="24"/>
              </w:rPr>
              <w:t>指标结果展示</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对指标年度数据及任务属性数据（上报信息、审批信息、填报方式、审批状态等）的结果展示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noWrap/>
            <w:vAlign w:val="center"/>
          </w:tcPr>
          <w:p>
            <w:pPr>
              <w:jc w:val="left"/>
              <w:rPr>
                <w:rFonts w:hint="default" w:ascii="宋体" w:hAnsi="宋体" w:cs="宋体"/>
                <w:kern w:val="0"/>
                <w:sz w:val="24"/>
                <w:szCs w:val="24"/>
              </w:rPr>
            </w:pPr>
            <w:r>
              <w:rPr>
                <w:rFonts w:ascii="宋体" w:hAnsi="宋体" w:cs="宋体"/>
                <w:kern w:val="0"/>
                <w:sz w:val="24"/>
                <w:szCs w:val="24"/>
              </w:rPr>
              <w:t>指标结果编辑</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点击操作编辑按钮，年度上报结果可进入编辑状态，支持单指标保存，支持编辑后一键全部保存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noWrap/>
            <w:vAlign w:val="center"/>
          </w:tcPr>
          <w:p>
            <w:pPr>
              <w:jc w:val="left"/>
              <w:rPr>
                <w:rFonts w:hint="default" w:ascii="宋体" w:hAnsi="宋体" w:cs="宋体"/>
                <w:kern w:val="0"/>
                <w:sz w:val="24"/>
                <w:szCs w:val="24"/>
              </w:rPr>
            </w:pPr>
            <w:r>
              <w:rPr>
                <w:rFonts w:ascii="宋体" w:hAnsi="宋体" w:cs="宋体"/>
                <w:kern w:val="0"/>
                <w:sz w:val="24"/>
                <w:szCs w:val="24"/>
              </w:rPr>
              <w:t>明细数据查看</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点击查看明细数据按钮，可以进行年度值的结果下钻，具体到科室、月汇总维度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noWrap/>
            <w:vAlign w:val="center"/>
          </w:tcPr>
          <w:p>
            <w:pPr>
              <w:jc w:val="left"/>
              <w:rPr>
                <w:rFonts w:hint="default" w:ascii="宋体" w:hAnsi="宋体" w:cs="宋体"/>
                <w:kern w:val="0"/>
                <w:sz w:val="24"/>
                <w:szCs w:val="24"/>
              </w:rPr>
            </w:pPr>
            <w:r>
              <w:rPr>
                <w:rFonts w:ascii="宋体" w:hAnsi="宋体" w:cs="宋体"/>
                <w:kern w:val="0"/>
                <w:sz w:val="24"/>
                <w:szCs w:val="24"/>
              </w:rPr>
              <w:t>明细数据编辑</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点击明细数据查看页面的数据编辑按钮，明细结果可进入编辑状态，支持结果的增删查改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noWrap/>
            <w:vAlign w:val="center"/>
          </w:tcPr>
          <w:p>
            <w:pPr>
              <w:jc w:val="left"/>
              <w:rPr>
                <w:rFonts w:hint="default" w:ascii="宋体" w:hAnsi="宋体" w:cs="宋体"/>
                <w:kern w:val="0"/>
                <w:sz w:val="24"/>
                <w:szCs w:val="24"/>
              </w:rPr>
            </w:pPr>
            <w:r>
              <w:rPr>
                <w:rFonts w:ascii="宋体" w:hAnsi="宋体" w:cs="宋体"/>
                <w:kern w:val="0"/>
                <w:sz w:val="24"/>
                <w:szCs w:val="24"/>
              </w:rPr>
              <w:t>明细模板编辑</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点击明细数据查看页面的模板编辑按钮，链接进入模板编辑页面，支持模板的修改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437"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指标数据分析</w:t>
            </w: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指标树查询</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以指标树的形式，对评审指标按父子关系进行展示；支持指标的筛选、多选；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指标树选择指标范围与展示结果可以联动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指标多维度查询</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根据统计月份进行查询；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支持根据指标标签进行筛选，其中标签可以多选；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结果卡片矩阵展示</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每个指标以指标卡片的形式进行展示，展示内容包括：指标名称、指标值、同比、环比、趋势以及指标标签信息；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支持指标的解释和引用；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结果列表展示</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选择的指标以列表的形式进行展示，展示内容包括：指标名称、指标值、同比、环比、趋势以及指标标签信息；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支持指标的解释和引用；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noWrap/>
            <w:vAlign w:val="center"/>
          </w:tcPr>
          <w:p>
            <w:pPr>
              <w:jc w:val="left"/>
              <w:rPr>
                <w:rFonts w:hint="default" w:ascii="宋体" w:hAnsi="宋体" w:cs="宋体"/>
                <w:kern w:val="0"/>
                <w:sz w:val="24"/>
                <w:szCs w:val="24"/>
              </w:rPr>
            </w:pPr>
            <w:r>
              <w:rPr>
                <w:rFonts w:ascii="宋体" w:hAnsi="宋体" w:cs="宋体"/>
                <w:kern w:val="0"/>
                <w:sz w:val="24"/>
                <w:szCs w:val="24"/>
              </w:rPr>
              <w:t>指标下钻分析</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支持指标的下钻分析，可点击详情分析按钮，进入详情分析页面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详情信息卡片展示</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每个指标以指标卡片的形式进行展示，包括配对的分子、分母结果，展示内容包括：指标名称、指标值、同比、环比、趋势以及指标标签信息；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支持指标的解释和引用；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指标结果的可视化展示</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支持指标值、分子、分母的同时间轴对比查看；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支持结果值的显隐，支持详情数据查看和单独窗口查看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noWrap w:val="0"/>
            <w:vAlign w:val="center"/>
          </w:tcPr>
          <w:p>
            <w:pPr>
              <w:jc w:val="left"/>
              <w:rPr>
                <w:rFonts w:hint="default" w:ascii="宋体" w:hAnsi="宋体" w:cs="宋体"/>
                <w:kern w:val="0"/>
                <w:sz w:val="24"/>
                <w:szCs w:val="24"/>
              </w:rPr>
            </w:pPr>
            <w:r>
              <w:rPr>
                <w:rFonts w:ascii="宋体" w:hAnsi="宋体" w:cs="宋体"/>
                <w:kern w:val="0"/>
                <w:sz w:val="24"/>
                <w:szCs w:val="24"/>
              </w:rPr>
              <w:t>指标结果的数据表查看</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详情数据以表的形式进行展示，包括时间、科室等维度信息，以及指标值、指标值同比、指标值环比；分子值、分母值，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437"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填报任务管理</w:t>
            </w: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任务管理</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支持多维度任务查询，包括上报人、上报时间、完成比例等，其中完成比例可以自助选择比例范围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以列表形式，展示任务进展，展示信息包括：完成比例、任务编码、任务指标数量、已填报指标数量、已审批指标数量以及上报人员、上报时间、审批人、审批时间等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支持任务详情查看，以下拉列表或者新滑动窗口的形式进行展示，展示内容具体到任务中每个指标的审批状态维度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支持任务的新建，点击任务新建后弹出新建任务窗口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新建任务-选择指标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新建任务-选择责任人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新建任务-任务提交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审批管理</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多维度任务查询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审批状态数量统计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审批指标list查看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审批指标详情页查看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审批指标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437"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基础配置信息</w:t>
            </w: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指标信息配置</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指标详情信息查看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指标信息编辑-基础信息编辑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指标信息编辑-结构定位信息编辑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指标信息编辑-数据逻辑信息编辑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指标信息编辑-标签信息编辑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指标信息同步至指标元数据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指标树编辑-目录新增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指标树编辑-指标新增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指标树编辑-删改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人员信息配置</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人员-科室组织关系查看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人员基础信息查看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人员信息编辑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人员信息主数据同步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数据码表配置</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码表基础信息查看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码表信息编辑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437" w:type="pct"/>
            <w:vMerge w:val="restart"/>
            <w:noWrap/>
            <w:vAlign w:val="center"/>
          </w:tcPr>
          <w:p>
            <w:pPr>
              <w:jc w:val="center"/>
              <w:rPr>
                <w:rFonts w:hint="default" w:ascii="宋体" w:hAnsi="宋体" w:cs="宋体"/>
                <w:kern w:val="0"/>
                <w:sz w:val="24"/>
                <w:szCs w:val="24"/>
              </w:rPr>
            </w:pPr>
            <w:r>
              <w:rPr>
                <w:rFonts w:ascii="宋体" w:hAnsi="宋体" w:cs="宋体"/>
                <w:kern w:val="0"/>
                <w:sz w:val="24"/>
                <w:szCs w:val="24"/>
              </w:rPr>
              <w:t>指标模板管理</w:t>
            </w:r>
          </w:p>
        </w:tc>
        <w:tc>
          <w:tcPr>
            <w:tcW w:w="801" w:type="pct"/>
            <w:vMerge w:val="restart"/>
            <w:noWrap/>
            <w:vAlign w:val="center"/>
          </w:tcPr>
          <w:p>
            <w:pPr>
              <w:jc w:val="left"/>
              <w:rPr>
                <w:rFonts w:hint="default" w:ascii="宋体" w:hAnsi="宋体" w:cs="宋体"/>
                <w:kern w:val="0"/>
                <w:sz w:val="24"/>
                <w:szCs w:val="24"/>
              </w:rPr>
            </w:pPr>
            <w:r>
              <w:rPr>
                <w:rFonts w:ascii="宋体" w:hAnsi="宋体" w:cs="宋体"/>
                <w:kern w:val="0"/>
                <w:sz w:val="24"/>
                <w:szCs w:val="24"/>
              </w:rPr>
              <w:t>模板管理</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模板信息查询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模板示例查看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模板编辑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表格布局控件配置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业务定制控件配置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基础通用控件配置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表格行列操作控件配置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表格操作与数据表联动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表单模板配置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9" w:type="pct"/>
            <w:vMerge w:val="continue"/>
            <w:noWrap w:val="0"/>
            <w:vAlign w:val="center"/>
          </w:tcPr>
          <w:p>
            <w:pPr>
              <w:jc w:val="left"/>
              <w:rPr>
                <w:rFonts w:hint="default" w:ascii="宋体" w:hAnsi="宋体" w:cs="宋体"/>
                <w:kern w:val="0"/>
                <w:sz w:val="24"/>
                <w:szCs w:val="24"/>
              </w:rPr>
            </w:pPr>
          </w:p>
        </w:tc>
        <w:tc>
          <w:tcPr>
            <w:tcW w:w="437" w:type="pct"/>
            <w:vMerge w:val="continue"/>
            <w:noWrap w:val="0"/>
            <w:vAlign w:val="center"/>
          </w:tcPr>
          <w:p>
            <w:pPr>
              <w:jc w:val="left"/>
              <w:rPr>
                <w:rFonts w:hint="default" w:ascii="宋体" w:hAnsi="宋体" w:cs="宋体"/>
                <w:kern w:val="0"/>
                <w:sz w:val="24"/>
                <w:szCs w:val="24"/>
              </w:rPr>
            </w:pPr>
          </w:p>
        </w:tc>
        <w:tc>
          <w:tcPr>
            <w:tcW w:w="801" w:type="pct"/>
            <w:vMerge w:val="continue"/>
            <w:noWrap w:val="0"/>
            <w:vAlign w:val="center"/>
          </w:tcPr>
          <w:p>
            <w:pPr>
              <w:jc w:val="left"/>
              <w:rPr>
                <w:rFonts w:hint="default" w:ascii="宋体" w:hAnsi="宋体" w:cs="宋体"/>
                <w:kern w:val="0"/>
                <w:sz w:val="24"/>
                <w:szCs w:val="24"/>
              </w:rPr>
            </w:pP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表单保存与发布为模板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9" w:type="pct"/>
            <w:noWrap/>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1238" w:type="pct"/>
            <w:gridSpan w:val="2"/>
            <w:noWrap/>
            <w:vAlign w:val="center"/>
          </w:tcPr>
          <w:p>
            <w:pPr>
              <w:jc w:val="center"/>
              <w:rPr>
                <w:rFonts w:hint="default" w:ascii="宋体" w:hAnsi="宋体" w:cs="宋体"/>
                <w:kern w:val="0"/>
                <w:sz w:val="24"/>
                <w:szCs w:val="24"/>
              </w:rPr>
            </w:pPr>
            <w:r>
              <w:rPr>
                <w:rFonts w:ascii="宋体" w:hAnsi="宋体" w:cs="宋体"/>
                <w:kern w:val="0"/>
                <w:sz w:val="24"/>
                <w:szCs w:val="24"/>
              </w:rPr>
              <w:t>指标库管理</w:t>
            </w:r>
          </w:p>
        </w:tc>
        <w:tc>
          <w:tcPr>
            <w:tcW w:w="3343" w:type="pct"/>
            <w:noWrap w:val="0"/>
            <w:vAlign w:val="center"/>
          </w:tcPr>
          <w:p>
            <w:pPr>
              <w:jc w:val="left"/>
              <w:rPr>
                <w:rFonts w:hint="default" w:ascii="宋体" w:hAnsi="宋体" w:cs="宋体"/>
                <w:kern w:val="0"/>
                <w:sz w:val="24"/>
                <w:szCs w:val="24"/>
              </w:rPr>
            </w:pPr>
            <w:r>
              <w:rPr>
                <w:rFonts w:ascii="宋体" w:hAnsi="宋体" w:cs="宋体"/>
                <w:kern w:val="0"/>
                <w:sz w:val="24"/>
                <w:szCs w:val="24"/>
              </w:rPr>
              <w:t>三级医院评审指标管理</w:t>
            </w:r>
          </w:p>
        </w:tc>
      </w:tr>
    </w:tbl>
    <w:p>
      <w:pPr>
        <w:pStyle w:val="5"/>
        <w:numPr>
          <w:ilvl w:val="2"/>
          <w:numId w:val="13"/>
        </w:numPr>
        <w:spacing w:before="0" w:after="0" w:line="360" w:lineRule="auto"/>
        <w:rPr>
          <w:rFonts w:ascii="宋体" w:hAnsi="宋体"/>
        </w:rPr>
      </w:pPr>
      <w:r>
        <w:rPr>
          <w:rFonts w:hint="eastAsia" w:ascii="宋体" w:hAnsi="宋体"/>
        </w:rPr>
        <w:t>患者电子签名平台</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3"/>
        <w:gridCol w:w="1226"/>
        <w:gridCol w:w="65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blHeader/>
        </w:trPr>
        <w:tc>
          <w:tcPr>
            <w:tcW w:w="418"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序号</w:t>
            </w:r>
          </w:p>
        </w:tc>
        <w:tc>
          <w:tcPr>
            <w:tcW w:w="719"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功能模块</w:t>
            </w:r>
          </w:p>
        </w:tc>
        <w:tc>
          <w:tcPr>
            <w:tcW w:w="3861" w:type="pct"/>
            <w:noWrap w:val="0"/>
            <w:vAlign w:val="center"/>
          </w:tcPr>
          <w:p>
            <w:pPr>
              <w:jc w:val="center"/>
              <w:rPr>
                <w:rFonts w:hint="default" w:ascii="宋体" w:hAnsi="宋体" w:cs="宋体"/>
                <w:b/>
                <w:bCs/>
                <w:kern w:val="0"/>
                <w:sz w:val="24"/>
                <w:szCs w:val="24"/>
              </w:rPr>
            </w:pPr>
            <w:r>
              <w:rPr>
                <w:rFonts w:ascii="宋体" w:hAnsi="宋体" w:cs="宋体"/>
                <w:b/>
                <w:bCs/>
                <w:kern w:val="0"/>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8" w:type="pc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7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患者手写签名服务器</w:t>
            </w: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申请和获取签名数字证书。根据签名业务及签名人鉴证信息，可在不需要连接互联网的医院内网环境使用；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8" w:type="pc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提供患者对PDF格式的知情同意书的手写电子签名服务。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8" w:type="pc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通过手写输入设备，获取签名人手写签字，作为数字签名可视化展现效果图示。支持手写板、智能手机、PAD、PDA等终端设备。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8" w:type="pc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支持患者使用自己手机微信扫码阅读后手写签名或将知情同意书推送到患者手机阅读后手写签名。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8" w:type="pc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手写数字签名能够支持对接个人多源身份认证平台实现患者手写签字时的身份实名认证，包括基于公安部人口库的人脸识别认证、银行三要数、四要素认证、电信运营商认证、微信、支付宝等个人身份多源认证、个人网上身份统一认证需求，满足不同患者认证方式便利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8" w:type="pct"/>
            <w:noWrap w:val="0"/>
            <w:vAlign w:val="center"/>
          </w:tcPr>
          <w:p>
            <w:pPr>
              <w:jc w:val="center"/>
              <w:rPr>
                <w:rFonts w:hint="default" w:ascii="宋体" w:hAnsi="宋体" w:cs="宋体"/>
                <w:kern w:val="0"/>
                <w:sz w:val="24"/>
                <w:szCs w:val="24"/>
              </w:rPr>
            </w:pPr>
            <w:r>
              <w:rPr>
                <w:rFonts w:ascii="宋体" w:hAnsi="宋体" w:cs="宋体"/>
                <w:kern w:val="0"/>
                <w:sz w:val="24"/>
                <w:szCs w:val="24"/>
              </w:rPr>
              <w:t>6</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手写数字签名能够支持基于微信、支付宝、IOS/Android移动端SDK集成、PDA/PAD等手持专用设备进行人证比对，通过人脸识别对患者/患者家属进行实名身份认证。人脸识别实名身份认证支持录制视频时，系统根据动作（抬头/眨眼/张嘴）及人像信息进行活体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8" w:type="pct"/>
            <w:noWrap w:val="0"/>
            <w:vAlign w:val="center"/>
          </w:tcPr>
          <w:p>
            <w:pPr>
              <w:jc w:val="center"/>
              <w:rPr>
                <w:rFonts w:hint="default" w:ascii="宋体" w:hAnsi="宋体" w:cs="宋体"/>
                <w:kern w:val="0"/>
                <w:sz w:val="24"/>
                <w:szCs w:val="24"/>
              </w:rPr>
            </w:pPr>
            <w:r>
              <w:rPr>
                <w:rFonts w:ascii="宋体" w:hAnsi="宋体" w:cs="宋体"/>
                <w:kern w:val="0"/>
                <w:sz w:val="24"/>
                <w:szCs w:val="24"/>
              </w:rPr>
              <w:t>7</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患者通过自有手机完成手写数字签名后，笔迹能够同步到医生工作站PC端，供医生进行查看和拖曳定位。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8" w:type="pct"/>
            <w:noWrap w:val="0"/>
            <w:vAlign w:val="center"/>
          </w:tcPr>
          <w:p>
            <w:pPr>
              <w:jc w:val="center"/>
              <w:rPr>
                <w:rFonts w:hint="default" w:ascii="宋体" w:hAnsi="宋体" w:cs="宋体"/>
                <w:kern w:val="0"/>
                <w:sz w:val="24"/>
                <w:szCs w:val="24"/>
              </w:rPr>
            </w:pPr>
            <w:r>
              <w:rPr>
                <w:rFonts w:ascii="宋体" w:hAnsi="宋体" w:cs="宋体"/>
                <w:kern w:val="0"/>
                <w:sz w:val="24"/>
                <w:szCs w:val="24"/>
              </w:rPr>
              <w:t>8</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患者通过自有手机完成手写数字签名后，系统会签发场景证书，实现手写数字签名结果的数字签名和签章，确保文档的完整性保护。每次手写过程均生成唯一的场景证书，确保密钥和数字证书的唯一性和可靠性。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8" w:type="pct"/>
            <w:noWrap w:val="0"/>
            <w:vAlign w:val="center"/>
          </w:tcPr>
          <w:p>
            <w:pPr>
              <w:jc w:val="center"/>
              <w:rPr>
                <w:rFonts w:hint="default" w:ascii="宋体" w:hAnsi="宋体" w:cs="宋体"/>
                <w:kern w:val="0"/>
                <w:sz w:val="24"/>
                <w:szCs w:val="24"/>
              </w:rPr>
            </w:pPr>
            <w:r>
              <w:rPr>
                <w:rFonts w:ascii="宋体" w:hAnsi="宋体" w:cs="宋体"/>
                <w:kern w:val="0"/>
                <w:sz w:val="24"/>
                <w:szCs w:val="24"/>
              </w:rPr>
              <w:t>9</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患者通过自有手机完成手写数字签名后，其签署文档即通过数字签名技术进行保护，可以进行签署者身份校验和完整性校验，当文档发生篡改，则文档签名验证提示不通过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8" w:type="pct"/>
            <w:noWrap w:val="0"/>
            <w:vAlign w:val="center"/>
          </w:tcPr>
          <w:p>
            <w:pPr>
              <w:jc w:val="center"/>
              <w:rPr>
                <w:rFonts w:hint="default" w:ascii="宋体" w:hAnsi="宋体" w:cs="宋体"/>
                <w:kern w:val="0"/>
                <w:sz w:val="24"/>
                <w:szCs w:val="24"/>
              </w:rPr>
            </w:pPr>
            <w:r>
              <w:rPr>
                <w:rFonts w:ascii="宋体" w:hAnsi="宋体" w:cs="宋体"/>
                <w:kern w:val="0"/>
                <w:sz w:val="24"/>
                <w:szCs w:val="24"/>
              </w:rPr>
              <w:t>10</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通过指纹采集设备，获取签名人指纹，用以标识签名人身份特征，且用作后期的责任认定。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8" w:type="pct"/>
            <w:noWrap w:val="0"/>
            <w:vAlign w:val="center"/>
          </w:tcPr>
          <w:p>
            <w:pPr>
              <w:jc w:val="center"/>
              <w:rPr>
                <w:rFonts w:hint="default" w:ascii="宋体" w:hAnsi="宋体" w:cs="宋体"/>
                <w:kern w:val="0"/>
                <w:sz w:val="24"/>
                <w:szCs w:val="24"/>
              </w:rPr>
            </w:pPr>
            <w:r>
              <w:rPr>
                <w:rFonts w:ascii="宋体" w:hAnsi="宋体" w:cs="宋体"/>
                <w:kern w:val="0"/>
                <w:sz w:val="24"/>
                <w:szCs w:val="24"/>
              </w:rPr>
              <w:t>11</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通过影像采集设备，获取签名人影像信息，用以标识签名人身份特征及签名行为，且用作后期的责任认定。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8" w:type="pct"/>
            <w:noWrap w:val="0"/>
            <w:vAlign w:val="center"/>
          </w:tcPr>
          <w:p>
            <w:pPr>
              <w:jc w:val="center"/>
              <w:rPr>
                <w:rFonts w:hint="default" w:ascii="宋体" w:hAnsi="宋体" w:cs="宋体"/>
                <w:kern w:val="0"/>
                <w:sz w:val="24"/>
                <w:szCs w:val="24"/>
              </w:rPr>
            </w:pPr>
            <w:r>
              <w:rPr>
                <w:rFonts w:ascii="宋体" w:hAnsi="宋体" w:cs="宋体"/>
                <w:kern w:val="0"/>
                <w:sz w:val="24"/>
                <w:szCs w:val="24"/>
              </w:rPr>
              <w:t>12</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使用数字签名密码算法，对数据内容进行密码运算，保护内容的完整性、有效性、和签名行为的不可否认性。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8" w:type="pct"/>
            <w:noWrap w:val="0"/>
            <w:vAlign w:val="center"/>
          </w:tcPr>
          <w:p>
            <w:pPr>
              <w:jc w:val="center"/>
              <w:rPr>
                <w:rFonts w:hint="default" w:ascii="宋体" w:hAnsi="宋体" w:cs="宋体"/>
                <w:kern w:val="0"/>
                <w:sz w:val="24"/>
                <w:szCs w:val="24"/>
              </w:rPr>
            </w:pPr>
            <w:r>
              <w:rPr>
                <w:rFonts w:ascii="宋体" w:hAnsi="宋体" w:cs="宋体"/>
                <w:kern w:val="0"/>
                <w:sz w:val="24"/>
                <w:szCs w:val="24"/>
              </w:rPr>
              <w:t>13</w:t>
            </w:r>
          </w:p>
        </w:tc>
        <w:tc>
          <w:tcPr>
            <w:tcW w:w="7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非功能指标</w:t>
            </w: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提供C、COM 、Java 等主流开发API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8" w:type="pct"/>
            <w:noWrap w:val="0"/>
            <w:vAlign w:val="center"/>
          </w:tcPr>
          <w:p>
            <w:pPr>
              <w:jc w:val="center"/>
              <w:rPr>
                <w:rFonts w:hint="default" w:ascii="宋体" w:hAnsi="宋体" w:eastAsia="宋体" w:cs="宋体"/>
                <w:kern w:val="0"/>
                <w:sz w:val="24"/>
                <w:szCs w:val="24"/>
                <w:lang w:val="en-US" w:eastAsia="zh-CN"/>
              </w:rPr>
            </w:pPr>
            <w:r>
              <w:rPr>
                <w:rFonts w:ascii="宋体" w:hAnsi="宋体" w:cs="宋体"/>
                <w:kern w:val="0"/>
                <w:sz w:val="24"/>
                <w:szCs w:val="24"/>
                <w:lang w:val="en-US" w:eastAsia="zh-CN"/>
              </w:rPr>
              <w:t>14</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网络接口: 4个千兆网口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8" w:type="pct"/>
            <w:noWrap w:val="0"/>
            <w:vAlign w:val="center"/>
          </w:tcPr>
          <w:p>
            <w:pPr>
              <w:jc w:val="center"/>
              <w:rPr>
                <w:rFonts w:hint="default" w:ascii="宋体" w:hAnsi="宋体" w:eastAsia="宋体" w:cs="宋体"/>
                <w:kern w:val="0"/>
                <w:sz w:val="24"/>
                <w:szCs w:val="24"/>
                <w:lang w:val="en-US" w:eastAsia="zh-CN"/>
              </w:rPr>
            </w:pPr>
            <w:r>
              <w:rPr>
                <w:rFonts w:ascii="宋体" w:hAnsi="宋体" w:cs="宋体"/>
                <w:kern w:val="0"/>
                <w:sz w:val="24"/>
                <w:szCs w:val="24"/>
                <w:lang w:val="en-US" w:eastAsia="zh-CN"/>
              </w:rPr>
              <w:t>15</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电源指标：1个工控冗余电源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8" w:type="pct"/>
            <w:noWrap w:val="0"/>
            <w:vAlign w:val="center"/>
          </w:tcPr>
          <w:p>
            <w:pPr>
              <w:jc w:val="center"/>
              <w:rPr>
                <w:rFonts w:hint="default" w:ascii="宋体" w:hAnsi="宋体" w:eastAsia="宋体" w:cs="宋体"/>
                <w:kern w:val="0"/>
                <w:sz w:val="24"/>
                <w:szCs w:val="24"/>
                <w:lang w:val="en-US" w:eastAsia="zh-CN"/>
              </w:rPr>
            </w:pPr>
            <w:r>
              <w:rPr>
                <w:rFonts w:ascii="宋体" w:hAnsi="宋体" w:cs="宋体"/>
                <w:kern w:val="0"/>
                <w:sz w:val="24"/>
                <w:szCs w:val="24"/>
                <w:lang w:val="en-US" w:eastAsia="zh-CN"/>
              </w:rPr>
              <w:t>16</w:t>
            </w:r>
          </w:p>
        </w:tc>
        <w:tc>
          <w:tcPr>
            <w:tcW w:w="719"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手写板参数</w:t>
            </w: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 xml:space="preserve">显示屏大于等于10英寸，支持患者直接浏览知情同意书。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8" w:type="pct"/>
            <w:noWrap w:val="0"/>
            <w:vAlign w:val="center"/>
          </w:tcPr>
          <w:p>
            <w:pPr>
              <w:jc w:val="center"/>
              <w:rPr>
                <w:rFonts w:hint="default" w:ascii="宋体" w:hAnsi="宋体" w:eastAsia="宋体" w:cs="宋体"/>
                <w:kern w:val="0"/>
                <w:sz w:val="24"/>
                <w:szCs w:val="24"/>
                <w:lang w:val="en-US" w:eastAsia="zh-CN"/>
              </w:rPr>
            </w:pPr>
            <w:r>
              <w:rPr>
                <w:rFonts w:ascii="宋体" w:hAnsi="宋体" w:cs="宋体"/>
                <w:kern w:val="0"/>
                <w:sz w:val="24"/>
                <w:szCs w:val="24"/>
                <w:lang w:val="en-US" w:eastAsia="zh-CN"/>
              </w:rPr>
              <w:t>17</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手写签名采集：通过显示屏签名板采集签名笔迹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8" w:type="pct"/>
            <w:noWrap w:val="0"/>
            <w:vAlign w:val="center"/>
          </w:tcPr>
          <w:p>
            <w:pPr>
              <w:jc w:val="center"/>
              <w:rPr>
                <w:rFonts w:hint="default" w:ascii="宋体" w:hAnsi="宋体" w:eastAsia="宋体" w:cs="宋体"/>
                <w:kern w:val="0"/>
                <w:sz w:val="24"/>
                <w:szCs w:val="24"/>
                <w:lang w:val="en-US" w:eastAsia="zh-CN"/>
              </w:rPr>
            </w:pPr>
            <w:r>
              <w:rPr>
                <w:rFonts w:ascii="宋体" w:hAnsi="宋体" w:cs="宋体"/>
                <w:kern w:val="0"/>
                <w:sz w:val="24"/>
                <w:szCs w:val="24"/>
              </w:rPr>
              <w:t>1</w:t>
            </w:r>
            <w:r>
              <w:rPr>
                <w:rFonts w:ascii="宋体" w:hAnsi="宋体" w:cs="宋体"/>
                <w:kern w:val="0"/>
                <w:sz w:val="24"/>
                <w:szCs w:val="24"/>
                <w:lang w:val="en-US" w:eastAsia="zh-CN"/>
              </w:rPr>
              <w:t>8</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包含指纹采集采集模块。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8" w:type="pct"/>
            <w:noWrap w:val="0"/>
            <w:vAlign w:val="center"/>
          </w:tcPr>
          <w:p>
            <w:pPr>
              <w:jc w:val="center"/>
              <w:rPr>
                <w:rFonts w:hint="default" w:ascii="宋体" w:hAnsi="宋体" w:eastAsia="宋体" w:cs="宋体"/>
                <w:kern w:val="0"/>
                <w:sz w:val="24"/>
                <w:szCs w:val="24"/>
                <w:lang w:val="en-US" w:eastAsia="zh-CN"/>
              </w:rPr>
            </w:pPr>
            <w:r>
              <w:rPr>
                <w:rFonts w:ascii="宋体" w:hAnsi="宋体" w:cs="宋体"/>
                <w:kern w:val="0"/>
                <w:sz w:val="24"/>
                <w:szCs w:val="24"/>
                <w:lang w:val="en-US" w:eastAsia="zh-CN"/>
              </w:rPr>
              <w:t>19</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采用电磁压感相应技术，实现对签名人手写生物特征的完整采集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8" w:type="pct"/>
            <w:noWrap w:val="0"/>
            <w:vAlign w:val="center"/>
          </w:tcPr>
          <w:p>
            <w:pPr>
              <w:jc w:val="center"/>
              <w:rPr>
                <w:rFonts w:hint="default" w:ascii="宋体" w:hAnsi="宋体" w:eastAsia="宋体" w:cs="宋体"/>
                <w:kern w:val="0"/>
                <w:sz w:val="24"/>
                <w:szCs w:val="24"/>
                <w:lang w:val="en-US" w:eastAsia="zh-CN"/>
              </w:rPr>
            </w:pPr>
            <w:r>
              <w:rPr>
                <w:rFonts w:ascii="宋体" w:hAnsi="宋体" w:cs="宋体"/>
                <w:kern w:val="0"/>
                <w:sz w:val="24"/>
                <w:szCs w:val="24"/>
              </w:rPr>
              <w:t>2</w:t>
            </w:r>
            <w:r>
              <w:rPr>
                <w:rFonts w:ascii="宋体" w:hAnsi="宋体" w:cs="宋体"/>
                <w:kern w:val="0"/>
                <w:sz w:val="24"/>
                <w:szCs w:val="24"/>
                <w:lang w:val="en-US" w:eastAsia="zh-CN"/>
              </w:rPr>
              <w:t>0</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USB数据传输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8" w:type="pct"/>
            <w:noWrap w:val="0"/>
            <w:vAlign w:val="center"/>
          </w:tcPr>
          <w:p>
            <w:pPr>
              <w:jc w:val="center"/>
              <w:rPr>
                <w:rFonts w:hint="default" w:ascii="宋体" w:hAnsi="宋体" w:eastAsia="宋体" w:cs="宋体"/>
                <w:kern w:val="0"/>
                <w:sz w:val="24"/>
                <w:szCs w:val="24"/>
                <w:lang w:eastAsia="zh-CN"/>
              </w:rPr>
            </w:pPr>
            <w:r>
              <w:rPr>
                <w:rFonts w:ascii="宋体" w:hAnsi="宋体" w:cs="宋体"/>
                <w:kern w:val="0"/>
                <w:sz w:val="24"/>
                <w:szCs w:val="24"/>
              </w:rPr>
              <w:t>2</w:t>
            </w:r>
            <w:r>
              <w:rPr>
                <w:rFonts w:ascii="宋体" w:hAnsi="宋体" w:cs="宋体"/>
                <w:kern w:val="0"/>
                <w:sz w:val="24"/>
                <w:szCs w:val="24"/>
                <w:lang w:val="en-US" w:eastAsia="zh-CN"/>
              </w:rPr>
              <w:t>1</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内置签名密码模块完成对电子文档及笔迹的数字签名运算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8" w:type="pct"/>
            <w:noWrap w:val="0"/>
            <w:vAlign w:val="center"/>
          </w:tcPr>
          <w:p>
            <w:pPr>
              <w:jc w:val="center"/>
              <w:rPr>
                <w:rFonts w:hint="default" w:ascii="宋体" w:hAnsi="宋体" w:eastAsia="宋体" w:cs="宋体"/>
                <w:kern w:val="0"/>
                <w:sz w:val="24"/>
                <w:szCs w:val="24"/>
                <w:lang w:eastAsia="zh-CN"/>
              </w:rPr>
            </w:pPr>
            <w:r>
              <w:rPr>
                <w:rFonts w:ascii="宋体" w:hAnsi="宋体" w:cs="宋体"/>
                <w:kern w:val="0"/>
                <w:sz w:val="24"/>
                <w:szCs w:val="24"/>
              </w:rPr>
              <w:t>2</w:t>
            </w:r>
            <w:r>
              <w:rPr>
                <w:rFonts w:ascii="宋体" w:hAnsi="宋体" w:cs="宋体"/>
                <w:kern w:val="0"/>
                <w:sz w:val="24"/>
                <w:szCs w:val="24"/>
                <w:lang w:val="en-US" w:eastAsia="zh-CN"/>
              </w:rPr>
              <w:t>2</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支持原笔迹手写签名，1024级压感、实现笔锋等效果、能够体现患者的手写生物特征。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8" w:type="pct"/>
            <w:noWrap w:val="0"/>
            <w:vAlign w:val="center"/>
          </w:tcPr>
          <w:p>
            <w:pPr>
              <w:jc w:val="center"/>
              <w:rPr>
                <w:rFonts w:hint="default" w:ascii="宋体" w:hAnsi="宋体" w:eastAsia="宋体" w:cs="宋体"/>
                <w:kern w:val="0"/>
                <w:sz w:val="24"/>
                <w:szCs w:val="24"/>
                <w:lang w:eastAsia="zh-CN"/>
              </w:rPr>
            </w:pPr>
            <w:r>
              <w:rPr>
                <w:rFonts w:ascii="宋体" w:hAnsi="宋体" w:cs="宋体"/>
                <w:kern w:val="0"/>
                <w:sz w:val="24"/>
                <w:szCs w:val="24"/>
              </w:rPr>
              <w:t>2</w:t>
            </w:r>
            <w:r>
              <w:rPr>
                <w:rFonts w:ascii="宋体" w:hAnsi="宋体" w:cs="宋体"/>
                <w:kern w:val="0"/>
                <w:sz w:val="24"/>
                <w:szCs w:val="24"/>
                <w:lang w:val="en-US" w:eastAsia="zh-CN"/>
              </w:rPr>
              <w:t>3</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手写笔无需连接线，无需电池供电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18" w:type="pct"/>
            <w:noWrap w:val="0"/>
            <w:vAlign w:val="center"/>
          </w:tcPr>
          <w:p>
            <w:pPr>
              <w:jc w:val="center"/>
              <w:rPr>
                <w:rFonts w:hint="default" w:ascii="宋体" w:hAnsi="宋体" w:eastAsia="宋体" w:cs="宋体"/>
                <w:kern w:val="0"/>
                <w:sz w:val="24"/>
                <w:szCs w:val="24"/>
                <w:lang w:eastAsia="zh-CN"/>
              </w:rPr>
            </w:pPr>
            <w:r>
              <w:rPr>
                <w:rFonts w:ascii="宋体" w:hAnsi="宋体" w:cs="宋体"/>
                <w:kern w:val="0"/>
                <w:sz w:val="24"/>
                <w:szCs w:val="24"/>
              </w:rPr>
              <w:t>2</w:t>
            </w:r>
            <w:r>
              <w:rPr>
                <w:rFonts w:ascii="宋体" w:hAnsi="宋体" w:cs="宋体"/>
                <w:kern w:val="0"/>
                <w:sz w:val="24"/>
                <w:szCs w:val="24"/>
                <w:lang w:val="en-US" w:eastAsia="zh-CN"/>
              </w:rPr>
              <w:t>4</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提供指纹比对功能，实现指纹身份验证，防伪伪造和抵赖。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418" w:type="pct"/>
            <w:noWrap w:val="0"/>
            <w:vAlign w:val="center"/>
          </w:tcPr>
          <w:p>
            <w:pPr>
              <w:jc w:val="center"/>
              <w:rPr>
                <w:rFonts w:hint="default" w:ascii="宋体" w:hAnsi="宋体" w:eastAsia="宋体" w:cs="宋体"/>
                <w:kern w:val="0"/>
                <w:sz w:val="24"/>
                <w:szCs w:val="24"/>
                <w:lang w:eastAsia="zh-CN"/>
              </w:rPr>
            </w:pPr>
            <w:r>
              <w:rPr>
                <w:rFonts w:ascii="宋体" w:hAnsi="宋体" w:cs="宋体"/>
                <w:kern w:val="0"/>
                <w:sz w:val="24"/>
                <w:szCs w:val="24"/>
              </w:rPr>
              <w:t>2</w:t>
            </w:r>
            <w:r>
              <w:rPr>
                <w:rFonts w:ascii="宋体" w:hAnsi="宋体" w:cs="宋体"/>
                <w:kern w:val="0"/>
                <w:sz w:val="24"/>
                <w:szCs w:val="24"/>
                <w:lang w:val="en-US" w:eastAsia="zh-CN"/>
              </w:rPr>
              <w:t>5</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能够与不同架构不同开发语言的应用系统进行对接，如OA系统、电子病历系统、护理病历系统、LIS系统 、PACS系统和HIS系统等。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5" w:hRule="atLeast"/>
        </w:trPr>
        <w:tc>
          <w:tcPr>
            <w:tcW w:w="418" w:type="pct"/>
            <w:noWrap w:val="0"/>
            <w:vAlign w:val="center"/>
          </w:tcPr>
          <w:p>
            <w:pPr>
              <w:jc w:val="center"/>
              <w:rPr>
                <w:rFonts w:hint="default" w:ascii="宋体" w:hAnsi="宋体" w:eastAsia="宋体" w:cs="宋体"/>
                <w:kern w:val="0"/>
                <w:sz w:val="24"/>
                <w:szCs w:val="24"/>
                <w:lang w:eastAsia="zh-CN"/>
              </w:rPr>
            </w:pPr>
            <w:r>
              <w:rPr>
                <w:rFonts w:ascii="宋体" w:hAnsi="宋体" w:cs="宋体"/>
                <w:kern w:val="0"/>
                <w:sz w:val="24"/>
                <w:szCs w:val="24"/>
              </w:rPr>
              <w:t>2</w:t>
            </w:r>
            <w:r>
              <w:rPr>
                <w:rFonts w:ascii="宋体" w:hAnsi="宋体" w:cs="宋体"/>
                <w:kern w:val="0"/>
                <w:sz w:val="24"/>
                <w:szCs w:val="24"/>
                <w:lang w:val="en-US" w:eastAsia="zh-CN"/>
              </w:rPr>
              <w:t>6</w:t>
            </w:r>
          </w:p>
        </w:tc>
        <w:tc>
          <w:tcPr>
            <w:tcW w:w="719" w:type="pct"/>
            <w:vMerge w:val="continue"/>
            <w:noWrap w:val="0"/>
            <w:vAlign w:val="center"/>
          </w:tcPr>
          <w:p>
            <w:pPr>
              <w:jc w:val="left"/>
              <w:rPr>
                <w:rFonts w:hint="default" w:ascii="宋体" w:hAnsi="宋体" w:cs="宋体"/>
                <w:kern w:val="0"/>
                <w:sz w:val="24"/>
                <w:szCs w:val="24"/>
              </w:rPr>
            </w:pPr>
          </w:p>
        </w:tc>
        <w:tc>
          <w:tcPr>
            <w:tcW w:w="3861" w:type="pct"/>
            <w:noWrap w:val="0"/>
            <w:vAlign w:val="center"/>
          </w:tcPr>
          <w:p>
            <w:pPr>
              <w:jc w:val="left"/>
              <w:rPr>
                <w:rFonts w:hint="default" w:ascii="宋体" w:hAnsi="宋体" w:cs="宋体"/>
                <w:kern w:val="0"/>
                <w:sz w:val="24"/>
                <w:szCs w:val="24"/>
              </w:rPr>
            </w:pPr>
            <w:r>
              <w:rPr>
                <w:rFonts w:ascii="宋体" w:hAnsi="宋体" w:cs="宋体"/>
                <w:kern w:val="0"/>
                <w:sz w:val="24"/>
                <w:szCs w:val="24"/>
              </w:rPr>
              <w:t>30台手写板</w:t>
            </w:r>
          </w:p>
        </w:tc>
      </w:tr>
    </w:tbl>
    <w:p>
      <w:pPr>
        <w:pStyle w:val="5"/>
        <w:numPr>
          <w:ilvl w:val="2"/>
          <w:numId w:val="13"/>
        </w:numPr>
        <w:spacing w:before="0" w:after="0" w:line="360" w:lineRule="auto"/>
        <w:rPr>
          <w:rFonts w:ascii="宋体" w:hAnsi="宋体"/>
        </w:rPr>
      </w:pPr>
      <w:r>
        <w:rPr>
          <w:rFonts w:hint="eastAsia" w:ascii="宋体" w:hAnsi="宋体"/>
        </w:rPr>
        <w:t>DIP管理系统</w:t>
      </w:r>
    </w:p>
    <w:tbl>
      <w:tblPr>
        <w:tblStyle w:val="51"/>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591"/>
        <w:gridCol w:w="992"/>
        <w:gridCol w:w="693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tblHeader/>
        </w:trPr>
        <w:tc>
          <w:tcPr>
            <w:tcW w:w="347" w:type="pct"/>
            <w:noWrap w:val="0"/>
            <w:vAlign w:val="center"/>
          </w:tcPr>
          <w:p>
            <w:pPr>
              <w:jc w:val="center"/>
              <w:rPr>
                <w:rFonts w:hint="default" w:ascii="宋体" w:hAnsi="宋体" w:cs="宋体"/>
                <w:b/>
                <w:bCs/>
                <w:kern w:val="0"/>
                <w:sz w:val="22"/>
              </w:rPr>
            </w:pPr>
            <w:r>
              <w:rPr>
                <w:rFonts w:ascii="宋体" w:hAnsi="宋体" w:cs="宋体"/>
                <w:b/>
                <w:bCs/>
                <w:kern w:val="0"/>
                <w:sz w:val="22"/>
              </w:rPr>
              <w:t>序号</w:t>
            </w:r>
          </w:p>
        </w:tc>
        <w:tc>
          <w:tcPr>
            <w:tcW w:w="582" w:type="pct"/>
            <w:noWrap w:val="0"/>
            <w:vAlign w:val="center"/>
          </w:tcPr>
          <w:p>
            <w:pPr>
              <w:jc w:val="center"/>
              <w:rPr>
                <w:rFonts w:hint="default" w:ascii="宋体" w:hAnsi="宋体" w:cs="宋体"/>
                <w:b/>
                <w:bCs/>
                <w:kern w:val="0"/>
                <w:sz w:val="22"/>
              </w:rPr>
            </w:pPr>
            <w:r>
              <w:rPr>
                <w:rFonts w:ascii="宋体" w:hAnsi="宋体" w:cs="宋体"/>
                <w:b/>
                <w:bCs/>
                <w:kern w:val="0"/>
                <w:sz w:val="22"/>
              </w:rPr>
              <w:t>功能模块</w:t>
            </w:r>
          </w:p>
        </w:tc>
        <w:tc>
          <w:tcPr>
            <w:tcW w:w="4071" w:type="pct"/>
            <w:noWrap w:val="0"/>
            <w:vAlign w:val="center"/>
          </w:tcPr>
          <w:p>
            <w:pPr>
              <w:jc w:val="center"/>
              <w:rPr>
                <w:rFonts w:hint="default" w:ascii="宋体" w:hAnsi="宋体" w:cs="宋体"/>
                <w:b/>
                <w:bCs/>
                <w:kern w:val="0"/>
                <w:sz w:val="22"/>
              </w:rPr>
            </w:pPr>
            <w:r>
              <w:rPr>
                <w:rFonts w:ascii="宋体" w:hAnsi="宋体" w:cs="宋体"/>
                <w:b/>
                <w:bCs/>
                <w:kern w:val="0"/>
                <w:sz w:val="22"/>
              </w:rPr>
              <w:t>技术参数要求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34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1</w:t>
            </w:r>
          </w:p>
        </w:tc>
        <w:tc>
          <w:tcPr>
            <w:tcW w:w="582"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智能小助手</w:t>
            </w: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智能小助手功能内置于HIS系统、病案系统中以弹窗形式展现：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5"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1）分组预测：提示预分组结果及对应的医保付费预测、倍率区间等信息，并提供当前病案与标杆值之间的对比，包括住院费用、平均住院日、药占比、耗材比等指标。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2）分组推荐：根据医师填写的病例诊断及手术信息，形成智能推荐方案，提示医师不同的诊断和手术方案下病例可能的分组结果及费用信息。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5"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3）编码质控：对病例的诊断编码和手术及操作编码进行全方位编码质控，从错误、疑似、建议等多个维度展开提示，包括主诊断选择错误、重复编码、合并编码等质控内容，并提示具体的错误原因及修改建议。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4）非编码质控：从完整性、逻辑性即时提供针对于每份病案提供质控的结果，并提示具体的错误原因，辅助工作人员定位病案问题。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5"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5）从总体得分、完整性得分、逻辑性得分等维度，展示病案的扣分情况，并提供具体的扣分原因，辅助工作人员定位病案问题。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34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2</w:t>
            </w:r>
          </w:p>
        </w:tc>
        <w:tc>
          <w:tcPr>
            <w:tcW w:w="582"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病案/清单质控</w:t>
            </w: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依据国家管理部门相关文件对病案首页/医保基金结算清单填写进行质控，辅助医院病案质量管理工作的完善。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5"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1）病案质控总览：总览医院整体病案质控情况，从医院总体情况、完整性、逻辑性、医保分组质控等多个维度展示病案的质控情况;对质控结果进行趋势对比；统计异常校验类型TOP10；以及展示医保分组信息的质控数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2）病案首页质控：针对病案首页/医保结算清单分别进行完整性和逻辑性校验，针对完整性，分析填写完整的病案数量及占比；针对逻辑性，从各维度校验病案填写的合理性，统计异常病案数量及占比；分析全院异常校验类型TOP10。以完整性和逻辑性校验为基础，形成病案质量评分，支持下钻查看每份病案的得分详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5"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3）医保分组质控：针对医保DIP分组进行重点质控，以分组器返回的分组结果为依据，从无分组方案质控、诊断编码质控、分组参数质控、医保排除质控等不同维度统计错误病例数及占比情况。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40"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4）病例数据查询：住院病案首页/医保结算清单病例明细数据查询，通过病案号直接下钻至病案首页或结算清单，并支持一键切换住院病案首页和医保结算清单。系统支持在线实时质控病例数据，将病案首页/结算清单错误项进行高亮显示，鼠标光标移动到该处，提示问题原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5"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5）灵活关联下钻：该模块涉及异常病案数量、人次、得分、病案号等均可进行下钻，查看详细情况。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40" w:hRule="atLeast"/>
        </w:trPr>
        <w:tc>
          <w:tcPr>
            <w:tcW w:w="34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3</w:t>
            </w:r>
          </w:p>
        </w:tc>
        <w:tc>
          <w:tcPr>
            <w:tcW w:w="582"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医保付费预测</w:t>
            </w: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1）医保DIP月度付费预测：针对医院DIP月度结算的总体情况进行预测，包括全院总体分值、预测结算金额（城职城乡）、病例付费类型汇总以及单个病例的结算情况进行分析展示，分析医保付费差异金额。同时支持对比单个病案与标杆分项费用，帮助医院寻找费用上的差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5"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2）医保付费趋势分析：针对医保预测付费进行月度趋势分析，下钻支持各科室结算情况的查看与趋势分析。可对全院及科室的医保付费病例类型、超高超低病例进行趋势分析。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5"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3）DIP组盈亏分析：对各DIP组病例的收治情况、医保支付金额、盈亏情况进行分析展示，下钻能够查看各组关于结算差异、医疗费用、次均费用、超高超低病例的趋势情况。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5"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4）科室盈亏分析：对院内各科室的收治病例的基本情况、医保付费情况进行展示。下钻能够查看各科室预估总分值、结算差异、超支病例数、结余病例数、次均费用、平均住院日、超高超低病例分布。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70"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5）DIP预测差异分析：综合分析医院、科室、诊疗组、医师、费用类别、DIP组的预测结算差异，可对比同一病种不同科室、不同医生诊疗工作的指标情况。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34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4</w:t>
            </w:r>
          </w:p>
        </w:tc>
        <w:tc>
          <w:tcPr>
            <w:tcW w:w="582"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DIP业务分析</w:t>
            </w: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分别基于医院、科室、诊疗组、医师、病种等维度对院内数据展开分析。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5"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1）DIP总体指标：总体展示全院医疗能力、效率、安全指标；医疗能力的趋势变化情况；以及医院重点关注指标，包括出院人次、入组率、四级手术占比、例均费用、平均住院日等。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2）病组病种分析：对医院、科室覆盖的MDC、DIP组进行指标分析，如：人数、权重、资源消耗情况等；支持在知识库中查看各疾病包含的主要诊断、主要手术操作、标杆值；支持由病种病组维度下钻到单个病例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5"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3）绩效评价分析：深入分析科室、诊疗组、医师对象，运用DIP质效与风险评价模型，对各评价指标设置权重，综合形成绩效得分；可实现科室、诊疗组、医师间的对比；支持灵活关联下钻查看各评价对象数据。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5"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4）辅助管理分析：分别对医院开展的手术、国家卫健委发布的重点手术、重点疾病进行分析，对医院管理的重点内容进行分析，主要包括医疗安全与全院综合能力。</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5" w:hRule="atLeast"/>
        </w:trPr>
        <w:tc>
          <w:tcPr>
            <w:tcW w:w="347" w:type="pct"/>
            <w:vMerge w:val="continue"/>
            <w:noWrap w:val="0"/>
            <w:vAlign w:val="center"/>
          </w:tcPr>
          <w:p>
            <w:pPr>
              <w:jc w:val="center"/>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5）DIP分组模拟：支持在系统中直接调用分组器，输入分组关键信息进行分组模拟并且提供功能截图。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5" w:hRule="atLeast"/>
        </w:trPr>
        <w:tc>
          <w:tcPr>
            <w:tcW w:w="347" w:type="pct"/>
            <w:vMerge w:val="restart"/>
            <w:noWrap w:val="0"/>
            <w:vAlign w:val="center"/>
          </w:tcPr>
          <w:p>
            <w:pPr>
              <w:jc w:val="center"/>
              <w:rPr>
                <w:rFonts w:hint="default" w:ascii="宋体" w:hAnsi="宋体" w:cs="宋体"/>
                <w:kern w:val="0"/>
                <w:sz w:val="24"/>
                <w:szCs w:val="24"/>
              </w:rPr>
            </w:pPr>
            <w:r>
              <w:rPr>
                <w:rFonts w:ascii="宋体" w:hAnsi="宋体" w:cs="宋体"/>
                <w:kern w:val="0"/>
                <w:sz w:val="24"/>
                <w:szCs w:val="24"/>
              </w:rPr>
              <w:t>5</w:t>
            </w:r>
          </w:p>
        </w:tc>
        <w:tc>
          <w:tcPr>
            <w:tcW w:w="582" w:type="pct"/>
            <w:vMerge w:val="restart"/>
            <w:noWrap w:val="0"/>
            <w:vAlign w:val="center"/>
          </w:tcPr>
          <w:p>
            <w:pPr>
              <w:jc w:val="left"/>
              <w:rPr>
                <w:rFonts w:hint="default" w:ascii="宋体" w:hAnsi="宋体" w:cs="宋体"/>
                <w:kern w:val="0"/>
                <w:sz w:val="24"/>
                <w:szCs w:val="24"/>
              </w:rPr>
            </w:pPr>
            <w:r>
              <w:rPr>
                <w:rFonts w:ascii="宋体" w:hAnsi="宋体" w:cs="宋体"/>
                <w:kern w:val="0"/>
                <w:sz w:val="24"/>
                <w:szCs w:val="24"/>
              </w:rPr>
              <w:t>医院运营决策</w:t>
            </w: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1）运营决策指标：可视化展示全院总体运营情况，包括出院人次、DIP组数、总权重、CMI、收入情况等，对其趋势进行分析展示，以及分析各科室数据同比、环比变化情况。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347" w:type="pct"/>
            <w:vMerge w:val="continue"/>
            <w:noWrap w:val="0"/>
            <w:vAlign w:val="center"/>
          </w:tcPr>
          <w:p>
            <w:pPr>
              <w:jc w:val="left"/>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2）科室医保费用预警：汇总可视化呈现各科室医保超支结余情况，下钻可查看科室覆盖病种、医生的详细情况，提供不同程度超支结余的监管预警。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5" w:hRule="atLeast"/>
        </w:trPr>
        <w:tc>
          <w:tcPr>
            <w:tcW w:w="347" w:type="pct"/>
            <w:vMerge w:val="continue"/>
            <w:noWrap w:val="0"/>
            <w:vAlign w:val="center"/>
          </w:tcPr>
          <w:p>
            <w:pPr>
              <w:jc w:val="left"/>
              <w:rPr>
                <w:rFonts w:hint="default" w:ascii="宋体" w:hAnsi="宋体" w:cs="宋体"/>
                <w:kern w:val="0"/>
                <w:sz w:val="24"/>
                <w:szCs w:val="24"/>
              </w:rPr>
            </w:pPr>
          </w:p>
        </w:tc>
        <w:tc>
          <w:tcPr>
            <w:tcW w:w="582" w:type="pct"/>
            <w:vMerge w:val="continue"/>
            <w:noWrap w:val="0"/>
            <w:vAlign w:val="center"/>
          </w:tcPr>
          <w:p>
            <w:pPr>
              <w:jc w:val="left"/>
              <w:rPr>
                <w:rFonts w:hint="default" w:ascii="宋体" w:hAnsi="宋体" w:cs="宋体"/>
                <w:kern w:val="0"/>
                <w:sz w:val="24"/>
                <w:szCs w:val="24"/>
              </w:rPr>
            </w:pPr>
          </w:p>
        </w:tc>
        <w:tc>
          <w:tcPr>
            <w:tcW w:w="4071" w:type="pct"/>
            <w:noWrap w:val="0"/>
            <w:vAlign w:val="center"/>
          </w:tcPr>
          <w:p>
            <w:pPr>
              <w:jc w:val="left"/>
              <w:rPr>
                <w:rFonts w:hint="default" w:ascii="宋体" w:hAnsi="宋体" w:cs="宋体"/>
                <w:kern w:val="0"/>
                <w:sz w:val="24"/>
                <w:szCs w:val="24"/>
              </w:rPr>
            </w:pPr>
            <w:r>
              <w:rPr>
                <w:rFonts w:ascii="宋体" w:hAnsi="宋体" w:cs="宋体"/>
                <w:kern w:val="0"/>
                <w:sz w:val="24"/>
                <w:szCs w:val="24"/>
              </w:rPr>
              <w:t>3）全院异常预警：通过设定全院的重点关注指标，展示科室排名结果，进行TOP展示，支持图表灵活切换。</w:t>
            </w:r>
          </w:p>
        </w:tc>
      </w:tr>
    </w:tbl>
    <w:p>
      <w:pPr>
        <w:spacing w:line="240" w:lineRule="atLeast"/>
        <w:jc w:val="left"/>
        <w:rPr>
          <w:rFonts w:hint="default" w:ascii="宋体" w:hAnsi="宋体" w:cs="宋体"/>
          <w:sz w:val="24"/>
          <w:szCs w:val="24"/>
        </w:rPr>
      </w:pPr>
    </w:p>
    <w:p>
      <w:pPr>
        <w:rPr>
          <w:rFonts w:hint="default"/>
        </w:rPr>
      </w:pPr>
    </w:p>
    <w:p>
      <w:pPr>
        <w:pStyle w:val="2"/>
        <w:spacing w:line="240" w:lineRule="auto"/>
        <w:rPr>
          <w:rFonts w:ascii="Cambria" w:hAnsi="Cambria" w:cs="Cambria"/>
        </w:rPr>
      </w:pPr>
      <w:r>
        <w:rPr>
          <w:rFonts w:hint="eastAsia" w:ascii="Cambria" w:hAnsi="Cambria" w:cs="Cambria"/>
        </w:rPr>
        <w:t>2、项目实施要求</w:t>
      </w:r>
    </w:p>
    <w:p>
      <w:pPr>
        <w:ind w:firstLine="480" w:firstLineChars="200"/>
        <w:rPr>
          <w:rFonts w:hint="default"/>
          <w:sz w:val="24"/>
        </w:rPr>
      </w:pPr>
      <w:r>
        <w:rPr>
          <w:sz w:val="24"/>
        </w:rPr>
        <w:t>本项目整体建设周期</w:t>
      </w:r>
      <w:r>
        <w:rPr>
          <w:rFonts w:hint="default"/>
          <w:color w:val="auto"/>
          <w:sz w:val="24"/>
        </w:rPr>
        <w:t>40</w:t>
      </w:r>
      <w:r>
        <w:rPr>
          <w:color w:val="auto"/>
          <w:sz w:val="24"/>
        </w:rPr>
        <w:t>日</w:t>
      </w:r>
      <w:r>
        <w:rPr>
          <w:sz w:val="24"/>
        </w:rPr>
        <w:t>历天，从合同签订之日起。</w:t>
      </w:r>
    </w:p>
    <w:p>
      <w:pPr>
        <w:spacing w:line="360" w:lineRule="auto"/>
        <w:ind w:firstLine="480" w:firstLineChars="200"/>
        <w:rPr>
          <w:rFonts w:hint="default"/>
          <w:sz w:val="24"/>
        </w:rPr>
      </w:pPr>
      <w:r>
        <w:rPr>
          <w:sz w:val="24"/>
        </w:rPr>
        <w:t>（1）投标人按照工期的要求，制定合理的工作进度，应至少细化到周，并且应根据招标人要求进行调整和细化，要求给出时间具体安排及工期。</w:t>
      </w:r>
    </w:p>
    <w:p>
      <w:pPr>
        <w:spacing w:line="360" w:lineRule="auto"/>
        <w:ind w:firstLine="480" w:firstLineChars="200"/>
        <w:rPr>
          <w:rFonts w:hint="default"/>
          <w:sz w:val="24"/>
        </w:rPr>
      </w:pPr>
      <w:r>
        <w:rPr>
          <w:sz w:val="24"/>
        </w:rPr>
        <w:t>（2）组织实施</w:t>
      </w:r>
    </w:p>
    <w:p>
      <w:pPr>
        <w:spacing w:line="360" w:lineRule="auto"/>
        <w:ind w:firstLine="480" w:firstLineChars="200"/>
        <w:rPr>
          <w:rFonts w:hint="default"/>
          <w:sz w:val="24"/>
        </w:rPr>
      </w:pPr>
      <w:r>
        <w:rPr>
          <w:sz w:val="24"/>
        </w:rPr>
        <w:t>投标人应详细说明实施本项目拟采用的团队组织方法和具体组织机构，保证在此建设周期内足够的人力投入，并提交与本项目规模相符的项目组人员名单、核心团队人员相关证书等。</w:t>
      </w:r>
    </w:p>
    <w:p>
      <w:pPr>
        <w:spacing w:line="360" w:lineRule="auto"/>
        <w:ind w:firstLine="480" w:firstLineChars="200"/>
        <w:rPr>
          <w:rFonts w:hint="default"/>
          <w:sz w:val="24"/>
        </w:rPr>
      </w:pPr>
      <w:r>
        <w:rPr>
          <w:sz w:val="24"/>
        </w:rPr>
        <w:t>投标人实行项目总负责人制，项目负责人</w:t>
      </w:r>
      <w:r>
        <w:rPr>
          <w:rFonts w:hint="eastAsia" w:eastAsia="宋体"/>
          <w:sz w:val="24"/>
          <w:lang w:val="en-US" w:eastAsia="zh-CN"/>
        </w:rPr>
        <w:t>1人，</w:t>
      </w:r>
      <w:r>
        <w:rPr>
          <w:rFonts w:hint="eastAsia"/>
          <w:sz w:val="24"/>
          <w:lang w:val="en-US" w:eastAsia="zh-CN"/>
        </w:rPr>
        <w:t>应</w:t>
      </w:r>
      <w:r>
        <w:rPr>
          <w:sz w:val="24"/>
        </w:rPr>
        <w:t>具有信息化类高级职称或信息系统项目管理师高级证书</w:t>
      </w:r>
      <w:r>
        <w:rPr>
          <w:rFonts w:hint="eastAsia"/>
          <w:sz w:val="24"/>
          <w:lang w:eastAsia="zh-CN"/>
        </w:rPr>
        <w:t>，</w:t>
      </w:r>
      <w:r>
        <w:rPr>
          <w:sz w:val="24"/>
        </w:rPr>
        <w:t>在项目验收前，不得随意更换，如需更换，须事先征得招标人同意。</w:t>
      </w:r>
    </w:p>
    <w:p>
      <w:pPr>
        <w:spacing w:line="360" w:lineRule="auto"/>
        <w:ind w:firstLine="480" w:firstLineChars="200"/>
        <w:rPr>
          <w:rFonts w:hint="eastAsia" w:eastAsia="Arial Unicode MS"/>
          <w:sz w:val="24"/>
          <w:highlight w:val="none"/>
          <w:lang w:eastAsia="zh-CN"/>
        </w:rPr>
      </w:pPr>
      <w:r>
        <w:rPr>
          <w:sz w:val="24"/>
          <w:highlight w:val="none"/>
        </w:rPr>
        <w:t>项目成员中</w:t>
      </w:r>
      <w:r>
        <w:rPr>
          <w:rFonts w:hint="eastAsia"/>
          <w:sz w:val="24"/>
          <w:highlight w:val="none"/>
          <w:lang w:eastAsia="zh-CN"/>
        </w:rPr>
        <w:t>，</w:t>
      </w:r>
      <w:r>
        <w:rPr>
          <w:rFonts w:hint="eastAsia"/>
          <w:sz w:val="24"/>
          <w:highlight w:val="none"/>
          <w:lang w:val="en-US" w:eastAsia="zh-CN"/>
        </w:rPr>
        <w:t>不少于4人，应</w:t>
      </w:r>
      <w:r>
        <w:rPr>
          <w:sz w:val="24"/>
          <w:highlight w:val="none"/>
        </w:rPr>
        <w:t>具有信息系统项目管理师高级证书或系统集成项目管理工程师</w:t>
      </w:r>
      <w:r>
        <w:rPr>
          <w:rFonts w:hint="eastAsia"/>
          <w:sz w:val="24"/>
          <w:highlight w:val="none"/>
          <w:lang w:eastAsia="zh-CN"/>
        </w:rPr>
        <w:t>。</w:t>
      </w:r>
    </w:p>
    <w:p>
      <w:pPr>
        <w:spacing w:line="360" w:lineRule="auto"/>
        <w:ind w:firstLine="480" w:firstLineChars="200"/>
        <w:rPr>
          <w:rFonts w:hint="default"/>
          <w:sz w:val="24"/>
        </w:rPr>
      </w:pPr>
      <w:r>
        <w:rPr>
          <w:sz w:val="24"/>
        </w:rPr>
        <w:t>投标人进场后，要委派技术人员现场调研，并根据用户现状、实际需求及业务流程等，深化建设方案及清单内容，经用户或委托的咨询单位确认技术可行后方可实施。在项目实施前要制订详细的项目工作方案，要对工作阶段和流程进行描述，严格按工期、参与人数、时间，制定出详尽工作方案。</w:t>
      </w:r>
    </w:p>
    <w:p>
      <w:pPr>
        <w:spacing w:line="360" w:lineRule="auto"/>
        <w:ind w:firstLine="480" w:firstLineChars="200"/>
        <w:rPr>
          <w:rFonts w:hint="default"/>
          <w:sz w:val="24"/>
        </w:rPr>
      </w:pPr>
      <w:r>
        <w:rPr>
          <w:sz w:val="24"/>
        </w:rPr>
        <w:t>（3）项目进度计划</w:t>
      </w:r>
    </w:p>
    <w:p>
      <w:pPr>
        <w:spacing w:line="360" w:lineRule="auto"/>
        <w:ind w:firstLine="480" w:firstLineChars="200"/>
        <w:rPr>
          <w:rFonts w:hint="default"/>
          <w:sz w:val="24"/>
        </w:rPr>
      </w:pPr>
      <w:r>
        <w:rPr>
          <w:sz w:val="24"/>
        </w:rPr>
        <w:t>投标人应就本项目提供详细的实施计划及日程安排。</w:t>
      </w:r>
    </w:p>
    <w:p>
      <w:pPr>
        <w:spacing w:line="360" w:lineRule="auto"/>
        <w:ind w:firstLine="480" w:firstLineChars="200"/>
        <w:rPr>
          <w:rFonts w:hint="default"/>
          <w:sz w:val="24"/>
        </w:rPr>
      </w:pPr>
      <w:r>
        <w:rPr>
          <w:sz w:val="24"/>
        </w:rPr>
        <w:t>（4）项目过程控制</w:t>
      </w:r>
    </w:p>
    <w:p>
      <w:pPr>
        <w:spacing w:line="360" w:lineRule="auto"/>
        <w:ind w:firstLine="480" w:firstLineChars="200"/>
        <w:rPr>
          <w:rFonts w:hint="default"/>
          <w:sz w:val="24"/>
        </w:rPr>
      </w:pPr>
      <w:r>
        <w:rPr>
          <w:sz w:val="24"/>
        </w:rPr>
        <w:t>投标人应就本项目提出明确的实施过程及其控制方法，并以此作为项目软件部署过程管理依据。</w:t>
      </w:r>
    </w:p>
    <w:p>
      <w:pPr>
        <w:spacing w:line="360" w:lineRule="auto"/>
        <w:ind w:firstLine="480" w:firstLineChars="200"/>
        <w:rPr>
          <w:rFonts w:hint="default"/>
          <w:sz w:val="24"/>
        </w:rPr>
      </w:pPr>
      <w:r>
        <w:rPr>
          <w:sz w:val="24"/>
        </w:rPr>
        <w:t>（5）项目质量控制</w:t>
      </w:r>
    </w:p>
    <w:p>
      <w:pPr>
        <w:spacing w:line="360" w:lineRule="auto"/>
        <w:ind w:firstLine="480" w:firstLineChars="200"/>
        <w:rPr>
          <w:rFonts w:hint="default"/>
          <w:sz w:val="24"/>
        </w:rPr>
      </w:pPr>
      <w:r>
        <w:rPr>
          <w:sz w:val="24"/>
        </w:rPr>
        <w:t>投标人必须按照软件质量管理和质量保证体系，提出具体措施，确保软件接口开发和部署质量。</w:t>
      </w:r>
    </w:p>
    <w:p>
      <w:pPr>
        <w:spacing w:line="360" w:lineRule="auto"/>
        <w:ind w:firstLine="480" w:firstLineChars="200"/>
        <w:rPr>
          <w:rFonts w:hint="default"/>
          <w:sz w:val="24"/>
        </w:rPr>
      </w:pPr>
      <w:r>
        <w:rPr>
          <w:sz w:val="24"/>
        </w:rPr>
        <w:t>（6）项目配置管理</w:t>
      </w:r>
    </w:p>
    <w:p>
      <w:pPr>
        <w:spacing w:line="360" w:lineRule="auto"/>
        <w:ind w:firstLine="480" w:firstLineChars="200"/>
        <w:rPr>
          <w:rFonts w:hint="default"/>
          <w:sz w:val="24"/>
        </w:rPr>
      </w:pPr>
      <w:r>
        <w:rPr>
          <w:sz w:val="24"/>
        </w:rPr>
        <w:t>投标人应说明项目实施过程中配置管理方法，并保障在项目生命周期中各个阶段成果的有效版本控制。</w:t>
      </w:r>
    </w:p>
    <w:p>
      <w:pPr>
        <w:spacing w:line="360" w:lineRule="auto"/>
        <w:ind w:firstLine="480" w:firstLineChars="200"/>
        <w:rPr>
          <w:rFonts w:hint="default"/>
          <w:sz w:val="24"/>
        </w:rPr>
      </w:pPr>
      <w:r>
        <w:rPr>
          <w:sz w:val="24"/>
        </w:rPr>
        <w:t>（7）项目风险管理</w:t>
      </w:r>
    </w:p>
    <w:p>
      <w:pPr>
        <w:spacing w:line="360" w:lineRule="auto"/>
        <w:ind w:firstLine="480" w:firstLineChars="200"/>
        <w:rPr>
          <w:rFonts w:hint="default"/>
          <w:sz w:val="24"/>
        </w:rPr>
      </w:pPr>
      <w:r>
        <w:rPr>
          <w:sz w:val="24"/>
        </w:rPr>
        <w:t>投标人应充分认识到项目风险管理的重要性，在投标文件中必须分析识别项目中的各类风险因素，并采取相应的对策。</w:t>
      </w:r>
    </w:p>
    <w:p>
      <w:pPr>
        <w:spacing w:line="360" w:lineRule="auto"/>
        <w:ind w:firstLine="480" w:firstLineChars="200"/>
        <w:rPr>
          <w:rFonts w:hint="default"/>
          <w:sz w:val="24"/>
        </w:rPr>
      </w:pPr>
      <w:r>
        <w:rPr>
          <w:sz w:val="24"/>
        </w:rPr>
        <w:t>（8）系统测试及验收</w:t>
      </w:r>
    </w:p>
    <w:p>
      <w:pPr>
        <w:spacing w:line="360" w:lineRule="auto"/>
        <w:ind w:firstLine="480" w:firstLineChars="200"/>
        <w:rPr>
          <w:rFonts w:hint="default"/>
          <w:sz w:val="24"/>
        </w:rPr>
      </w:pPr>
      <w:r>
        <w:rPr>
          <w:sz w:val="24"/>
        </w:rPr>
        <w:t>投标人中标后须在软件系统部署完成后进行深入的单元测试、集成测试和系统测试，确保部署软件已符合招标文件、招标人业务的预定要求，系统运行正常，不再发现新的错误后，提出验收测试申请。</w:t>
      </w:r>
    </w:p>
    <w:p>
      <w:pPr>
        <w:spacing w:line="360" w:lineRule="auto"/>
        <w:ind w:firstLine="480" w:firstLineChars="200"/>
        <w:rPr>
          <w:rFonts w:hint="default"/>
          <w:sz w:val="24"/>
        </w:rPr>
      </w:pPr>
      <w:r>
        <w:rPr>
          <w:sz w:val="24"/>
        </w:rPr>
        <w:t>投标人中标后负责起草验收测试方案和验收报告，得到确认后方可实施。</w:t>
      </w:r>
    </w:p>
    <w:p>
      <w:pPr>
        <w:spacing w:line="360" w:lineRule="auto"/>
        <w:ind w:firstLine="480" w:firstLineChars="200"/>
        <w:rPr>
          <w:rFonts w:hint="default"/>
          <w:sz w:val="24"/>
        </w:rPr>
      </w:pPr>
      <w:r>
        <w:rPr>
          <w:sz w:val="24"/>
        </w:rPr>
        <w:t>投标人中标后和招标人双方共同实施测试与验收工作，结果和验收报告经双方确认后生效。</w:t>
      </w:r>
    </w:p>
    <w:p>
      <w:pPr>
        <w:pStyle w:val="2"/>
        <w:rPr>
          <w:rFonts w:ascii="Cambria" w:hAnsi="Cambria" w:cs="Cambria"/>
        </w:rPr>
      </w:pPr>
      <w:r>
        <w:rPr>
          <w:rFonts w:hint="eastAsia" w:ascii="Cambria" w:hAnsi="Cambria" w:cs="Cambria"/>
        </w:rPr>
        <w:t>3、项目培训要求</w:t>
      </w:r>
    </w:p>
    <w:p>
      <w:pPr>
        <w:spacing w:line="360" w:lineRule="auto"/>
        <w:ind w:firstLine="480" w:firstLineChars="200"/>
        <w:rPr>
          <w:rFonts w:hint="default"/>
          <w:sz w:val="24"/>
        </w:rPr>
      </w:pPr>
      <w:r>
        <w:rPr>
          <w:sz w:val="24"/>
        </w:rPr>
        <w:t>投标人应根据项目实际需要，向用户提供全面的标准规范、系统部署及软件使用等内容的培训，确保用户能够正确熟练地使用系统。培训对象包括医院管理人员、医生、护士、后勤管理等与本相关业务有关人员。投标人应选派有实际工作和教学经验的专业人员来完成教学和辅导，根据用户实际要求，提供完整的培训计划，包括培训方式、课程内容、人数、时间、地点。</w:t>
      </w:r>
    </w:p>
    <w:p>
      <w:pPr>
        <w:pStyle w:val="2"/>
        <w:rPr>
          <w:rFonts w:ascii="Cambria" w:hAnsi="Cambria" w:cs="Cambria"/>
        </w:rPr>
      </w:pPr>
      <w:r>
        <w:rPr>
          <w:rFonts w:hint="eastAsia" w:ascii="Cambria" w:hAnsi="Cambria" w:cs="Cambria"/>
        </w:rPr>
        <w:t>4、项目运维要求</w:t>
      </w:r>
    </w:p>
    <w:p>
      <w:pPr>
        <w:pStyle w:val="235"/>
        <w:spacing w:after="120"/>
        <w:ind w:firstLine="504"/>
        <w:rPr>
          <w:rFonts w:hint="default" w:ascii="宋体" w:hAnsi="宋体"/>
        </w:rPr>
      </w:pPr>
      <w:r>
        <w:rPr>
          <w:rFonts w:ascii="宋体" w:hAnsi="宋体"/>
        </w:rPr>
        <w:t>（1）从验收合格之日算起，</w:t>
      </w:r>
      <w:r>
        <w:t>投标人</w:t>
      </w:r>
      <w:r>
        <w:rPr>
          <w:rFonts w:ascii="宋体" w:hAnsi="宋体"/>
        </w:rPr>
        <w:t>负责本项目的为期</w:t>
      </w:r>
      <w:r>
        <w:t>3</w:t>
      </w:r>
      <w:r>
        <w:rPr>
          <w:rFonts w:ascii="宋体" w:hAnsi="宋体"/>
        </w:rPr>
        <w:t>年</w:t>
      </w:r>
      <w:r>
        <w:rPr>
          <w:rFonts w:ascii="Calibri" w:hAnsi="Calibri"/>
          <w:szCs w:val="22"/>
        </w:rPr>
        <w:t>免费运维和质保服务</w:t>
      </w:r>
      <w:r>
        <w:rPr>
          <w:rFonts w:ascii="宋体" w:hAnsi="宋体"/>
        </w:rPr>
        <w:t>，维保期内提供系统的全部软硬件的免费维修维护和升级工作，保证整个系统和设备正常稳定运行。</w:t>
      </w:r>
    </w:p>
    <w:p>
      <w:pPr>
        <w:pStyle w:val="235"/>
        <w:spacing w:after="120"/>
        <w:ind w:firstLine="504"/>
        <w:rPr>
          <w:rFonts w:hint="default" w:ascii="宋体" w:hAnsi="宋体"/>
        </w:rPr>
      </w:pPr>
      <w:r>
        <w:rPr>
          <w:szCs w:val="22"/>
        </w:rPr>
        <w:t>（2）在项目部署和上线运行6个月期间，至少配备2名技术人员提供驻场服务，</w:t>
      </w:r>
      <w:r>
        <w:t>对各软硬件系统进行管理维护，承诺障碍响应时限不高于30分钟。对于硬件系统故障应在2小时内响应，在4小时内确定故障原因和解决方案，在24小时内排除故障，24小时内不能修复的，应替换同类型设备，保证系统正常运行。</w:t>
      </w:r>
      <w:r>
        <w:rPr>
          <w:rFonts w:ascii="宋体" w:hAnsi="宋体"/>
        </w:rPr>
        <w:t>问题解决后，提交问题处理报告，说明问题种类、问题原因、问题解决办法及造成的损失等情况提交问题处理报告；定期的对系统的数据库、运行环境、运行状态、页面显示等进行全方位的维护检测，保障系统正常运行。定期进行本次建设的信息系统与容灾备份系统进行容灾演练，以保障我院信息系统完全满足国家电子病历四级要求，系统稳定运行且具备应急处置能力。</w:t>
      </w:r>
    </w:p>
    <w:p>
      <w:pPr>
        <w:spacing w:line="360" w:lineRule="auto"/>
        <w:ind w:firstLine="480" w:firstLineChars="200"/>
        <w:rPr>
          <w:rFonts w:hint="default" w:ascii="宋体" w:hAnsi="宋体" w:eastAsia="Arial Unicode MS" w:cs="Arial Unicode MS"/>
          <w:color w:val="000000"/>
          <w:kern w:val="2"/>
          <w:sz w:val="24"/>
          <w:szCs w:val="28"/>
          <w:lang w:val="zh-TW" w:eastAsia="zh-TW" w:bidi="ar-SA"/>
        </w:rPr>
      </w:pPr>
      <w:r>
        <w:rPr>
          <w:rFonts w:hint="eastAsia" w:ascii="宋体" w:hAnsi="宋体" w:eastAsia="Arial Unicode MS" w:cs="Arial Unicode MS"/>
          <w:color w:val="000000"/>
          <w:kern w:val="2"/>
          <w:sz w:val="24"/>
          <w:szCs w:val="28"/>
          <w:lang w:val="zh-TW" w:eastAsia="zh-TW" w:bidi="ar-SA"/>
        </w:rPr>
        <w:t>（3）维保期内的驻场服务结束后，投标人须提供每周不少于</w:t>
      </w:r>
      <w:r>
        <w:rPr>
          <w:rFonts w:hint="default" w:ascii="宋体" w:hAnsi="宋体" w:eastAsia="Arial Unicode MS" w:cs="Arial Unicode MS"/>
          <w:color w:val="000000"/>
          <w:kern w:val="2"/>
          <w:sz w:val="24"/>
          <w:szCs w:val="28"/>
          <w:lang w:val="zh-TW" w:eastAsia="zh-TW" w:bidi="ar-SA"/>
        </w:rPr>
        <w:t>6小时的现场服务；投标人需要提供全年7×24小时现场或远程服务，全年7×24小时技术支持热线服务，</w:t>
      </w:r>
      <w:r>
        <w:rPr>
          <w:rFonts w:hint="eastAsia" w:ascii="宋体" w:hAnsi="宋体" w:eastAsia="Arial Unicode MS" w:cs="Arial Unicode MS"/>
          <w:color w:val="000000"/>
          <w:kern w:val="2"/>
          <w:sz w:val="24"/>
          <w:szCs w:val="28"/>
          <w:lang w:val="zh-TW" w:eastAsia="zh-TW" w:bidi="ar-SA"/>
        </w:rPr>
        <w:t>投标人在任何时间接到用户通知后0</w:t>
      </w:r>
      <w:r>
        <w:rPr>
          <w:rFonts w:hint="default" w:ascii="宋体" w:hAnsi="宋体" w:eastAsia="Arial Unicode MS" w:cs="Arial Unicode MS"/>
          <w:color w:val="000000"/>
          <w:kern w:val="2"/>
          <w:sz w:val="24"/>
          <w:szCs w:val="28"/>
          <w:lang w:val="zh-TW" w:eastAsia="zh-TW" w:bidi="ar-SA"/>
        </w:rPr>
        <w:t>.5</w:t>
      </w:r>
      <w:r>
        <w:rPr>
          <w:rFonts w:hint="eastAsia" w:ascii="宋体" w:hAnsi="宋体" w:eastAsia="Arial Unicode MS" w:cs="Arial Unicode MS"/>
          <w:color w:val="000000"/>
          <w:kern w:val="2"/>
          <w:sz w:val="24"/>
          <w:szCs w:val="28"/>
          <w:lang w:val="zh-TW" w:eastAsia="zh-TW" w:bidi="ar-SA"/>
        </w:rPr>
        <w:t>个小时内应做出响应，</w:t>
      </w:r>
      <w:r>
        <w:rPr>
          <w:rFonts w:hint="default" w:ascii="宋体" w:hAnsi="宋体" w:eastAsia="Arial Unicode MS" w:cs="Arial Unicode MS"/>
          <w:color w:val="000000"/>
          <w:kern w:val="2"/>
          <w:sz w:val="24"/>
          <w:szCs w:val="28"/>
          <w:lang w:val="zh-TW" w:eastAsia="zh-TW" w:bidi="ar-SA"/>
        </w:rPr>
        <w:t>2</w:t>
      </w:r>
      <w:r>
        <w:rPr>
          <w:rFonts w:hint="eastAsia" w:ascii="宋体" w:hAnsi="宋体" w:eastAsia="Arial Unicode MS" w:cs="Arial Unicode MS"/>
          <w:color w:val="000000"/>
          <w:kern w:val="2"/>
          <w:sz w:val="24"/>
          <w:szCs w:val="28"/>
          <w:lang w:val="zh-TW" w:eastAsia="zh-TW" w:bidi="ar-SA"/>
        </w:rPr>
        <w:t>个小时内定位故障，</w:t>
      </w:r>
      <w:r>
        <w:rPr>
          <w:rFonts w:hint="default" w:ascii="宋体" w:hAnsi="宋体" w:eastAsia="Arial Unicode MS" w:cs="Arial Unicode MS"/>
          <w:color w:val="000000"/>
          <w:kern w:val="2"/>
          <w:sz w:val="24"/>
          <w:szCs w:val="28"/>
          <w:lang w:val="zh-TW" w:eastAsia="zh-TW" w:bidi="ar-SA"/>
        </w:rPr>
        <w:t>4个小时内到达现场。</w:t>
      </w:r>
    </w:p>
    <w:p>
      <w:pPr>
        <w:pStyle w:val="235"/>
        <w:spacing w:after="120"/>
        <w:ind w:firstLine="504"/>
        <w:rPr>
          <w:rFonts w:hint="default"/>
        </w:rPr>
      </w:pPr>
      <w:r>
        <w:t>（4）投标人承诺为本次项目售后服务采用统一受理方式，用户只需统一联系项目投标人负责即可，由投标人统一负责处理。投标人必须按照业主方要求提供 7×24 小时的故障受理电话。</w:t>
      </w:r>
    </w:p>
    <w:p>
      <w:pPr>
        <w:pStyle w:val="235"/>
        <w:spacing w:after="120"/>
        <w:ind w:firstLine="504"/>
        <w:rPr>
          <w:rFonts w:hint="default"/>
        </w:rPr>
      </w:pPr>
      <w:r>
        <w:t>（5）其他要求</w:t>
      </w:r>
    </w:p>
    <w:p>
      <w:pPr>
        <w:pStyle w:val="235"/>
        <w:spacing w:after="120"/>
        <w:ind w:firstLine="504"/>
        <w:rPr>
          <w:rFonts w:hint="default"/>
        </w:rPr>
      </w:pPr>
      <w:r>
        <w:t>所投软件产品的所有接口需全部开放，并提供完善的接口标准文档，且所有接口均需免费。</w:t>
      </w:r>
    </w:p>
    <w:p>
      <w:pPr>
        <w:pStyle w:val="235"/>
        <w:spacing w:after="120"/>
        <w:ind w:firstLine="504"/>
        <w:rPr>
          <w:rFonts w:hint="default"/>
        </w:rPr>
      </w:pPr>
      <w:r>
        <w:t>项目实施和免费维保阶段，所投软件产品在现有功能的基础上进行的流程优化、调整等（不牵涉功能增加），均需免费。项目实施和免费维保阶段，所投软件产品在现有功能的基础上进行的流程的优化、调整等（不牵涉功能增加），实施周期不得超过30日历天。</w:t>
      </w:r>
    </w:p>
    <w:p>
      <w:pPr>
        <w:pStyle w:val="235"/>
        <w:spacing w:after="120"/>
        <w:ind w:firstLine="504"/>
        <w:rPr>
          <w:rFonts w:hint="default"/>
          <w:color w:val="auto"/>
        </w:rPr>
      </w:pPr>
      <w:r>
        <w:rPr>
          <w:color w:val="auto"/>
        </w:rPr>
        <w:t>项目实施和免费维保阶段，除本项目要求对接的第三方接口外，还需要根据用户要求免费对接在此期间用户建设的与本系统牵涉到数据交互等信息系统。</w:t>
      </w:r>
    </w:p>
    <w:p>
      <w:pPr>
        <w:pStyle w:val="235"/>
        <w:spacing w:after="120"/>
        <w:ind w:firstLine="504"/>
        <w:rPr>
          <w:rFonts w:hint="default"/>
        </w:rPr>
      </w:pPr>
      <w:r>
        <w:t>以上要求（包括但不限于）须投标人另以承诺函形式进行明确。如无该承诺函，视为对招标文件无实质性响应，投标文件作无效处理。</w:t>
      </w:r>
    </w:p>
    <w:p>
      <w:pPr>
        <w:pStyle w:val="2"/>
        <w:rPr>
          <w:rFonts w:ascii="Cambria" w:hAnsi="Cambria" w:cs="Cambria"/>
        </w:rPr>
      </w:pPr>
      <w:r>
        <w:rPr>
          <w:rFonts w:hint="eastAsia" w:ascii="Cambria" w:hAnsi="Cambria" w:cs="Cambria"/>
        </w:rPr>
        <w:t>5、项目验收要求</w:t>
      </w:r>
    </w:p>
    <w:p>
      <w:pPr>
        <w:spacing w:line="360" w:lineRule="auto"/>
        <w:ind w:firstLine="480" w:firstLineChars="200"/>
        <w:rPr>
          <w:rFonts w:hint="default"/>
          <w:sz w:val="24"/>
        </w:rPr>
      </w:pPr>
      <w:r>
        <w:rPr>
          <w:sz w:val="24"/>
        </w:rPr>
        <w:t>项目验收合格的条件必须至少满足以下要求：</w:t>
      </w:r>
    </w:p>
    <w:p>
      <w:pPr>
        <w:spacing w:line="360" w:lineRule="auto"/>
        <w:ind w:firstLine="480" w:firstLineChars="200"/>
        <w:rPr>
          <w:rFonts w:hint="default"/>
          <w:sz w:val="24"/>
        </w:rPr>
      </w:pPr>
      <w:r>
        <w:rPr>
          <w:sz w:val="24"/>
        </w:rPr>
        <w:t>（1）根据合同要求全部功能已经完成并部署，完成了全部硬件配置和数据制作；</w:t>
      </w:r>
    </w:p>
    <w:p>
      <w:pPr>
        <w:spacing w:line="360" w:lineRule="auto"/>
        <w:ind w:firstLine="480" w:firstLineChars="200"/>
        <w:rPr>
          <w:rFonts w:hint="default"/>
          <w:sz w:val="24"/>
        </w:rPr>
      </w:pPr>
      <w:r>
        <w:rPr>
          <w:sz w:val="24"/>
        </w:rPr>
        <w:t>（2）软件试运行结束，且试运行阶段发现的问题已经全部解决；</w:t>
      </w:r>
    </w:p>
    <w:p>
      <w:pPr>
        <w:spacing w:line="360" w:lineRule="auto"/>
        <w:ind w:firstLine="480" w:firstLineChars="200"/>
        <w:rPr>
          <w:rFonts w:hint="default"/>
          <w:sz w:val="24"/>
        </w:rPr>
      </w:pPr>
      <w:r>
        <w:rPr>
          <w:sz w:val="24"/>
        </w:rPr>
        <w:t>（3）完成软件功能和性能测试；</w:t>
      </w:r>
    </w:p>
    <w:p>
      <w:pPr>
        <w:spacing w:line="360" w:lineRule="auto"/>
        <w:ind w:firstLine="480" w:firstLineChars="200"/>
        <w:rPr>
          <w:rFonts w:hint="default"/>
          <w:sz w:val="24"/>
        </w:rPr>
      </w:pPr>
      <w:r>
        <w:rPr>
          <w:sz w:val="24"/>
        </w:rPr>
        <w:t>（4）已向用户提供了双方约定的全部项目文档。</w:t>
      </w:r>
    </w:p>
    <w:p>
      <w:pPr>
        <w:pStyle w:val="2"/>
        <w:rPr>
          <w:rFonts w:ascii="Cambria" w:hAnsi="Cambria" w:cs="Cambria"/>
        </w:rPr>
      </w:pPr>
      <w:r>
        <w:rPr>
          <w:rFonts w:hint="eastAsia" w:ascii="Cambria" w:hAnsi="Cambria" w:cs="Cambria"/>
        </w:rPr>
        <w:t>6、其他要求和说明</w:t>
      </w:r>
    </w:p>
    <w:p>
      <w:pPr>
        <w:pStyle w:val="235"/>
        <w:spacing w:after="120"/>
        <w:ind w:firstLine="504"/>
        <w:rPr>
          <w:rFonts w:hint="default"/>
        </w:rPr>
      </w:pPr>
      <w:r>
        <w:t>（1）投标人对于招标文件没有列出，而对项目必不可少的内容等，投标人有责任给予补充，并应同其它内容一并报价，并包含在投标总报价中。</w:t>
      </w:r>
    </w:p>
    <w:p>
      <w:pPr>
        <w:pStyle w:val="235"/>
        <w:spacing w:after="120"/>
        <w:ind w:firstLine="504"/>
        <w:rPr>
          <w:rFonts w:hint="default"/>
        </w:rPr>
      </w:pPr>
      <w:r>
        <w:t>（2）本项目提出的技术方案仅为参考，如无明确限制，投标人可以进行优化，提供满足采购人实际需要的更优（或者性能实质上不低于的）技术方案，且此方案须经评标委员会评审认可。</w:t>
      </w:r>
    </w:p>
    <w:p>
      <w:pPr>
        <w:pStyle w:val="235"/>
        <w:spacing w:after="120"/>
        <w:ind w:firstLine="504"/>
        <w:rPr>
          <w:rFonts w:hint="default"/>
        </w:rPr>
      </w:pPr>
      <w:r>
        <w:t>（3）投标人应当在投标文件中列出完成本项目并通过验收所需的所有各项服务等全部费用。投标人必须确保整体通过招标人验收，所发生的验收费用由投标人承担；投标人应自行勘察项目现场，如投标人因未及时勘察现场而导致的报价缺项漏项废标、或中标后无法完工，投标人自行承担一切后果；</w:t>
      </w:r>
    </w:p>
    <w:p>
      <w:pPr>
        <w:pStyle w:val="235"/>
        <w:spacing w:after="120"/>
        <w:ind w:firstLine="504"/>
        <w:rPr>
          <w:rFonts w:hint="default"/>
        </w:rPr>
      </w:pPr>
      <w:r>
        <w:t>（4）本次采购所有系统应长期进行技术支持（含技术咨询等）。若投标人服务内未能在规定时间内提供服务，招标人有权要求投标人给予合理的经济赔偿。在服务期内，由于服务引起的故障或损坏而造成的损失，投标人应给予招标人经济赔偿。</w:t>
      </w:r>
    </w:p>
    <w:p>
      <w:pPr>
        <w:pStyle w:val="235"/>
        <w:spacing w:after="120"/>
        <w:ind w:firstLine="504"/>
        <w:rPr>
          <w:rFonts w:hint="default"/>
        </w:rPr>
      </w:pPr>
      <w:r>
        <w:t>（5）投标文件中对某项服务如需更详细的表述，可单项另作文件说明。</w:t>
      </w:r>
    </w:p>
    <w:p>
      <w:pPr>
        <w:pStyle w:val="235"/>
        <w:spacing w:after="120"/>
        <w:ind w:firstLine="504"/>
        <w:rPr>
          <w:rFonts w:hint="default"/>
        </w:rPr>
      </w:pPr>
      <w:r>
        <w:t>（6）招标文件中技术要求部分为满足采购人所需服务的最低要求，允许投标人以不低于采购文件要求的服务参与投标。</w:t>
      </w:r>
    </w:p>
    <w:p>
      <w:pPr>
        <w:pStyle w:val="235"/>
        <w:spacing w:after="120"/>
        <w:ind w:firstLine="504"/>
        <w:rPr>
          <w:rFonts w:hint="default"/>
        </w:rPr>
      </w:pPr>
      <w:r>
        <w:t>（7）中标人须严格落实和遵守相关保密制度，服务过程中如出现资料、信息外泄或泄密，将追究中标人法律责任。</w:t>
      </w:r>
    </w:p>
    <w:p>
      <w:pPr>
        <w:pStyle w:val="235"/>
        <w:spacing w:after="120"/>
        <w:ind w:firstLine="504"/>
        <w:rPr>
          <w:rFonts w:hint="default"/>
        </w:rPr>
      </w:pPr>
      <w:r>
        <w:t>（8）投标人应自行承诺投标文件的真实性，投标文件的所有要求，如果在投标文件中出现伪造、编造、虚构等谋取中标的，招标人一经发现在任何时间均有权废止中标通知书、项目合同，投标人无偿退还招标人全部合同金额，并承担一切法律责任，不提供本承诺，则视为对招标文件不响应。</w:t>
      </w:r>
    </w:p>
    <w:p>
      <w:pPr>
        <w:pStyle w:val="235"/>
        <w:spacing w:after="120"/>
        <w:ind w:firstLine="504"/>
        <w:rPr>
          <w:rFonts w:hint="default"/>
        </w:rPr>
      </w:pPr>
      <w:r>
        <w:t>（9）投标人应在项目建设过程中提供全程技术支持服务并协助我院通过电子病历四级</w:t>
      </w:r>
      <w:r>
        <w:rPr>
          <w:lang w:val="en-US" w:eastAsia="zh-CN"/>
        </w:rPr>
        <w:t>等</w:t>
      </w:r>
      <w:r>
        <w:t>评审。</w:t>
      </w:r>
    </w:p>
    <w:p>
      <w:pPr>
        <w:pStyle w:val="235"/>
        <w:spacing w:after="120"/>
        <w:ind w:firstLine="504"/>
        <w:rPr>
          <w:rFonts w:hint="default"/>
        </w:rPr>
      </w:pPr>
      <w:r>
        <w:t>（10）本项目将采用第三方技术咨询单位对项目建设开展全过程监管，监管范围主要包含的项目建设方案、系统软件购置、软件开发、部署、试运行等全过程。投标人应承诺接受第三方技术咨询单位对本项目的全过程进行监管，无条件配合技术咨询单位工作，不扯皮推诿。</w:t>
      </w:r>
    </w:p>
    <w:p>
      <w:pPr>
        <w:pStyle w:val="235"/>
        <w:spacing w:after="120"/>
        <w:ind w:firstLine="504"/>
        <w:rPr>
          <w:rFonts w:hint="default" w:ascii="宋体" w:hAnsi="宋体" w:eastAsia="宋体" w:cs="宋体"/>
          <w:caps/>
          <w:kern w:val="0"/>
          <w:sz w:val="24"/>
          <w:szCs w:val="24"/>
        </w:rPr>
      </w:pPr>
      <w:r>
        <w:t>（11）</w:t>
      </w:r>
      <w:r>
        <w:rPr>
          <w:rFonts w:ascii="宋体" w:hAnsi="宋体" w:eastAsia="宋体" w:cs="宋体"/>
          <w:b/>
          <w:caps/>
          <w:kern w:val="0"/>
          <w:szCs w:val="24"/>
        </w:rPr>
        <w:t>项目相关要求：</w:t>
      </w:r>
      <w:r>
        <w:rPr>
          <w:rFonts w:hint="default" w:ascii="宋体" w:hAnsi="宋体" w:eastAsia="宋体" w:cs="宋体"/>
          <w:b/>
          <w:caps/>
          <w:kern w:val="0"/>
          <w:szCs w:val="24"/>
        </w:rPr>
        <w:t xml:space="preserve"> </w:t>
      </w:r>
    </w:p>
    <w:p>
      <w:pPr>
        <w:spacing w:line="360" w:lineRule="auto"/>
        <w:ind w:firstLine="480" w:firstLineChars="200"/>
        <w:jc w:val="left"/>
        <w:rPr>
          <w:rFonts w:hint="default" w:ascii="宋体" w:hAnsi="宋体" w:eastAsia="宋体" w:cs="宋体"/>
          <w:caps/>
          <w:kern w:val="0"/>
          <w:sz w:val="24"/>
          <w:szCs w:val="24"/>
        </w:rPr>
      </w:pPr>
      <w:r>
        <w:rPr>
          <w:rFonts w:ascii="宋体" w:hAnsi="宋体" w:eastAsia="宋体" w:cs="宋体"/>
          <w:caps/>
          <w:kern w:val="0"/>
          <w:sz w:val="24"/>
          <w:szCs w:val="24"/>
          <w:lang w:eastAsia="zh-CN"/>
        </w:rPr>
        <w:t>11.1</w:t>
      </w:r>
      <w:r>
        <w:rPr>
          <w:rFonts w:ascii="宋体" w:hAnsi="宋体" w:eastAsia="宋体" w:cs="宋体"/>
          <w:caps/>
          <w:kern w:val="0"/>
          <w:sz w:val="24"/>
          <w:szCs w:val="24"/>
        </w:rPr>
        <w:t xml:space="preserve"> 检测的标准依据国家有关规定执行</w:t>
      </w:r>
      <w:r>
        <w:rPr>
          <w:rFonts w:hint="eastAsia" w:ascii="宋体" w:hAnsi="宋体" w:eastAsia="宋体" w:cs="宋体"/>
          <w:caps/>
          <w:kern w:val="0"/>
          <w:sz w:val="24"/>
          <w:szCs w:val="24"/>
          <w:lang w:eastAsia="zh-CN"/>
        </w:rPr>
        <w:t>，投标人可提供品质和功能相同的或优于同类产品的货物或方案</w:t>
      </w:r>
      <w:r>
        <w:rPr>
          <w:rFonts w:ascii="宋体" w:hAnsi="宋体" w:eastAsia="宋体" w:cs="宋体"/>
          <w:caps/>
          <w:kern w:val="0"/>
          <w:sz w:val="24"/>
          <w:szCs w:val="24"/>
        </w:rPr>
        <w:t>。</w:t>
      </w:r>
    </w:p>
    <w:p>
      <w:pPr>
        <w:spacing w:line="360" w:lineRule="auto"/>
        <w:ind w:firstLine="480" w:firstLineChars="200"/>
        <w:jc w:val="left"/>
        <w:rPr>
          <w:rFonts w:hint="default" w:ascii="宋体" w:hAnsi="宋体" w:eastAsia="宋体" w:cs="宋体"/>
          <w:caps/>
          <w:kern w:val="0"/>
          <w:sz w:val="24"/>
          <w:szCs w:val="24"/>
        </w:rPr>
      </w:pPr>
      <w:r>
        <w:rPr>
          <w:rFonts w:ascii="宋体" w:hAnsi="宋体" w:eastAsia="宋体" w:cs="宋体"/>
          <w:caps/>
          <w:kern w:val="0"/>
          <w:sz w:val="24"/>
          <w:szCs w:val="24"/>
          <w:lang w:eastAsia="zh-CN"/>
        </w:rPr>
        <w:t>11.2</w:t>
      </w:r>
      <w:r>
        <w:rPr>
          <w:rFonts w:ascii="宋体" w:hAnsi="宋体" w:eastAsia="宋体" w:cs="宋体"/>
          <w:caps/>
          <w:kern w:val="0"/>
          <w:sz w:val="24"/>
          <w:szCs w:val="24"/>
        </w:rPr>
        <w:t xml:space="preserve"> 所投</w:t>
      </w:r>
      <w:r>
        <w:rPr>
          <w:rFonts w:ascii="宋体" w:hAnsi="宋体" w:eastAsia="宋体" w:cs="宋体"/>
          <w:caps/>
          <w:kern w:val="0"/>
          <w:sz w:val="24"/>
          <w:szCs w:val="24"/>
          <w:lang w:eastAsia="zh-CN"/>
        </w:rPr>
        <w:t>核心产品</w:t>
      </w:r>
      <w:r>
        <w:rPr>
          <w:rFonts w:ascii="宋体" w:hAnsi="宋体" w:eastAsia="宋体" w:cs="宋体"/>
          <w:caps/>
          <w:kern w:val="0"/>
          <w:sz w:val="24"/>
          <w:szCs w:val="24"/>
        </w:rPr>
        <w:t>必须生产厂家在中国设有技术服务机构。</w:t>
      </w:r>
    </w:p>
    <w:p>
      <w:pPr>
        <w:spacing w:line="360" w:lineRule="auto"/>
        <w:ind w:firstLine="480" w:firstLineChars="200"/>
        <w:jc w:val="left"/>
        <w:rPr>
          <w:rFonts w:hint="default" w:ascii="宋体" w:hAnsi="宋体" w:eastAsia="宋体" w:cs="宋体"/>
          <w:caps/>
          <w:kern w:val="0"/>
          <w:sz w:val="24"/>
          <w:szCs w:val="24"/>
        </w:rPr>
      </w:pPr>
      <w:r>
        <w:rPr>
          <w:rFonts w:ascii="宋体" w:hAnsi="宋体" w:eastAsia="宋体" w:cs="宋体"/>
          <w:caps/>
          <w:kern w:val="0"/>
          <w:sz w:val="24"/>
          <w:szCs w:val="24"/>
          <w:lang w:eastAsia="zh-CN"/>
        </w:rPr>
        <w:t>11.3</w:t>
      </w:r>
      <w:r>
        <w:rPr>
          <w:rFonts w:ascii="宋体" w:hAnsi="宋体" w:eastAsia="宋体" w:cs="宋体"/>
          <w:caps/>
          <w:kern w:val="0"/>
          <w:sz w:val="24"/>
          <w:szCs w:val="24"/>
        </w:rPr>
        <w:t>除招标文件要求提供的货物备件、专用工具和消耗品外，所有备件必须符合国家标准及行业要求。</w:t>
      </w:r>
    </w:p>
    <w:p>
      <w:pPr>
        <w:spacing w:line="360" w:lineRule="auto"/>
        <w:ind w:firstLine="480" w:firstLineChars="200"/>
        <w:jc w:val="left"/>
        <w:rPr>
          <w:rFonts w:hint="default" w:ascii="宋体" w:hAnsi="宋体" w:eastAsia="宋体" w:cs="宋体"/>
          <w:caps/>
          <w:kern w:val="0"/>
          <w:sz w:val="24"/>
          <w:szCs w:val="24"/>
        </w:rPr>
      </w:pPr>
      <w:r>
        <w:rPr>
          <w:rFonts w:ascii="宋体" w:hAnsi="宋体" w:eastAsia="宋体" w:cs="宋体"/>
          <w:caps/>
          <w:kern w:val="0"/>
          <w:sz w:val="24"/>
          <w:szCs w:val="24"/>
          <w:lang w:eastAsia="zh-CN"/>
        </w:rPr>
        <w:t>11.4</w:t>
      </w:r>
      <w:r>
        <w:rPr>
          <w:rFonts w:ascii="宋体" w:hAnsi="宋体" w:eastAsia="宋体" w:cs="宋体"/>
          <w:caps/>
          <w:kern w:val="0"/>
          <w:sz w:val="24"/>
          <w:szCs w:val="24"/>
        </w:rPr>
        <w:t>本次采购货物中如果某些技术标准与国家所要求的标准不统一或有不兼容的地方，均以国家强制性标准或最新出台的标准为准。</w:t>
      </w:r>
    </w:p>
    <w:p>
      <w:pPr>
        <w:spacing w:line="360" w:lineRule="auto"/>
        <w:ind w:firstLine="480" w:firstLineChars="200"/>
        <w:jc w:val="left"/>
        <w:rPr>
          <w:rFonts w:hint="default" w:ascii="宋体" w:hAnsi="宋体" w:eastAsia="宋体" w:cs="宋体"/>
          <w:caps/>
          <w:kern w:val="0"/>
          <w:sz w:val="24"/>
          <w:szCs w:val="24"/>
        </w:rPr>
      </w:pPr>
      <w:r>
        <w:rPr>
          <w:rFonts w:ascii="宋体" w:hAnsi="宋体" w:eastAsia="宋体" w:cs="宋体"/>
          <w:caps/>
          <w:kern w:val="0"/>
          <w:sz w:val="24"/>
          <w:szCs w:val="24"/>
          <w:lang w:eastAsia="zh-CN"/>
        </w:rPr>
        <w:t>11.5</w:t>
      </w:r>
      <w:r>
        <w:rPr>
          <w:rFonts w:ascii="宋体" w:hAnsi="宋体" w:eastAsia="宋体" w:cs="宋体"/>
          <w:caps/>
          <w:kern w:val="0"/>
          <w:sz w:val="24"/>
          <w:szCs w:val="24"/>
        </w:rPr>
        <w:t>如果未在招标文件中要求提供其相关行业标准或国家强制性标准的，则</w:t>
      </w:r>
      <w:r>
        <w:rPr>
          <w:rFonts w:ascii="宋体" w:hAnsi="宋体" w:eastAsia="宋体" w:cs="宋体"/>
          <w:caps/>
          <w:kern w:val="0"/>
          <w:sz w:val="24"/>
          <w:szCs w:val="24"/>
          <w:lang w:eastAsia="zh-CN"/>
        </w:rPr>
        <w:t>投标人</w:t>
      </w:r>
      <w:r>
        <w:rPr>
          <w:rFonts w:ascii="宋体" w:hAnsi="宋体" w:eastAsia="宋体" w:cs="宋体"/>
          <w:caps/>
          <w:kern w:val="0"/>
          <w:sz w:val="24"/>
          <w:szCs w:val="24"/>
        </w:rPr>
        <w:t>可给予补充说明。</w:t>
      </w:r>
    </w:p>
    <w:p>
      <w:pPr>
        <w:spacing w:line="360" w:lineRule="auto"/>
        <w:ind w:firstLine="480" w:firstLineChars="200"/>
        <w:jc w:val="left"/>
        <w:rPr>
          <w:rFonts w:hint="default" w:ascii="宋体" w:hAnsi="宋体" w:eastAsia="宋体" w:cs="宋体"/>
          <w:caps/>
          <w:color w:val="auto"/>
          <w:kern w:val="0"/>
          <w:sz w:val="24"/>
          <w:szCs w:val="24"/>
          <w:lang w:val="en-US" w:eastAsia="zh-CN"/>
        </w:rPr>
      </w:pPr>
      <w:r>
        <w:rPr>
          <w:rFonts w:ascii="宋体" w:hAnsi="宋体" w:eastAsia="宋体" w:cs="宋体"/>
          <w:caps/>
          <w:kern w:val="0"/>
          <w:sz w:val="24"/>
          <w:szCs w:val="24"/>
          <w:lang w:eastAsia="zh-CN"/>
        </w:rPr>
        <w:t>11.</w:t>
      </w:r>
      <w:r>
        <w:rPr>
          <w:rFonts w:ascii="宋体" w:hAnsi="宋体" w:eastAsia="宋体" w:cs="宋体"/>
          <w:caps/>
          <w:color w:val="auto"/>
          <w:kern w:val="0"/>
          <w:sz w:val="24"/>
          <w:szCs w:val="24"/>
          <w:lang w:eastAsia="zh-CN"/>
        </w:rPr>
        <w:t>6</w:t>
      </w:r>
      <w:r>
        <w:rPr>
          <w:rFonts w:ascii="宋体" w:hAnsi="宋体" w:eastAsia="宋体" w:cs="宋体"/>
          <w:caps/>
          <w:color w:val="auto"/>
          <w:kern w:val="0"/>
          <w:sz w:val="24"/>
          <w:szCs w:val="24"/>
          <w:lang w:val="en-US" w:eastAsia="zh-CN"/>
        </w:rPr>
        <w:t>本项目为助力打好污染防治攻坚战，推广使用绿色包装，所有</w:t>
      </w:r>
      <w:r>
        <w:rPr>
          <w:rFonts w:ascii="宋体" w:hAnsi="宋体" w:eastAsia="宋体" w:cs="宋体"/>
          <w:caps/>
          <w:color w:val="auto"/>
          <w:kern w:val="0"/>
          <w:sz w:val="24"/>
          <w:szCs w:val="24"/>
        </w:rPr>
        <w:t>商品包装符合《商品包装政府采购需求标准（试行）》</w:t>
      </w:r>
      <w:r>
        <w:rPr>
          <w:rFonts w:hint="eastAsia" w:ascii="宋体" w:hAnsi="宋体" w:eastAsia="宋体" w:cs="宋体"/>
          <w:caps/>
          <w:color w:val="auto"/>
          <w:kern w:val="0"/>
          <w:sz w:val="24"/>
          <w:szCs w:val="24"/>
          <w:lang w:eastAsia="zh-CN"/>
        </w:rPr>
        <w:t>、</w:t>
      </w:r>
      <w:r>
        <w:rPr>
          <w:rFonts w:ascii="宋体" w:hAnsi="宋体" w:eastAsia="宋体" w:cs="宋体"/>
          <w:caps/>
          <w:color w:val="auto"/>
          <w:kern w:val="0"/>
          <w:sz w:val="24"/>
          <w:szCs w:val="24"/>
        </w:rPr>
        <w:t>快递包装符合《快递包装政府采购需求标准（试行）》</w:t>
      </w:r>
      <w:r>
        <w:rPr>
          <w:rFonts w:ascii="宋体" w:hAnsi="宋体" w:eastAsia="宋体" w:cs="宋体"/>
          <w:caps/>
          <w:color w:val="auto"/>
          <w:kern w:val="0"/>
          <w:sz w:val="24"/>
          <w:szCs w:val="24"/>
          <w:lang w:val="en-US" w:eastAsia="zh-CN"/>
        </w:rPr>
        <w:t>要求</w:t>
      </w:r>
      <w:r>
        <w:rPr>
          <w:rFonts w:hint="eastAsia" w:ascii="宋体" w:hAnsi="宋体" w:eastAsia="宋体" w:cs="宋体"/>
          <w:caps/>
          <w:color w:val="auto"/>
          <w:kern w:val="0"/>
          <w:sz w:val="24"/>
          <w:szCs w:val="24"/>
          <w:lang w:val="en-US" w:eastAsia="zh-CN"/>
        </w:rPr>
        <w:t>的，投标人应提供相关承诺函予以响应</w:t>
      </w:r>
      <w:r>
        <w:rPr>
          <w:rFonts w:ascii="宋体" w:hAnsi="宋体" w:eastAsia="宋体" w:cs="宋体"/>
          <w:caps/>
          <w:color w:val="auto"/>
          <w:kern w:val="0"/>
          <w:sz w:val="24"/>
          <w:szCs w:val="24"/>
          <w:lang w:val="en-US" w:eastAsia="zh-CN"/>
        </w:rPr>
        <w:t>。</w:t>
      </w:r>
    </w:p>
    <w:p>
      <w:pPr>
        <w:spacing w:line="360" w:lineRule="auto"/>
        <w:ind w:firstLine="480" w:firstLineChars="200"/>
        <w:jc w:val="left"/>
        <w:rPr>
          <w:rFonts w:hint="default" w:ascii="宋体" w:hAnsi="宋体" w:eastAsia="宋体" w:cs="宋体"/>
          <w:caps/>
          <w:kern w:val="0"/>
          <w:sz w:val="24"/>
          <w:szCs w:val="24"/>
        </w:rPr>
      </w:pPr>
      <w:r>
        <w:rPr>
          <w:rFonts w:ascii="宋体" w:hAnsi="宋体" w:eastAsia="宋体" w:cs="宋体"/>
          <w:caps/>
          <w:kern w:val="0"/>
          <w:sz w:val="24"/>
          <w:szCs w:val="24"/>
          <w:lang w:eastAsia="zh-CN"/>
        </w:rPr>
        <w:t>11.7</w:t>
      </w:r>
      <w:r>
        <w:rPr>
          <w:rFonts w:ascii="宋体" w:hAnsi="宋体" w:eastAsia="宋体" w:cs="宋体"/>
          <w:caps/>
          <w:kern w:val="0"/>
          <w:sz w:val="24"/>
          <w:szCs w:val="24"/>
        </w:rPr>
        <w:t>售后服务及保修</w:t>
      </w:r>
    </w:p>
    <w:p>
      <w:pPr>
        <w:spacing w:line="360" w:lineRule="auto"/>
        <w:ind w:firstLine="480" w:firstLineChars="200"/>
        <w:jc w:val="left"/>
        <w:rPr>
          <w:rFonts w:hint="default" w:ascii="宋体" w:hAnsi="宋体" w:eastAsia="宋体" w:cs="宋体"/>
          <w:caps/>
          <w:color w:val="FF0000"/>
          <w:kern w:val="0"/>
          <w:sz w:val="24"/>
          <w:szCs w:val="24"/>
        </w:rPr>
      </w:pPr>
      <w:r>
        <w:rPr>
          <w:rFonts w:ascii="宋体" w:hAnsi="宋体" w:eastAsia="宋体" w:cs="宋体"/>
          <w:caps/>
          <w:kern w:val="0"/>
          <w:sz w:val="24"/>
          <w:szCs w:val="24"/>
          <w:lang w:eastAsia="zh-CN"/>
        </w:rPr>
        <w:t>11.7</w:t>
      </w:r>
      <w:r>
        <w:rPr>
          <w:rFonts w:ascii="宋体" w:hAnsi="宋体" w:eastAsia="宋体" w:cs="宋体"/>
          <w:caps/>
          <w:kern w:val="0"/>
          <w:sz w:val="24"/>
          <w:szCs w:val="24"/>
        </w:rPr>
        <w:t>.1提供售后服务点的地址、电话、联系人。所有服务必须</w:t>
      </w:r>
      <w:r>
        <w:rPr>
          <w:rFonts w:ascii="宋体" w:hAnsi="宋体" w:eastAsia="宋体" w:cs="宋体"/>
          <w:caps/>
          <w:kern w:val="0"/>
          <w:sz w:val="24"/>
          <w:szCs w:val="24"/>
          <w:lang w:eastAsia="zh-CN"/>
        </w:rPr>
        <w:t>0.5</w:t>
      </w:r>
      <w:r>
        <w:rPr>
          <w:rFonts w:ascii="宋体" w:hAnsi="宋体" w:eastAsia="宋体" w:cs="宋体"/>
          <w:caps/>
          <w:kern w:val="0"/>
          <w:sz w:val="24"/>
          <w:szCs w:val="24"/>
        </w:rPr>
        <w:t>个小时响应，2个小时内定位故障，4小时内到达用户指定地点。</w:t>
      </w:r>
    </w:p>
    <w:p>
      <w:pPr>
        <w:spacing w:line="360" w:lineRule="auto"/>
        <w:ind w:firstLine="480" w:firstLineChars="200"/>
        <w:jc w:val="left"/>
        <w:rPr>
          <w:rFonts w:hint="default" w:ascii="宋体" w:hAnsi="宋体" w:eastAsia="宋体" w:cs="宋体"/>
          <w:caps/>
          <w:kern w:val="0"/>
          <w:sz w:val="24"/>
          <w:szCs w:val="24"/>
        </w:rPr>
      </w:pPr>
      <w:r>
        <w:rPr>
          <w:rFonts w:ascii="宋体" w:hAnsi="宋体" w:eastAsia="宋体" w:cs="宋体"/>
          <w:caps/>
          <w:kern w:val="0"/>
          <w:sz w:val="24"/>
          <w:szCs w:val="24"/>
          <w:lang w:eastAsia="zh-CN"/>
        </w:rPr>
        <w:t>11.7</w:t>
      </w:r>
      <w:r>
        <w:rPr>
          <w:rFonts w:ascii="宋体" w:hAnsi="宋体" w:eastAsia="宋体" w:cs="宋体"/>
          <w:caps/>
          <w:kern w:val="0"/>
          <w:sz w:val="24"/>
          <w:szCs w:val="24"/>
        </w:rPr>
        <w:t xml:space="preserve">.2 </w:t>
      </w:r>
      <w:r>
        <w:rPr>
          <w:rFonts w:ascii="宋体" w:hAnsi="宋体" w:eastAsia="宋体" w:cs="宋体"/>
          <w:caps/>
          <w:kern w:val="0"/>
          <w:sz w:val="24"/>
          <w:szCs w:val="24"/>
          <w:lang w:eastAsia="zh-CN"/>
        </w:rPr>
        <w:t>投标人</w:t>
      </w:r>
      <w:r>
        <w:rPr>
          <w:rFonts w:ascii="宋体" w:hAnsi="宋体" w:eastAsia="宋体" w:cs="宋体"/>
          <w:kern w:val="0"/>
          <w:sz w:val="24"/>
          <w:szCs w:val="24"/>
        </w:rPr>
        <w:t>根据采购人售后服务及保修的内容、形式、免费维修时间、故障响应时间等要求，须</w:t>
      </w:r>
      <w:r>
        <w:rPr>
          <w:rFonts w:ascii="宋体" w:hAnsi="宋体" w:eastAsia="宋体" w:cs="宋体"/>
          <w:caps/>
          <w:kern w:val="0"/>
          <w:sz w:val="24"/>
          <w:szCs w:val="24"/>
        </w:rPr>
        <w:t>在响应文件中明确用户提出售后维修后的响应。</w:t>
      </w:r>
    </w:p>
    <w:p>
      <w:pPr>
        <w:spacing w:line="360" w:lineRule="auto"/>
        <w:ind w:firstLine="480" w:firstLineChars="200"/>
        <w:jc w:val="left"/>
        <w:rPr>
          <w:rFonts w:hint="default" w:ascii="宋体" w:hAnsi="宋体" w:eastAsia="宋体" w:cs="宋体"/>
          <w:caps/>
          <w:kern w:val="0"/>
          <w:sz w:val="24"/>
          <w:szCs w:val="24"/>
        </w:rPr>
      </w:pPr>
      <w:r>
        <w:rPr>
          <w:rFonts w:ascii="宋体" w:hAnsi="宋体" w:eastAsia="宋体" w:cs="宋体"/>
          <w:caps/>
          <w:kern w:val="0"/>
          <w:sz w:val="24"/>
          <w:szCs w:val="24"/>
          <w:lang w:eastAsia="zh-CN"/>
        </w:rPr>
        <w:t>11.7</w:t>
      </w:r>
      <w:r>
        <w:rPr>
          <w:rFonts w:ascii="宋体" w:hAnsi="宋体" w:eastAsia="宋体" w:cs="宋体"/>
          <w:caps/>
          <w:kern w:val="0"/>
          <w:sz w:val="24"/>
          <w:szCs w:val="24"/>
        </w:rPr>
        <w:t>.3 在质保期或保修期内，凡正常使用出现故障，</w:t>
      </w:r>
      <w:r>
        <w:rPr>
          <w:rFonts w:ascii="宋体" w:hAnsi="宋体" w:eastAsia="宋体" w:cs="宋体"/>
          <w:caps/>
          <w:kern w:val="0"/>
          <w:sz w:val="24"/>
          <w:szCs w:val="24"/>
          <w:lang w:eastAsia="zh-CN"/>
        </w:rPr>
        <w:t>投标人</w:t>
      </w:r>
      <w:r>
        <w:rPr>
          <w:rFonts w:ascii="宋体" w:hAnsi="宋体" w:eastAsia="宋体" w:cs="宋体"/>
          <w:caps/>
          <w:kern w:val="0"/>
          <w:sz w:val="24"/>
          <w:szCs w:val="24"/>
        </w:rPr>
        <w:t>应提供免费维修，并负担维修过程中的费用。</w:t>
      </w:r>
    </w:p>
    <w:p>
      <w:pPr>
        <w:spacing w:line="360" w:lineRule="auto"/>
        <w:ind w:firstLine="480" w:firstLineChars="200"/>
        <w:jc w:val="left"/>
        <w:rPr>
          <w:rFonts w:hint="default" w:ascii="宋体" w:hAnsi="宋体" w:eastAsia="宋体" w:cs="宋体"/>
          <w:caps/>
          <w:kern w:val="0"/>
          <w:sz w:val="24"/>
          <w:szCs w:val="24"/>
        </w:rPr>
      </w:pPr>
      <w:r>
        <w:rPr>
          <w:rFonts w:ascii="宋体" w:hAnsi="宋体" w:eastAsia="宋体" w:cs="宋体"/>
          <w:caps/>
          <w:kern w:val="0"/>
          <w:sz w:val="24"/>
          <w:szCs w:val="24"/>
          <w:lang w:eastAsia="zh-CN"/>
        </w:rPr>
        <w:t>11.7</w:t>
      </w:r>
      <w:r>
        <w:rPr>
          <w:rFonts w:ascii="宋体" w:hAnsi="宋体" w:eastAsia="宋体" w:cs="宋体"/>
          <w:caps/>
          <w:kern w:val="0"/>
          <w:sz w:val="24"/>
          <w:szCs w:val="24"/>
        </w:rPr>
        <w:t xml:space="preserve">.4 </w:t>
      </w:r>
      <w:r>
        <w:rPr>
          <w:rFonts w:ascii="宋体" w:hAnsi="宋体" w:eastAsia="宋体" w:cs="宋体"/>
          <w:caps/>
          <w:kern w:val="0"/>
          <w:sz w:val="24"/>
          <w:szCs w:val="24"/>
          <w:lang w:eastAsia="zh-CN"/>
        </w:rPr>
        <w:t>投标人</w:t>
      </w:r>
      <w:r>
        <w:rPr>
          <w:rFonts w:ascii="宋体" w:hAnsi="宋体" w:eastAsia="宋体" w:cs="宋体"/>
          <w:caps/>
          <w:kern w:val="0"/>
          <w:sz w:val="24"/>
          <w:szCs w:val="24"/>
        </w:rPr>
        <w:t>对质保期外售后服务的承诺和处理方法也应在响应文件中明确。</w:t>
      </w:r>
    </w:p>
    <w:p>
      <w:pPr>
        <w:spacing w:line="360" w:lineRule="auto"/>
        <w:ind w:firstLine="480" w:firstLineChars="200"/>
        <w:jc w:val="left"/>
        <w:rPr>
          <w:rFonts w:hint="default" w:ascii="宋体" w:hAnsi="宋体" w:eastAsia="宋体" w:cs="宋体"/>
          <w:caps/>
          <w:kern w:val="0"/>
          <w:sz w:val="24"/>
          <w:szCs w:val="24"/>
          <w:lang w:eastAsia="zh-CN"/>
        </w:rPr>
      </w:pPr>
      <w:r>
        <w:rPr>
          <w:rFonts w:ascii="宋体" w:hAnsi="宋体" w:eastAsia="宋体" w:cs="宋体"/>
          <w:caps/>
          <w:kern w:val="0"/>
          <w:sz w:val="24"/>
          <w:szCs w:val="24"/>
          <w:lang w:eastAsia="zh-CN"/>
        </w:rPr>
        <w:t>11.7</w:t>
      </w:r>
      <w:r>
        <w:rPr>
          <w:rFonts w:ascii="宋体" w:hAnsi="宋体" w:eastAsia="宋体" w:cs="宋体"/>
          <w:caps/>
          <w:kern w:val="0"/>
          <w:sz w:val="24"/>
          <w:szCs w:val="24"/>
        </w:rPr>
        <w:t>.5</w:t>
      </w:r>
      <w:r>
        <w:rPr>
          <w:rFonts w:ascii="宋体" w:hAnsi="宋体" w:eastAsia="宋体" w:cs="宋体"/>
          <w:caps/>
          <w:kern w:val="0"/>
          <w:sz w:val="24"/>
          <w:szCs w:val="24"/>
          <w:lang w:eastAsia="zh-CN"/>
        </w:rPr>
        <w:t>投标人</w:t>
      </w:r>
      <w:r>
        <w:rPr>
          <w:rFonts w:ascii="宋体" w:hAnsi="宋体" w:eastAsia="宋体" w:cs="宋体"/>
          <w:caps/>
          <w:kern w:val="0"/>
          <w:sz w:val="24"/>
          <w:szCs w:val="24"/>
        </w:rPr>
        <w:t>若不能提供必要的服务或未能按响应时间进行维修，将视为</w:t>
      </w:r>
      <w:r>
        <w:rPr>
          <w:rFonts w:ascii="宋体" w:hAnsi="宋体" w:eastAsia="宋体" w:cs="宋体"/>
          <w:caps/>
          <w:kern w:val="0"/>
          <w:sz w:val="24"/>
          <w:szCs w:val="24"/>
          <w:lang w:eastAsia="zh-CN"/>
        </w:rPr>
        <w:t>投标人</w:t>
      </w:r>
      <w:r>
        <w:rPr>
          <w:rFonts w:ascii="宋体" w:hAnsi="宋体" w:eastAsia="宋体" w:cs="宋体"/>
          <w:caps/>
          <w:kern w:val="0"/>
          <w:sz w:val="24"/>
          <w:szCs w:val="24"/>
        </w:rPr>
        <w:t>违约。</w:t>
      </w:r>
    </w:p>
    <w:p>
      <w:pPr>
        <w:spacing w:line="360" w:lineRule="auto"/>
        <w:ind w:firstLine="480" w:firstLineChars="200"/>
        <w:jc w:val="left"/>
        <w:rPr>
          <w:rFonts w:hint="default" w:ascii="宋体" w:hAnsi="宋体" w:eastAsia="宋体" w:cs="宋体"/>
          <w:caps/>
          <w:kern w:val="0"/>
          <w:sz w:val="24"/>
          <w:szCs w:val="24"/>
        </w:rPr>
      </w:pPr>
      <w:r>
        <w:rPr>
          <w:rFonts w:ascii="宋体" w:hAnsi="宋体" w:eastAsia="宋体" w:cs="宋体"/>
          <w:caps/>
          <w:kern w:val="0"/>
          <w:sz w:val="24"/>
          <w:szCs w:val="24"/>
          <w:lang w:eastAsia="zh-CN"/>
        </w:rPr>
        <w:t>11.8</w:t>
      </w:r>
      <w:r>
        <w:rPr>
          <w:rFonts w:ascii="宋体" w:hAnsi="宋体" w:eastAsia="宋体" w:cs="宋体"/>
          <w:caps/>
          <w:kern w:val="0"/>
          <w:sz w:val="24"/>
          <w:szCs w:val="24"/>
        </w:rPr>
        <w:t>本次采购项目为交钥匙工程，所需的一切货物、材料、安装、税金等相关费用，应全部包含在响应报价之中。</w:t>
      </w:r>
    </w:p>
    <w:p>
      <w:pPr>
        <w:spacing w:line="520" w:lineRule="exact"/>
        <w:ind w:firstLine="480" w:firstLineChars="200"/>
        <w:jc w:val="left"/>
        <w:rPr>
          <w:rFonts w:hint="default" w:ascii="宋体" w:hAnsi="宋体" w:eastAsia="宋体" w:cs="宋体"/>
          <w:caps/>
          <w:kern w:val="0"/>
          <w:sz w:val="24"/>
          <w:szCs w:val="24"/>
        </w:rPr>
      </w:pPr>
      <w:r>
        <w:rPr>
          <w:rFonts w:ascii="宋体" w:hAnsi="宋体" w:eastAsia="宋体" w:cs="宋体"/>
          <w:caps/>
          <w:kern w:val="0"/>
          <w:sz w:val="24"/>
          <w:szCs w:val="24"/>
          <w:lang w:eastAsia="zh-CN"/>
        </w:rPr>
        <w:t>11.9</w:t>
      </w:r>
      <w:r>
        <w:rPr>
          <w:rFonts w:ascii="宋体" w:hAnsi="宋体" w:eastAsia="宋体" w:cs="宋体"/>
          <w:caps/>
          <w:kern w:val="0"/>
          <w:sz w:val="24"/>
          <w:szCs w:val="24"/>
        </w:rPr>
        <w:t>人员培训：供方免费对需方人员进行技术培训、使其达到正确掌握设备使用要求。</w:t>
      </w:r>
    </w:p>
    <w:p>
      <w:pPr>
        <w:spacing w:line="520" w:lineRule="exact"/>
        <w:ind w:firstLine="480" w:firstLineChars="200"/>
        <w:jc w:val="left"/>
        <w:rPr>
          <w:rFonts w:hint="eastAsia" w:ascii="宋体" w:hAnsi="宋体" w:eastAsia="宋体" w:cs="宋体"/>
          <w:caps/>
          <w:kern w:val="0"/>
          <w:sz w:val="24"/>
          <w:szCs w:val="24"/>
          <w:lang w:eastAsia="zh-CN"/>
        </w:rPr>
      </w:pPr>
      <w:r>
        <w:rPr>
          <w:rFonts w:ascii="宋体" w:hAnsi="宋体" w:eastAsia="宋体" w:cs="宋体"/>
          <w:caps/>
          <w:kern w:val="0"/>
          <w:sz w:val="24"/>
          <w:szCs w:val="24"/>
          <w:lang w:val="en-US" w:eastAsia="zh-CN"/>
        </w:rPr>
        <w:t>1</w:t>
      </w:r>
      <w:r>
        <w:rPr>
          <w:rFonts w:hint="default" w:ascii="宋体" w:hAnsi="宋体" w:eastAsia="宋体" w:cs="宋体"/>
          <w:caps/>
          <w:kern w:val="0"/>
          <w:sz w:val="24"/>
          <w:szCs w:val="24"/>
          <w:lang w:val="en-US" w:eastAsia="zh-CN"/>
        </w:rPr>
        <w:t>1</w:t>
      </w:r>
      <w:r>
        <w:rPr>
          <w:rFonts w:ascii="宋体" w:hAnsi="宋体" w:eastAsia="宋体" w:cs="宋体"/>
          <w:caps/>
          <w:kern w:val="0"/>
          <w:sz w:val="24"/>
          <w:szCs w:val="24"/>
          <w:lang w:val="en-US" w:eastAsia="zh-CN"/>
        </w:rPr>
        <w:t>.</w:t>
      </w:r>
      <w:r>
        <w:rPr>
          <w:rFonts w:hint="default" w:ascii="宋体" w:hAnsi="宋体" w:eastAsia="宋体" w:cs="宋体"/>
          <w:caps/>
          <w:kern w:val="0"/>
          <w:sz w:val="24"/>
          <w:szCs w:val="24"/>
          <w:lang w:val="en-US" w:eastAsia="zh-CN"/>
        </w:rPr>
        <w:t>10</w:t>
      </w:r>
      <w:r>
        <w:rPr>
          <w:rFonts w:ascii="宋体" w:hAnsi="宋体" w:eastAsia="宋体" w:cs="宋体"/>
          <w:caps/>
          <w:kern w:val="0"/>
          <w:sz w:val="24"/>
          <w:szCs w:val="24"/>
        </w:rPr>
        <w:t>投标人须在</w:t>
      </w:r>
      <w:r>
        <w:rPr>
          <w:rFonts w:ascii="宋体" w:hAnsi="宋体" w:eastAsia="宋体" w:cs="宋体"/>
          <w:caps/>
          <w:kern w:val="0"/>
          <w:sz w:val="24"/>
          <w:szCs w:val="24"/>
          <w:lang w:eastAsia="zh-CN"/>
        </w:rPr>
        <w:t>投标</w:t>
      </w:r>
      <w:r>
        <w:rPr>
          <w:rFonts w:ascii="宋体" w:hAnsi="宋体" w:eastAsia="宋体" w:cs="宋体"/>
          <w:caps/>
          <w:kern w:val="0"/>
          <w:sz w:val="24"/>
          <w:szCs w:val="24"/>
        </w:rPr>
        <w:t>文件中</w:t>
      </w:r>
      <w:r>
        <w:rPr>
          <w:rFonts w:ascii="宋体" w:hAnsi="宋体" w:eastAsia="宋体" w:cs="宋体"/>
          <w:caps/>
          <w:kern w:val="0"/>
          <w:sz w:val="24"/>
          <w:szCs w:val="24"/>
          <w:lang w:eastAsia="zh-CN"/>
        </w:rPr>
        <w:t>提供</w:t>
      </w:r>
      <w:r>
        <w:rPr>
          <w:rFonts w:hint="eastAsia" w:ascii="宋体" w:hAnsi="宋体" w:eastAsia="宋体" w:cs="宋体"/>
          <w:caps/>
          <w:kern w:val="0"/>
          <w:sz w:val="24"/>
          <w:szCs w:val="24"/>
          <w:lang w:eastAsia="zh-CN"/>
        </w:rPr>
        <w:t>类似</w:t>
      </w:r>
      <w:r>
        <w:rPr>
          <w:rFonts w:ascii="宋体" w:hAnsi="宋体" w:eastAsia="宋体" w:cs="宋体"/>
          <w:caps/>
          <w:kern w:val="0"/>
          <w:sz w:val="24"/>
          <w:szCs w:val="24"/>
        </w:rPr>
        <w:t>业绩</w:t>
      </w:r>
      <w:r>
        <w:rPr>
          <w:rFonts w:ascii="宋体" w:hAnsi="宋体" w:eastAsia="宋体" w:cs="宋体"/>
          <w:caps/>
          <w:kern w:val="0"/>
          <w:sz w:val="24"/>
          <w:szCs w:val="24"/>
          <w:lang w:eastAsia="zh-CN"/>
        </w:rPr>
        <w:t>、节能或环境标志产品</w:t>
      </w:r>
      <w:r>
        <w:rPr>
          <w:rFonts w:hint="eastAsia" w:ascii="宋体" w:hAnsi="宋体" w:eastAsia="宋体" w:cs="宋体"/>
          <w:caps/>
          <w:kern w:val="0"/>
          <w:sz w:val="24"/>
          <w:szCs w:val="24"/>
          <w:lang w:eastAsia="zh-CN"/>
        </w:rPr>
        <w:t>认证证书</w:t>
      </w:r>
      <w:r>
        <w:rPr>
          <w:rFonts w:ascii="宋体" w:hAnsi="宋体" w:eastAsia="宋体" w:cs="宋体"/>
          <w:caps/>
          <w:kern w:val="0"/>
          <w:sz w:val="24"/>
          <w:szCs w:val="24"/>
          <w:lang w:eastAsia="zh-CN"/>
        </w:rPr>
        <w:t>、管理体系认证</w:t>
      </w:r>
      <w:r>
        <w:rPr>
          <w:rFonts w:hint="eastAsia" w:ascii="宋体" w:hAnsi="宋体" w:eastAsia="宋体" w:cs="宋体"/>
          <w:caps/>
          <w:kern w:val="0"/>
          <w:sz w:val="24"/>
          <w:szCs w:val="24"/>
          <w:lang w:eastAsia="zh-CN"/>
        </w:rPr>
        <w:t>证书</w:t>
      </w:r>
      <w:r>
        <w:rPr>
          <w:rFonts w:ascii="宋体" w:hAnsi="宋体" w:eastAsia="宋体" w:cs="宋体"/>
          <w:caps/>
          <w:kern w:val="0"/>
          <w:sz w:val="24"/>
          <w:szCs w:val="24"/>
          <w:lang w:eastAsia="zh-CN"/>
        </w:rPr>
        <w:t>、</w:t>
      </w:r>
      <w:r>
        <w:rPr>
          <w:rFonts w:hint="eastAsia" w:ascii="宋体" w:hAnsi="宋体" w:eastAsia="宋体" w:cs="宋体"/>
          <w:caps/>
          <w:kern w:val="0"/>
          <w:sz w:val="24"/>
          <w:szCs w:val="24"/>
          <w:lang w:eastAsia="zh-CN"/>
        </w:rPr>
        <w:t>商品包装及快递包装、自主知识产权、专业技术人员等</w:t>
      </w:r>
      <w:r>
        <w:rPr>
          <w:rFonts w:ascii="宋体" w:hAnsi="宋体" w:eastAsia="宋体" w:cs="宋体"/>
          <w:caps/>
          <w:kern w:val="0"/>
          <w:sz w:val="24"/>
          <w:szCs w:val="24"/>
          <w:lang w:eastAsia="zh-CN"/>
        </w:rPr>
        <w:t>证明材料，</w:t>
      </w:r>
      <w:r>
        <w:rPr>
          <w:rFonts w:ascii="宋体" w:hAnsi="宋体" w:eastAsia="宋体" w:cs="宋体"/>
          <w:caps/>
          <w:kern w:val="0"/>
          <w:sz w:val="24"/>
          <w:szCs w:val="24"/>
        </w:rPr>
        <w:t>针对本项目提供详细可行的</w:t>
      </w:r>
      <w:r>
        <w:rPr>
          <w:rFonts w:hint="eastAsia" w:ascii="宋体" w:hAnsi="宋体" w:eastAsia="宋体" w:cs="宋体"/>
          <w:caps/>
          <w:kern w:val="0"/>
          <w:sz w:val="24"/>
          <w:szCs w:val="24"/>
        </w:rPr>
        <w:t>系统总体设计</w:t>
      </w:r>
      <w:r>
        <w:rPr>
          <w:rFonts w:hint="eastAsia" w:ascii="宋体" w:hAnsi="宋体" w:eastAsia="宋体" w:cs="宋体"/>
          <w:caps/>
          <w:kern w:val="0"/>
          <w:sz w:val="24"/>
          <w:szCs w:val="24"/>
          <w:lang w:eastAsia="zh-CN"/>
        </w:rPr>
        <w:t>、</w:t>
      </w:r>
      <w:r>
        <w:rPr>
          <w:rFonts w:hint="eastAsia" w:ascii="宋体" w:hAnsi="宋体" w:eastAsia="宋体" w:cs="宋体"/>
          <w:caps/>
          <w:kern w:val="0"/>
          <w:sz w:val="24"/>
          <w:szCs w:val="24"/>
        </w:rPr>
        <w:t>二次开发方案</w:t>
      </w:r>
      <w:r>
        <w:rPr>
          <w:rFonts w:hint="eastAsia" w:ascii="宋体" w:hAnsi="宋体" w:eastAsia="宋体" w:cs="宋体"/>
          <w:caps/>
          <w:kern w:val="0"/>
          <w:sz w:val="24"/>
          <w:szCs w:val="24"/>
          <w:lang w:eastAsia="zh-CN"/>
        </w:rPr>
        <w:t>、</w:t>
      </w:r>
      <w:r>
        <w:rPr>
          <w:rFonts w:hint="eastAsia" w:ascii="宋体" w:hAnsi="宋体" w:eastAsia="宋体" w:cs="宋体"/>
          <w:caps/>
          <w:kern w:val="0"/>
          <w:sz w:val="24"/>
          <w:szCs w:val="24"/>
        </w:rPr>
        <w:t>实施方案</w:t>
      </w:r>
      <w:r>
        <w:rPr>
          <w:rFonts w:hint="eastAsia" w:ascii="宋体" w:hAnsi="宋体" w:eastAsia="宋体" w:cs="宋体"/>
          <w:caps/>
          <w:kern w:val="0"/>
          <w:sz w:val="24"/>
          <w:szCs w:val="24"/>
          <w:lang w:eastAsia="zh-CN"/>
        </w:rPr>
        <w:t>、</w:t>
      </w:r>
      <w:r>
        <w:rPr>
          <w:rFonts w:hint="eastAsia" w:ascii="宋体" w:hAnsi="宋体" w:eastAsia="宋体" w:cs="宋体"/>
          <w:caps/>
          <w:kern w:val="0"/>
          <w:sz w:val="24"/>
          <w:szCs w:val="24"/>
        </w:rPr>
        <w:t>培训方案</w:t>
      </w:r>
      <w:r>
        <w:rPr>
          <w:rFonts w:hint="eastAsia" w:ascii="宋体" w:hAnsi="宋体" w:eastAsia="宋体" w:cs="宋体"/>
          <w:caps/>
          <w:kern w:val="0"/>
          <w:sz w:val="24"/>
          <w:szCs w:val="24"/>
          <w:lang w:eastAsia="zh-CN"/>
        </w:rPr>
        <w:t>、</w:t>
      </w:r>
      <w:r>
        <w:rPr>
          <w:rFonts w:hint="eastAsia" w:ascii="宋体" w:hAnsi="宋体" w:eastAsia="宋体" w:cs="宋体"/>
          <w:caps/>
          <w:kern w:val="0"/>
          <w:sz w:val="24"/>
          <w:szCs w:val="24"/>
        </w:rPr>
        <w:t>验收方案</w:t>
      </w:r>
      <w:r>
        <w:rPr>
          <w:rFonts w:hint="eastAsia" w:ascii="宋体" w:hAnsi="宋体" w:eastAsia="宋体" w:cs="宋体"/>
          <w:caps/>
          <w:kern w:val="0"/>
          <w:sz w:val="24"/>
          <w:szCs w:val="24"/>
          <w:lang w:eastAsia="zh-CN"/>
        </w:rPr>
        <w:t>、</w:t>
      </w:r>
      <w:r>
        <w:rPr>
          <w:rFonts w:hint="eastAsia" w:ascii="宋体" w:hAnsi="宋体" w:eastAsia="宋体" w:cs="宋体"/>
          <w:caps/>
          <w:kern w:val="0"/>
          <w:sz w:val="24"/>
          <w:szCs w:val="24"/>
        </w:rPr>
        <w:t>运维方案</w:t>
      </w:r>
      <w:r>
        <w:rPr>
          <w:rFonts w:hint="eastAsia" w:ascii="宋体" w:hAnsi="宋体" w:eastAsia="宋体" w:cs="宋体"/>
          <w:caps/>
          <w:kern w:val="0"/>
          <w:sz w:val="24"/>
          <w:szCs w:val="24"/>
          <w:lang w:eastAsia="zh-CN"/>
        </w:rPr>
        <w:t>、</w:t>
      </w:r>
      <w:r>
        <w:rPr>
          <w:rFonts w:hint="eastAsia" w:ascii="宋体" w:hAnsi="宋体" w:eastAsia="宋体" w:cs="宋体"/>
          <w:caps/>
          <w:kern w:val="0"/>
          <w:sz w:val="24"/>
          <w:szCs w:val="24"/>
        </w:rPr>
        <w:t>售后及应急服务方案</w:t>
      </w:r>
      <w:r>
        <w:rPr>
          <w:rFonts w:hint="eastAsia" w:ascii="宋体" w:hAnsi="宋体" w:eastAsia="宋体" w:cs="宋体"/>
          <w:caps/>
          <w:kern w:val="0"/>
          <w:sz w:val="24"/>
          <w:szCs w:val="24"/>
          <w:lang w:eastAsia="zh-CN"/>
        </w:rPr>
        <w:t>。</w:t>
      </w:r>
    </w:p>
    <w:p>
      <w:pPr>
        <w:spacing w:line="360" w:lineRule="auto"/>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br w:type="page"/>
      </w:r>
    </w:p>
    <w:p>
      <w:pPr>
        <w:spacing w:before="128" w:line="266" w:lineRule="exact"/>
        <w:ind w:left="119" w:firstLine="562" w:firstLineChars="200"/>
        <w:jc w:val="center"/>
        <w:outlineLvl w:val="0"/>
        <w:rPr>
          <w:rFonts w:hint="eastAsia" w:ascii="仿宋_GB2312" w:hAnsi="仿宋_GB2312" w:eastAsia="仿宋_GB2312" w:cs="仿宋_GB2312"/>
          <w:color w:val="auto"/>
          <w:sz w:val="28"/>
          <w:szCs w:val="28"/>
        </w:rPr>
      </w:pPr>
      <w:bookmarkStart w:id="596" w:name="_Toc1488517498"/>
      <w:bookmarkStart w:id="597" w:name="_Toc450869757"/>
      <w:bookmarkStart w:id="598" w:name="_Toc1220109555_WPSOffice_Level1"/>
      <w:bookmarkStart w:id="599" w:name="_Toc1278987015"/>
      <w:bookmarkStart w:id="600" w:name="_Toc1868605479"/>
      <w:bookmarkStart w:id="601" w:name="_Toc1658402222_WPSOffice_Level1"/>
      <w:bookmarkStart w:id="602" w:name="_Toc577545602"/>
      <w:bookmarkStart w:id="603" w:name="_Toc1203796512"/>
      <w:bookmarkStart w:id="604" w:name="_Toc1228469917"/>
      <w:bookmarkStart w:id="605" w:name="_Toc371028730"/>
      <w:bookmarkStart w:id="606" w:name="_Toc56690152"/>
      <w:bookmarkStart w:id="607" w:name="_Toc2103487907_WPSOffice_Level1"/>
      <w:bookmarkStart w:id="608" w:name="_Toc665075453"/>
      <w:bookmarkStart w:id="609" w:name="_Toc1699044653"/>
      <w:bookmarkStart w:id="610" w:name="_Toc1364277335"/>
      <w:bookmarkStart w:id="611" w:name="_Toc375798951"/>
      <w:bookmarkStart w:id="612" w:name="_Toc342626813"/>
      <w:bookmarkStart w:id="613" w:name="_Toc1281126177_WPSOffice_Level1"/>
      <w:bookmarkStart w:id="614" w:name="_Toc1812667107_WPSOffice_Level1"/>
      <w:r>
        <w:rPr>
          <w:rFonts w:hint="eastAsia" w:ascii="仿宋_GB2312" w:hAnsi="仿宋_GB2312" w:eastAsia="仿宋_GB2312" w:cs="仿宋_GB2312"/>
          <w:b/>
          <w:bCs/>
          <w:color w:val="auto"/>
          <w:kern w:val="44"/>
          <w:sz w:val="28"/>
          <w:szCs w:val="28"/>
          <w:lang w:val="en" w:eastAsia="zh-CN"/>
        </w:rPr>
        <w:t>第七章</w:t>
      </w:r>
      <w:r>
        <w:rPr>
          <w:rFonts w:hint="eastAsia" w:ascii="仿宋_GB2312" w:hAnsi="仿宋_GB2312" w:eastAsia="仿宋_GB2312" w:cs="仿宋_GB2312"/>
          <w:b/>
          <w:bCs/>
          <w:color w:val="auto"/>
          <w:kern w:val="44"/>
          <w:sz w:val="28"/>
          <w:szCs w:val="28"/>
          <w:lang w:val="en"/>
        </w:rPr>
        <w:t xml:space="preserve"> 评标方法和标准</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pPr>
        <w:pStyle w:val="49"/>
        <w:rPr>
          <w:rFonts w:hint="eastAsia" w:ascii="仿宋_GB2312" w:hAnsi="仿宋_GB2312" w:eastAsia="仿宋_GB2312" w:cs="仿宋_GB2312"/>
          <w:sz w:val="28"/>
          <w:szCs w:val="28"/>
          <w:lang w:eastAsia="zh-CN"/>
        </w:rPr>
      </w:pPr>
      <w:bookmarkStart w:id="615" w:name="_Toc1270934164_WPSOffice_Level2"/>
      <w:bookmarkStart w:id="616" w:name="_Toc421828923_WPSOffice_Level2"/>
      <w:bookmarkStart w:id="617" w:name="_Toc2142859637_WPSOffice_Level2"/>
      <w:bookmarkStart w:id="618" w:name="_Toc1595179162_WPSOffice_Level2"/>
      <w:bookmarkStart w:id="619" w:name="_Toc682913791_WPSOffice_Level2"/>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eastAsia="zh-CN"/>
        </w:rPr>
        <w:t>一</w:t>
      </w:r>
      <w:r>
        <w:rPr>
          <w:rFonts w:hint="eastAsia" w:ascii="仿宋_GB2312" w:hAnsi="仿宋_GB2312" w:eastAsia="仿宋_GB2312" w:cs="仿宋_GB2312"/>
          <w:b/>
          <w:color w:val="auto"/>
          <w:sz w:val="28"/>
          <w:szCs w:val="28"/>
        </w:rPr>
        <w:t>、评标方法</w:t>
      </w:r>
      <w:bookmarkEnd w:id="615"/>
      <w:bookmarkEnd w:id="616"/>
      <w:bookmarkEnd w:id="617"/>
      <w:bookmarkEnd w:id="618"/>
      <w:bookmarkEnd w:id="619"/>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采用综合评分法，总分值</w:t>
      </w:r>
      <w:r>
        <w:rPr>
          <w:rFonts w:hint="eastAsia" w:ascii="仿宋_GB2312" w:hAnsi="仿宋_GB2312" w:eastAsia="仿宋_GB2312" w:cs="仿宋_GB2312"/>
          <w:color w:val="auto"/>
          <w:sz w:val="28"/>
          <w:szCs w:val="28"/>
          <w:lang w:val="en-US"/>
        </w:rPr>
        <w:t>100</w:t>
      </w:r>
      <w:r>
        <w:rPr>
          <w:rFonts w:hint="eastAsia" w:ascii="仿宋_GB2312" w:hAnsi="仿宋_GB2312" w:eastAsia="仿宋_GB2312" w:cs="仿宋_GB2312"/>
          <w:color w:val="auto"/>
          <w:sz w:val="28"/>
          <w:szCs w:val="28"/>
        </w:rPr>
        <w:t>分。</w:t>
      </w:r>
      <w:bookmarkStart w:id="620" w:name="_Toc35230229_WPSOffice_Level2"/>
      <w:r>
        <w:rPr>
          <w:rFonts w:hint="eastAsia" w:ascii="仿宋_GB2312" w:hAnsi="仿宋_GB2312" w:eastAsia="仿宋_GB2312" w:cs="仿宋_GB2312"/>
          <w:color w:val="auto"/>
          <w:sz w:val="28"/>
          <w:szCs w:val="28"/>
          <w:lang w:eastAsia="zh-CN"/>
        </w:rPr>
        <w:t>评标委员会对各投标人的投标文件进行符合性审查、详细</w:t>
      </w:r>
      <w:r>
        <w:rPr>
          <w:rFonts w:hint="eastAsia" w:ascii="仿宋_GB2312" w:hAnsi="仿宋_GB2312" w:eastAsia="仿宋_GB2312" w:cs="仿宋_GB2312"/>
          <w:color w:val="auto"/>
          <w:sz w:val="28"/>
          <w:szCs w:val="28"/>
        </w:rPr>
        <w:t>评审后</w:t>
      </w:r>
      <w:r>
        <w:rPr>
          <w:rFonts w:hint="eastAsia" w:ascii="仿宋_GB2312" w:hAnsi="仿宋_GB2312" w:eastAsia="仿宋_GB2312" w:cs="仿宋_GB2312"/>
          <w:color w:val="auto"/>
          <w:sz w:val="28"/>
          <w:szCs w:val="28"/>
          <w:lang w:eastAsia="zh-CN"/>
        </w:rPr>
        <w:t>，按评审</w:t>
      </w:r>
      <w:r>
        <w:rPr>
          <w:rFonts w:hint="eastAsia" w:ascii="仿宋_GB2312" w:hAnsi="仿宋_GB2312" w:eastAsia="仿宋_GB2312" w:cs="仿宋_GB2312"/>
          <w:color w:val="auto"/>
          <w:sz w:val="28"/>
          <w:szCs w:val="28"/>
        </w:rPr>
        <w:t>得分由高到低顺序</w:t>
      </w:r>
      <w:r>
        <w:rPr>
          <w:rFonts w:hint="eastAsia" w:ascii="仿宋_GB2312" w:hAnsi="仿宋_GB2312" w:eastAsia="仿宋_GB2312" w:cs="仿宋_GB2312"/>
          <w:color w:val="auto"/>
          <w:sz w:val="28"/>
          <w:szCs w:val="28"/>
          <w:lang w:eastAsia="zh-CN"/>
        </w:rPr>
        <w:t>推荐排名</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sz w:val="28"/>
          <w:szCs w:val="28"/>
        </w:rPr>
        <w:t>评审得分相同的，</w:t>
      </w:r>
      <w:r>
        <w:rPr>
          <w:rFonts w:hint="eastAsia" w:ascii="仿宋_GB2312" w:hAnsi="仿宋_GB2312" w:eastAsia="仿宋_GB2312" w:cs="仿宋_GB2312"/>
          <w:color w:val="auto"/>
          <w:sz w:val="28"/>
          <w:szCs w:val="28"/>
        </w:rPr>
        <w:t>按投标报价由低到高顺序</w:t>
      </w:r>
      <w:r>
        <w:rPr>
          <w:rFonts w:hint="eastAsia" w:ascii="仿宋_GB2312" w:hAnsi="仿宋_GB2312" w:eastAsia="仿宋_GB2312" w:cs="仿宋_GB2312"/>
          <w:color w:val="auto"/>
          <w:sz w:val="28"/>
          <w:szCs w:val="28"/>
          <w:lang w:eastAsia="zh-CN"/>
        </w:rPr>
        <w:t>推荐排列</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sz w:val="28"/>
          <w:szCs w:val="28"/>
        </w:rPr>
        <w:t>评审</w:t>
      </w:r>
      <w:r>
        <w:rPr>
          <w:rFonts w:hint="eastAsia" w:ascii="仿宋_GB2312" w:hAnsi="仿宋_GB2312" w:eastAsia="仿宋_GB2312" w:cs="仿宋_GB2312"/>
          <w:color w:val="auto"/>
          <w:sz w:val="28"/>
          <w:szCs w:val="28"/>
        </w:rPr>
        <w:t>得分且投标报价相同的</w:t>
      </w:r>
      <w:r>
        <w:rPr>
          <w:rFonts w:hint="eastAsia" w:ascii="仿宋_GB2312" w:hAnsi="仿宋_GB2312" w:eastAsia="仿宋_GB2312" w:cs="仿宋_GB2312"/>
          <w:color w:val="auto"/>
          <w:sz w:val="28"/>
          <w:szCs w:val="28"/>
          <w:lang w:eastAsia="zh-CN"/>
        </w:rPr>
        <w:t>并列</w:t>
      </w:r>
      <w:r>
        <w:rPr>
          <w:rFonts w:hint="eastAsia" w:ascii="仿宋_GB2312" w:hAnsi="仿宋_GB2312" w:eastAsia="仿宋_GB2312" w:cs="仿宋_GB2312"/>
          <w:color w:val="auto"/>
          <w:sz w:val="28"/>
          <w:szCs w:val="28"/>
        </w:rPr>
        <w:t>。</w:t>
      </w:r>
    </w:p>
    <w:p>
      <w:pPr>
        <w:pStyle w:val="39"/>
        <w:spacing w:line="360" w:lineRule="auto"/>
        <w:ind w:left="0" w:leftChars="0"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其他：</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eastAsia="zh-CN"/>
        </w:rPr>
        <w:t>。</w:t>
      </w:r>
    </w:p>
    <w:bookmarkEnd w:id="620"/>
    <w:p>
      <w:pPr>
        <w:spacing w:line="360" w:lineRule="auto"/>
        <w:ind w:firstLine="562" w:firstLineChars="200"/>
        <w:rPr>
          <w:rFonts w:hint="eastAsia" w:ascii="仿宋_GB2312" w:hAnsi="仿宋_GB2312" w:eastAsia="仿宋_GB2312" w:cs="仿宋_GB2312"/>
          <w:b/>
          <w:color w:val="auto"/>
          <w:sz w:val="28"/>
          <w:szCs w:val="28"/>
        </w:rPr>
      </w:pPr>
      <w:bookmarkStart w:id="621" w:name="_Toc333611415_WPSOffice_Level3"/>
      <w:bookmarkStart w:id="622" w:name="_Toc1410113626_WPSOffice_Level3"/>
      <w:bookmarkStart w:id="623" w:name="_Toc1165130044_WPSOffice_Level2"/>
      <w:r>
        <w:rPr>
          <w:rFonts w:hint="eastAsia" w:ascii="仿宋_GB2312" w:hAnsi="仿宋_GB2312" w:eastAsia="仿宋_GB2312" w:cs="仿宋_GB2312"/>
          <w:b/>
          <w:color w:val="auto"/>
          <w:sz w:val="28"/>
          <w:szCs w:val="28"/>
          <w:lang w:eastAsia="zh-CN"/>
        </w:rPr>
        <w:t>二、</w:t>
      </w:r>
      <w:r>
        <w:rPr>
          <w:rFonts w:hint="eastAsia" w:ascii="仿宋_GB2312" w:hAnsi="仿宋_GB2312" w:eastAsia="仿宋_GB2312" w:cs="仿宋_GB2312"/>
          <w:b/>
          <w:color w:val="auto"/>
          <w:sz w:val="28"/>
          <w:szCs w:val="28"/>
        </w:rPr>
        <w:t>符合性审查</w:t>
      </w:r>
      <w:bookmarkEnd w:id="621"/>
      <w:bookmarkEnd w:id="622"/>
      <w:bookmarkEnd w:id="623"/>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评标委员会对符合资格的投标人的投标文件进行符合性审查，以确定其是否满足招标文件的实质性要求。</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1. </w:t>
      </w:r>
      <w:r>
        <w:rPr>
          <w:rFonts w:hint="eastAsia" w:ascii="仿宋_GB2312" w:hAnsi="仿宋_GB2312" w:eastAsia="仿宋_GB2312" w:cs="仿宋_GB2312"/>
          <w:color w:val="auto"/>
          <w:sz w:val="28"/>
          <w:szCs w:val="28"/>
          <w:lang w:eastAsia="zh-CN"/>
        </w:rPr>
        <w:t>投标文件</w:t>
      </w:r>
      <w:r>
        <w:rPr>
          <w:rFonts w:hint="eastAsia" w:ascii="仿宋_GB2312" w:hAnsi="仿宋_GB2312" w:eastAsia="仿宋_GB2312" w:cs="仿宋_GB2312"/>
          <w:color w:val="auto"/>
          <w:sz w:val="28"/>
          <w:szCs w:val="28"/>
        </w:rPr>
        <w:t>不存在雷同性（评标系统内</w:t>
      </w:r>
      <w:r>
        <w:rPr>
          <w:rFonts w:hint="eastAsia" w:ascii="仿宋_GB2312" w:hAnsi="仿宋_GB2312" w:eastAsia="仿宋_GB2312" w:cs="仿宋_GB2312"/>
          <w:color w:val="auto"/>
          <w:sz w:val="28"/>
          <w:szCs w:val="28"/>
          <w:lang w:eastAsia="zh-CN"/>
        </w:rPr>
        <w:t>投标文件</w:t>
      </w:r>
      <w:r>
        <w:rPr>
          <w:rFonts w:hint="eastAsia" w:ascii="仿宋_GB2312" w:hAnsi="仿宋_GB2312" w:eastAsia="仿宋_GB2312" w:cs="仿宋_GB2312"/>
          <w:color w:val="auto"/>
          <w:sz w:val="28"/>
          <w:szCs w:val="28"/>
        </w:rPr>
        <w:t>雷同性分析，包括文件制作机器码或文件创建标识码）。</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2. </w:t>
      </w:r>
      <w:r>
        <w:rPr>
          <w:rFonts w:hint="eastAsia" w:ascii="仿宋_GB2312" w:hAnsi="仿宋_GB2312" w:eastAsia="仿宋_GB2312" w:cs="仿宋_GB2312"/>
          <w:color w:val="auto"/>
          <w:sz w:val="28"/>
          <w:szCs w:val="28"/>
        </w:rPr>
        <w:t>签字盖章签章符合招标文件要求；</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投标有效期符合招标文件要求；</w:t>
      </w:r>
    </w:p>
    <w:p>
      <w:pPr>
        <w:spacing w:line="360" w:lineRule="auto"/>
        <w:ind w:firstLine="560" w:firstLineChars="200"/>
        <w:rPr>
          <w:rFonts w:hint="eastAsia" w:ascii="仿宋_GB2312" w:hAnsi="仿宋_GB2312" w:eastAsia="仿宋_GB2312" w:cs="仿宋_GB2312"/>
          <w:strike/>
          <w:color w:val="auto"/>
          <w:sz w:val="28"/>
          <w:szCs w:val="28"/>
          <w:highlight w:val="yellow"/>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 投标报价未超出</w:t>
      </w:r>
      <w:r>
        <w:rPr>
          <w:rFonts w:hint="eastAsia" w:ascii="仿宋_GB2312" w:hAnsi="仿宋_GB2312" w:eastAsia="仿宋_GB2312" w:cs="仿宋_GB2312"/>
          <w:color w:val="auto"/>
          <w:sz w:val="28"/>
          <w:szCs w:val="28"/>
          <w:lang w:val="en-US" w:eastAsia="zh-CN"/>
        </w:rPr>
        <w:t>最高限价</w:t>
      </w:r>
      <w:r>
        <w:rPr>
          <w:rFonts w:hint="eastAsia" w:ascii="仿宋_GB2312" w:hAnsi="仿宋_GB2312" w:eastAsia="仿宋_GB2312" w:cs="仿宋_GB2312"/>
          <w:color w:val="auto"/>
          <w:sz w:val="28"/>
          <w:szCs w:val="28"/>
        </w:rPr>
        <w:t>；</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投标文件无重大或不可接受的偏差；</w:t>
      </w:r>
    </w:p>
    <w:p>
      <w:pPr>
        <w:spacing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6. </w:t>
      </w:r>
      <w:r>
        <w:rPr>
          <w:rFonts w:hint="eastAsia" w:ascii="仿宋_GB2312" w:hAnsi="仿宋_GB2312" w:eastAsia="仿宋_GB2312" w:cs="仿宋_GB2312"/>
          <w:color w:val="auto"/>
          <w:sz w:val="28"/>
          <w:szCs w:val="28"/>
        </w:rPr>
        <w:t>投标文件未附有采购人不能接受的条件</w:t>
      </w:r>
      <w:r>
        <w:rPr>
          <w:rFonts w:hint="eastAsia" w:ascii="仿宋_GB2312" w:hAnsi="仿宋_GB2312" w:eastAsia="仿宋_GB2312" w:cs="仿宋_GB2312"/>
          <w:color w:val="auto"/>
          <w:sz w:val="28"/>
          <w:szCs w:val="28"/>
          <w:lang w:eastAsia="zh-CN"/>
        </w:rPr>
        <w:t>；</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 招标文件及法律法规规定的其他情形</w:t>
      </w:r>
      <w:r>
        <w:rPr>
          <w:rFonts w:hint="eastAsia" w:ascii="仿宋_GB2312" w:hAnsi="仿宋_GB2312" w:eastAsia="仿宋_GB2312" w:cs="仿宋_GB2312"/>
          <w:color w:val="auto"/>
          <w:sz w:val="28"/>
          <w:szCs w:val="28"/>
        </w:rPr>
        <w:t>。</w:t>
      </w:r>
    </w:p>
    <w:p>
      <w:pPr>
        <w:pStyle w:val="87"/>
        <w:spacing w:line="360" w:lineRule="auto"/>
        <w:ind w:firstLine="562" w:firstLineChars="200"/>
        <w:jc w:val="both"/>
        <w:rPr>
          <w:rFonts w:hint="eastAsia" w:ascii="仿宋_GB2312" w:hAnsi="仿宋_GB2312" w:eastAsia="仿宋_GB2312" w:cs="仿宋_GB2312"/>
          <w:b/>
          <w:color w:val="auto"/>
          <w:kern w:val="2"/>
          <w:sz w:val="28"/>
          <w:szCs w:val="28"/>
          <w:lang w:val="zh-TW"/>
        </w:rPr>
      </w:pPr>
      <w:bookmarkStart w:id="624" w:name="_Toc717433308_WPSOffice_Level2"/>
      <w:r>
        <w:rPr>
          <w:rFonts w:hint="eastAsia" w:ascii="仿宋_GB2312" w:hAnsi="仿宋_GB2312" w:eastAsia="仿宋_GB2312" w:cs="仿宋_GB2312"/>
          <w:b/>
          <w:color w:val="auto"/>
          <w:kern w:val="2"/>
          <w:sz w:val="28"/>
          <w:szCs w:val="28"/>
          <w:lang w:val="zh-TW"/>
        </w:rPr>
        <w:t>三、详细评审</w:t>
      </w:r>
      <w:bookmarkEnd w:id="624"/>
    </w:p>
    <w:p>
      <w:pPr>
        <w:spacing w:line="360" w:lineRule="auto"/>
        <w:ind w:firstLine="562" w:firstLineChars="200"/>
        <w:rPr>
          <w:rFonts w:hint="eastAsia" w:ascii="仿宋_GB2312" w:hAnsi="仿宋_GB2312" w:eastAsia="仿宋_GB2312" w:cs="仿宋_GB2312"/>
          <w:b/>
          <w:color w:val="auto"/>
          <w:sz w:val="28"/>
          <w:szCs w:val="28"/>
        </w:rPr>
      </w:pPr>
      <w:bookmarkStart w:id="625" w:name="_Toc1971336045_WPSOffice_Level3"/>
      <w:bookmarkStart w:id="626" w:name="_Toc278923003_WPSOffice_Level3"/>
      <w:bookmarkStart w:id="627" w:name="_Toc1716909242_WPSOffice_Level3"/>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．澄清有关问题</w:t>
      </w:r>
      <w:bookmarkEnd w:id="625"/>
      <w:bookmarkEnd w:id="626"/>
      <w:bookmarkEnd w:id="627"/>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rPr>
        <w:t>对于投标文件中含义不明确、同类问题表述不一致或者有明显文字和计算错误的内容，评标委员会应当以书面形式要求投标人作出必要的澄清、说明或者补正。</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rPr>
        <w:t>.2</w:t>
      </w:r>
      <w:r>
        <w:rPr>
          <w:rFonts w:hint="eastAsia" w:ascii="仿宋_GB2312" w:hAnsi="仿宋_GB2312" w:eastAsia="仿宋_GB2312" w:cs="仿宋_GB2312"/>
          <w:color w:val="auto"/>
          <w:sz w:val="28"/>
          <w:szCs w:val="28"/>
        </w:rPr>
        <w:t>投标人的澄清、说明或者补正不得超出投标文件的范围或者改变投标文件的实质性内容。</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rPr>
        <w:t>.3</w:t>
      </w:r>
      <w:r>
        <w:rPr>
          <w:rFonts w:hint="eastAsia" w:ascii="仿宋_GB2312" w:hAnsi="仿宋_GB2312" w:eastAsia="仿宋_GB2312" w:cs="仿宋_GB2312"/>
          <w:color w:val="auto"/>
          <w:sz w:val="28"/>
          <w:szCs w:val="28"/>
        </w:rPr>
        <w:t>允许修正投标文件中不构成重大偏离的、微小的、非正规的、不一致或不规则的地方。</w:t>
      </w:r>
    </w:p>
    <w:p>
      <w:pPr>
        <w:spacing w:line="360" w:lineRule="auto"/>
        <w:ind w:firstLine="562" w:firstLineChars="200"/>
        <w:rPr>
          <w:rFonts w:hint="eastAsia" w:ascii="仿宋_GB2312" w:hAnsi="仿宋_GB2312" w:eastAsia="仿宋_GB2312" w:cs="仿宋_GB2312"/>
          <w:b/>
          <w:color w:val="auto"/>
          <w:sz w:val="28"/>
          <w:szCs w:val="28"/>
        </w:rPr>
      </w:pPr>
      <w:bookmarkStart w:id="628" w:name="_Toc2074264070_WPSOffice_Level3"/>
      <w:bookmarkStart w:id="629" w:name="_Toc577657209_WPSOffice_Level3"/>
      <w:bookmarkStart w:id="630" w:name="_Toc792649721_WPSOffice_Level3"/>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bookmarkEnd w:id="628"/>
      <w:bookmarkEnd w:id="629"/>
      <w:r>
        <w:rPr>
          <w:rFonts w:hint="eastAsia" w:ascii="仿宋_GB2312" w:hAnsi="仿宋_GB2312" w:eastAsia="仿宋_GB2312" w:cs="仿宋_GB2312"/>
          <w:b/>
          <w:color w:val="auto"/>
          <w:sz w:val="28"/>
          <w:szCs w:val="28"/>
        </w:rPr>
        <w:t>综合比较与评价</w:t>
      </w:r>
      <w:bookmarkEnd w:id="630"/>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rPr>
        <w:t>评标委员会按照招标文件中规定的评标方法和标准，对符合性审查合格的投标文件进行商务和技术评</w:t>
      </w:r>
      <w:r>
        <w:rPr>
          <w:rFonts w:hint="eastAsia" w:ascii="仿宋_GB2312" w:hAnsi="仿宋_GB2312" w:eastAsia="仿宋_GB2312" w:cs="仿宋_GB2312"/>
          <w:color w:val="auto"/>
          <w:sz w:val="28"/>
          <w:szCs w:val="28"/>
          <w:lang w:val="en-US" w:eastAsia="zh-CN"/>
        </w:rPr>
        <w:t>审</w:t>
      </w:r>
      <w:r>
        <w:rPr>
          <w:rFonts w:hint="eastAsia" w:ascii="仿宋_GB2312" w:hAnsi="仿宋_GB2312" w:eastAsia="仿宋_GB2312" w:cs="仿宋_GB2312"/>
          <w:color w:val="auto"/>
          <w:sz w:val="28"/>
          <w:szCs w:val="28"/>
        </w:rPr>
        <w:t>，综合比较与评价。</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评标时，评标委员会各成员应当独立对每个投标人的投标文件进行评价，并汇总每个投标人的得分</w:t>
      </w:r>
      <w:r>
        <w:rPr>
          <w:rFonts w:hint="eastAsia" w:ascii="仿宋_GB2312" w:hAnsi="仿宋_GB2312" w:eastAsia="仿宋_GB2312" w:cs="仿宋_GB2312"/>
          <w:color w:val="auto"/>
          <w:sz w:val="28"/>
          <w:szCs w:val="28"/>
          <w:lang w:eastAsia="zh-CN"/>
        </w:rPr>
        <w:t>，由</w:t>
      </w:r>
      <w:r>
        <w:rPr>
          <w:rFonts w:hint="eastAsia" w:ascii="仿宋_GB2312" w:hAnsi="仿宋_GB2312" w:eastAsia="仿宋_GB2312" w:cs="仿宋_GB2312"/>
          <w:color w:val="auto"/>
          <w:sz w:val="28"/>
          <w:szCs w:val="28"/>
        </w:rPr>
        <w:t>评标委员会推荐</w:t>
      </w:r>
      <w:r>
        <w:rPr>
          <w:rFonts w:hint="eastAsia" w:ascii="仿宋_GB2312" w:hAnsi="仿宋_GB2312" w:eastAsia="仿宋_GB2312" w:cs="仿宋_GB2312"/>
          <w:color w:val="auto"/>
          <w:sz w:val="28"/>
          <w:szCs w:val="28"/>
          <w:lang w:eastAsia="zh-CN"/>
        </w:rPr>
        <w:t>3名</w:t>
      </w:r>
      <w:r>
        <w:rPr>
          <w:rFonts w:hint="eastAsia" w:ascii="仿宋_GB2312" w:hAnsi="仿宋_GB2312" w:eastAsia="仿宋_GB2312" w:cs="仿宋_GB2312"/>
          <w:color w:val="auto"/>
          <w:sz w:val="28"/>
          <w:szCs w:val="28"/>
        </w:rPr>
        <w:t>中标候选人。</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投标人的评审得分为所有评委评审得分的算术平均值，评审得分取至小数点后两位（第三位四舍五入）。</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评标委员会完成评标后，应当</w:t>
      </w:r>
      <w:r>
        <w:rPr>
          <w:rFonts w:hint="eastAsia" w:ascii="仿宋_GB2312" w:hAnsi="仿宋_GB2312" w:eastAsia="仿宋_GB2312" w:cs="仿宋_GB2312"/>
          <w:color w:val="auto"/>
          <w:sz w:val="28"/>
          <w:szCs w:val="28"/>
          <w:lang w:eastAsia="zh-CN"/>
        </w:rPr>
        <w:t>出具</w:t>
      </w:r>
      <w:r>
        <w:rPr>
          <w:rFonts w:hint="eastAsia" w:ascii="仿宋_GB2312" w:hAnsi="仿宋_GB2312" w:eastAsia="仿宋_GB2312" w:cs="仿宋_GB2312"/>
          <w:color w:val="auto"/>
          <w:sz w:val="28"/>
          <w:szCs w:val="28"/>
        </w:rPr>
        <w:t>书面评标报告。</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562" w:firstLineChars="200"/>
        <w:outlineLvl w:val="1"/>
        <w:rPr>
          <w:rFonts w:hint="default" w:ascii="Times New Roman" w:hAnsi="Times New Roman" w:eastAsia="楷体" w:cs="Times New Roman"/>
          <w:sz w:val="28"/>
          <w:szCs w:val="28"/>
          <w:u w:val="single"/>
          <w:lang w:val="en-US" w:eastAsia="zh-CN"/>
        </w:rPr>
      </w:pPr>
      <w:bookmarkStart w:id="631" w:name="_Toc1647555423_WPSOffice_Level3"/>
      <w:bookmarkStart w:id="632" w:name="_Toc75126242_WPSOffice_Level3"/>
      <w:bookmarkStart w:id="633" w:name="_Toc71296678_WPSOffice_Level2"/>
      <w:r>
        <w:rPr>
          <w:rFonts w:hint="eastAsia" w:ascii="仿宋_GB2312" w:hAnsi="仿宋_GB2312" w:eastAsia="仿宋_GB2312" w:cs="仿宋_GB2312"/>
          <w:b/>
          <w:color w:val="auto"/>
          <w:sz w:val="28"/>
          <w:szCs w:val="28"/>
          <w:lang w:val="en-US" w:eastAsia="zh-CN"/>
        </w:rPr>
        <w:br w:type="page"/>
      </w:r>
      <w:bookmarkEnd w:id="631"/>
      <w:bookmarkEnd w:id="632"/>
      <w:bookmarkEnd w:id="633"/>
      <w:bookmarkStart w:id="634" w:name="_Toc1252040209_WPSOffice_Level1"/>
      <w:bookmarkStart w:id="635" w:name="_Toc937079805"/>
      <w:bookmarkStart w:id="636" w:name="_Toc1076969064"/>
      <w:bookmarkStart w:id="637" w:name="_Toc1141019899"/>
      <w:bookmarkStart w:id="638" w:name="_Toc1042755721"/>
      <w:bookmarkStart w:id="639" w:name="_Toc1871798156"/>
      <w:bookmarkStart w:id="640" w:name="_Toc1242281777_WPSOffice_Level1"/>
      <w:bookmarkStart w:id="641" w:name="_Toc2046937450_WPSOffice_Level1"/>
      <w:bookmarkStart w:id="642" w:name="_Toc831149221"/>
      <w:bookmarkStart w:id="643" w:name="_Toc1424279934_WPSOffice_Level1"/>
      <w:bookmarkStart w:id="644" w:name="_Toc1027165614"/>
      <w:bookmarkStart w:id="645" w:name="_Toc170276657"/>
      <w:bookmarkStart w:id="646" w:name="_Toc42081351"/>
      <w:bookmarkStart w:id="647" w:name="_Toc816670296"/>
      <w:bookmarkStart w:id="648" w:name="_Toc555660728_WPSOffice_Level1"/>
      <w:bookmarkStart w:id="649" w:name="_Toc1357609763"/>
      <w:bookmarkStart w:id="650" w:name="_Toc426259256"/>
      <w:r>
        <w:rPr>
          <w:rFonts w:hint="default" w:ascii="Times New Roman" w:hAnsi="Times New Roman" w:eastAsia="仿宋_GB2312" w:cs="Times New Roman"/>
          <w:b/>
          <w:color w:val="auto"/>
          <w:sz w:val="28"/>
          <w:szCs w:val="28"/>
          <w:lang w:val="en-US" w:eastAsia="zh-CN"/>
        </w:rPr>
        <w:t>四、</w:t>
      </w:r>
      <w:bookmarkStart w:id="651" w:name="_Toc648016321_WPSOffice_Level3"/>
      <w:bookmarkStart w:id="652" w:name="_Toc131500600_WPSOffice_Level3"/>
      <w:r>
        <w:rPr>
          <w:rFonts w:hint="default" w:ascii="Times New Roman" w:hAnsi="Times New Roman" w:eastAsia="仿宋_GB2312" w:cs="Times New Roman"/>
          <w:b/>
          <w:color w:val="auto"/>
          <w:sz w:val="28"/>
          <w:szCs w:val="28"/>
        </w:rPr>
        <w:t>评</w:t>
      </w:r>
      <w:r>
        <w:rPr>
          <w:rFonts w:hint="default" w:ascii="Times New Roman" w:hAnsi="Times New Roman" w:eastAsia="仿宋_GB2312" w:cs="Times New Roman"/>
          <w:b/>
          <w:color w:val="auto"/>
          <w:sz w:val="28"/>
          <w:szCs w:val="28"/>
          <w:lang w:eastAsia="zh-CN"/>
        </w:rPr>
        <w:t>分</w:t>
      </w:r>
      <w:r>
        <w:rPr>
          <w:rFonts w:hint="default" w:ascii="Times New Roman" w:hAnsi="Times New Roman" w:eastAsia="仿宋_GB2312" w:cs="Times New Roman"/>
          <w:b/>
          <w:color w:val="auto"/>
          <w:sz w:val="28"/>
          <w:szCs w:val="28"/>
        </w:rPr>
        <w:t>标准（满分100分）</w:t>
      </w:r>
      <w:bookmarkEnd w:id="651"/>
      <w:bookmarkEnd w:id="652"/>
    </w:p>
    <w:tbl>
      <w:tblPr>
        <w:tblStyle w:val="51"/>
        <w:tblW w:w="93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9"/>
        <w:gridCol w:w="1060"/>
        <w:gridCol w:w="6569"/>
        <w:gridCol w:w="5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28" w:hRule="atLeast"/>
          <w:jc w:val="center"/>
        </w:trPr>
        <w:tc>
          <w:tcPr>
            <w:tcW w:w="1179" w:type="dxa"/>
            <w:tcBorders>
              <w:top w:val="single" w:color="auto" w:sz="4" w:space="0"/>
              <w:bottom w:val="single" w:color="auto" w:sz="4" w:space="0"/>
              <w:right w:val="single" w:color="auto" w:sz="4" w:space="0"/>
            </w:tcBorders>
            <w:noWrap/>
            <w:vAlign w:val="center"/>
          </w:tcPr>
          <w:p>
            <w:pPr>
              <w:spacing w:line="320" w:lineRule="exact"/>
              <w:jc w:val="center"/>
              <w:rPr>
                <w:rFonts w:hint="default" w:ascii="宋体" w:hAnsi="宋体" w:eastAsia="宋体" w:cs="黑体"/>
                <w:b/>
                <w:bCs/>
                <w:kern w:val="0"/>
              </w:rPr>
            </w:pPr>
            <w:r>
              <w:rPr>
                <w:rFonts w:ascii="宋体" w:hAnsi="宋体" w:eastAsia="宋体" w:cs="黑体"/>
                <w:b/>
                <w:bCs/>
                <w:kern w:val="0"/>
              </w:rPr>
              <w:t>评分因素</w:t>
            </w: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default" w:ascii="宋体" w:hAnsi="宋体" w:eastAsia="宋体" w:cs="黑体"/>
                <w:b/>
                <w:bCs/>
                <w:kern w:val="0"/>
              </w:rPr>
            </w:pPr>
            <w:r>
              <w:rPr>
                <w:rFonts w:ascii="宋体" w:hAnsi="宋体" w:eastAsia="宋体" w:cs="黑体"/>
                <w:b/>
                <w:bCs/>
                <w:kern w:val="0"/>
              </w:rPr>
              <w:t>评分内容</w:t>
            </w:r>
          </w:p>
        </w:tc>
        <w:tc>
          <w:tcPr>
            <w:tcW w:w="6569"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default" w:ascii="宋体" w:hAnsi="宋体" w:eastAsia="宋体" w:cs="黑体"/>
                <w:b/>
                <w:bCs/>
                <w:kern w:val="0"/>
              </w:rPr>
            </w:pPr>
            <w:r>
              <w:rPr>
                <w:rFonts w:ascii="宋体" w:hAnsi="宋体" w:eastAsia="宋体" w:cs="黑体"/>
                <w:b/>
                <w:bCs/>
                <w:kern w:val="0"/>
              </w:rPr>
              <w:t>评分标准</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default" w:ascii="宋体" w:hAnsi="宋体" w:eastAsia="宋体" w:cs="黑体"/>
                <w:b/>
                <w:bCs/>
                <w:kern w:val="0"/>
              </w:rPr>
            </w:pPr>
            <w:r>
              <w:rPr>
                <w:rFonts w:ascii="宋体" w:hAnsi="宋体" w:eastAsia="宋体" w:cs="黑体"/>
                <w:b/>
                <w:bCs/>
                <w:kern w:val="0"/>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1179" w:type="dxa"/>
            <w:tcBorders>
              <w:top w:val="single" w:color="auto" w:sz="4" w:space="0"/>
              <w:bottom w:val="single" w:color="auto" w:sz="4" w:space="0"/>
              <w:right w:val="single" w:color="auto" w:sz="4" w:space="0"/>
            </w:tcBorders>
            <w:noWrap/>
            <w:vAlign w:val="center"/>
          </w:tcPr>
          <w:p>
            <w:pPr>
              <w:widowControl w:val="0"/>
              <w:spacing w:line="300" w:lineRule="exact"/>
              <w:jc w:val="center"/>
              <w:rPr>
                <w:rFonts w:hint="default" w:ascii="仿宋" w:hAnsi="仿宋" w:eastAsia="仿宋" w:cs="仿宋"/>
                <w:b/>
                <w:spacing w:val="6"/>
                <w:sz w:val="28"/>
                <w:szCs w:val="28"/>
              </w:rPr>
            </w:pPr>
            <w:r>
              <w:rPr>
                <w:rFonts w:ascii="宋体" w:hAnsi="宋体" w:eastAsia="宋体" w:cs="黑体"/>
                <w:kern w:val="0"/>
              </w:rPr>
              <w:t>价格部分（</w:t>
            </w:r>
            <w:r>
              <w:rPr>
                <w:rFonts w:hint="eastAsia" w:ascii="宋体" w:hAnsi="宋体" w:eastAsia="宋体" w:cs="黑体"/>
                <w:kern w:val="0"/>
                <w:lang w:val="en-US" w:eastAsia="zh-CN"/>
              </w:rPr>
              <w:t>2</w:t>
            </w:r>
            <w:r>
              <w:rPr>
                <w:rFonts w:ascii="宋体" w:hAnsi="宋体" w:eastAsia="宋体" w:cs="黑体"/>
                <w:kern w:val="0"/>
                <w:lang w:val="en-US" w:eastAsia="zh-CN"/>
              </w:rPr>
              <w:t>0</w:t>
            </w:r>
            <w:r>
              <w:rPr>
                <w:rFonts w:ascii="宋体" w:hAnsi="宋体" w:eastAsia="宋体" w:cs="黑体"/>
                <w:kern w:val="0"/>
              </w:rPr>
              <w:t>分）</w:t>
            </w: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default" w:ascii="宋体" w:hAnsi="宋体" w:eastAsia="宋体" w:cs="黑体"/>
                <w:kern w:val="0"/>
              </w:rPr>
            </w:pPr>
            <w:r>
              <w:rPr>
                <w:rFonts w:ascii="宋体" w:hAnsi="宋体" w:eastAsia="宋体" w:cs="黑体"/>
                <w:kern w:val="0"/>
              </w:rPr>
              <w:t>投标报价</w:t>
            </w:r>
          </w:p>
        </w:tc>
        <w:tc>
          <w:tcPr>
            <w:tcW w:w="6569"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rPr>
            </w:pPr>
            <w:r>
              <w:rPr>
                <w:rFonts w:ascii="宋体" w:hAnsi="宋体" w:eastAsia="宋体" w:cs="黑体"/>
                <w:kern w:val="0"/>
              </w:rPr>
              <w:t>实质性满足招标文件要求且投标价格最低的投标报价为评标基准价，其价格分为满分。</w:t>
            </w:r>
          </w:p>
          <w:p>
            <w:pPr>
              <w:spacing w:line="320" w:lineRule="exact"/>
              <w:jc w:val="left"/>
              <w:rPr>
                <w:rFonts w:hint="default" w:ascii="宋体" w:hAnsi="宋体" w:eastAsia="宋体" w:cs="黑体"/>
                <w:kern w:val="0"/>
              </w:rPr>
            </w:pPr>
            <w:r>
              <w:rPr>
                <w:rFonts w:ascii="宋体" w:hAnsi="宋体" w:eastAsia="宋体" w:cs="黑体"/>
                <w:kern w:val="0"/>
              </w:rPr>
              <w:t>其他投标人的价格分统一按照下列公式计算：投标报价得分=（评标基准价/投标报价）×</w:t>
            </w:r>
            <w:r>
              <w:rPr>
                <w:rFonts w:hint="eastAsia" w:ascii="宋体" w:hAnsi="宋体" w:eastAsia="宋体" w:cs="黑体"/>
                <w:kern w:val="0"/>
                <w:lang w:val="en-US" w:eastAsia="zh-CN"/>
              </w:rPr>
              <w:t>2</w:t>
            </w:r>
            <w:r>
              <w:rPr>
                <w:rFonts w:ascii="宋体" w:hAnsi="宋体" w:eastAsia="宋体" w:cs="黑体"/>
                <w:kern w:val="0"/>
                <w:lang w:val="en-US" w:eastAsia="zh-CN"/>
              </w:rPr>
              <w:t>0</w:t>
            </w:r>
            <w:r>
              <w:rPr>
                <w:rFonts w:ascii="宋体" w:hAnsi="宋体" w:eastAsia="宋体" w:cs="黑体"/>
                <w:kern w:val="0"/>
              </w:rPr>
              <w:t>，因落实政府采购政策进行价格调整的，以调整后的价格计算评标基准价和投标报价得分。</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default" w:ascii="宋体" w:hAnsi="宋体" w:eastAsia="宋体" w:cs="黑体"/>
                <w:kern w:val="0"/>
                <w:lang w:val="en-US" w:eastAsia="zh-CN"/>
              </w:rPr>
            </w:pPr>
            <w:r>
              <w:rPr>
                <w:rFonts w:hint="eastAsia" w:ascii="宋体" w:hAnsi="宋体" w:eastAsia="宋体" w:cs="黑体"/>
                <w:kern w:val="0"/>
                <w:lang w:val="en-US" w:eastAsia="zh-CN"/>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1179" w:type="dxa"/>
            <w:vMerge w:val="restart"/>
            <w:tcBorders>
              <w:top w:val="single" w:color="auto" w:sz="4" w:space="0"/>
              <w:right w:val="single" w:color="auto" w:sz="4" w:space="0"/>
            </w:tcBorders>
            <w:noWrap/>
            <w:vAlign w:val="center"/>
          </w:tcPr>
          <w:p>
            <w:pPr>
              <w:widowControl w:val="0"/>
              <w:spacing w:line="300" w:lineRule="exact"/>
              <w:jc w:val="center"/>
              <w:rPr>
                <w:rFonts w:hint="default" w:ascii="仿宋" w:hAnsi="仿宋" w:eastAsia="仿宋" w:cs="仿宋"/>
                <w:spacing w:val="6"/>
                <w:sz w:val="28"/>
                <w:szCs w:val="28"/>
              </w:rPr>
            </w:pPr>
            <w:r>
              <w:rPr>
                <w:rFonts w:ascii="宋体" w:hAnsi="宋体" w:eastAsia="宋体" w:cs="黑体"/>
                <w:kern w:val="0"/>
              </w:rPr>
              <w:t>综合部分（</w:t>
            </w:r>
            <w:r>
              <w:rPr>
                <w:rFonts w:hint="eastAsia" w:ascii="宋体" w:hAnsi="宋体" w:eastAsia="宋体" w:cs="黑体"/>
                <w:kern w:val="0"/>
                <w:lang w:val="en-US" w:eastAsia="zh-CN"/>
              </w:rPr>
              <w:t>2</w:t>
            </w:r>
            <w:r>
              <w:rPr>
                <w:rFonts w:ascii="宋体" w:hAnsi="宋体" w:eastAsia="宋体" w:cs="黑体"/>
                <w:kern w:val="0"/>
                <w:lang w:val="en-US" w:eastAsia="zh-CN"/>
              </w:rPr>
              <w:t>0</w:t>
            </w:r>
            <w:r>
              <w:rPr>
                <w:rFonts w:ascii="宋体" w:hAnsi="宋体" w:eastAsia="宋体" w:cs="黑体"/>
                <w:kern w:val="0"/>
              </w:rPr>
              <w:t>分）</w:t>
            </w: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eastAsia="zh-CN"/>
              </w:rPr>
            </w:pPr>
            <w:r>
              <w:rPr>
                <w:rFonts w:ascii="宋体" w:hAnsi="宋体" w:eastAsia="宋体" w:cs="黑体"/>
                <w:kern w:val="0"/>
              </w:rPr>
              <w:t>管理体系认证</w:t>
            </w:r>
          </w:p>
        </w:tc>
        <w:tc>
          <w:tcPr>
            <w:tcW w:w="6569" w:type="dxa"/>
            <w:tcBorders>
              <w:top w:val="single" w:color="auto" w:sz="4" w:space="0"/>
              <w:left w:val="single" w:color="auto" w:sz="4" w:space="0"/>
              <w:bottom w:val="single" w:color="auto" w:sz="4" w:space="0"/>
              <w:right w:val="single" w:color="auto" w:sz="4" w:space="0"/>
            </w:tcBorders>
            <w:noWrap/>
            <w:vAlign w:val="top"/>
          </w:tcPr>
          <w:p>
            <w:pPr>
              <w:spacing w:line="320" w:lineRule="exact"/>
              <w:jc w:val="left"/>
              <w:rPr>
                <w:rFonts w:hint="default" w:ascii="宋体" w:hAnsi="宋体" w:eastAsia="宋体" w:cs="黑体"/>
                <w:kern w:val="0"/>
              </w:rPr>
            </w:pPr>
            <w:r>
              <w:rPr>
                <w:rFonts w:ascii="宋体" w:hAnsi="宋体" w:eastAsia="宋体" w:cs="黑体"/>
                <w:kern w:val="0"/>
              </w:rPr>
              <w:t>投标人具有环境管理体系认证证书、职业健康安全管理体系认证证书、质量管理体系证书、信息安全管理体系认证证书、信息技术服务管理体系认证证书，每提供1份得</w:t>
            </w:r>
            <w:r>
              <w:rPr>
                <w:rFonts w:ascii="宋体" w:hAnsi="宋体" w:eastAsia="宋体" w:cs="黑体"/>
                <w:kern w:val="0"/>
                <w:lang w:val="en-US" w:eastAsia="zh-CN"/>
              </w:rPr>
              <w:t>1</w:t>
            </w:r>
            <w:r>
              <w:rPr>
                <w:rFonts w:ascii="宋体" w:hAnsi="宋体" w:eastAsia="宋体" w:cs="黑体"/>
                <w:kern w:val="0"/>
              </w:rPr>
              <w:t>分</w:t>
            </w:r>
            <w:r>
              <w:rPr>
                <w:rFonts w:ascii="宋体" w:hAnsi="宋体" w:eastAsia="宋体" w:cs="黑体"/>
                <w:kern w:val="0"/>
                <w:lang w:eastAsia="zh-CN"/>
              </w:rPr>
              <w:t>，</w:t>
            </w:r>
            <w:r>
              <w:rPr>
                <w:rFonts w:ascii="宋体" w:hAnsi="宋体" w:eastAsia="宋体" w:cs="黑体"/>
                <w:kern w:val="0"/>
              </w:rPr>
              <w:t>最高得5分。（投标文件附与原件一致的扫描件并加盖</w:t>
            </w:r>
            <w:r>
              <w:rPr>
                <w:rFonts w:ascii="宋体" w:hAnsi="宋体" w:eastAsia="宋体" w:cs="黑体"/>
                <w:kern w:val="0"/>
                <w:lang w:val="en-US" w:eastAsia="zh-CN"/>
              </w:rPr>
              <w:t>投标人单位</w:t>
            </w:r>
            <w:r>
              <w:rPr>
                <w:rFonts w:ascii="宋体" w:hAnsi="宋体" w:eastAsia="宋体" w:cs="黑体"/>
                <w:kern w:val="0"/>
              </w:rPr>
              <w:t>公章）</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default" w:ascii="宋体" w:hAnsi="宋体" w:eastAsia="宋体" w:cs="黑体"/>
                <w:kern w:val="0"/>
                <w:lang w:val="en-US" w:eastAsia="zh-CN"/>
              </w:rPr>
            </w:pPr>
            <w:r>
              <w:rPr>
                <w:rFonts w:ascii="宋体" w:hAnsi="宋体" w:eastAsia="宋体" w:cs="黑体"/>
                <w:kern w:val="0"/>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93" w:hRule="atLeast"/>
          <w:jc w:val="center"/>
        </w:trPr>
        <w:tc>
          <w:tcPr>
            <w:tcW w:w="1179" w:type="dxa"/>
            <w:vMerge w:val="continue"/>
            <w:tcBorders>
              <w:right w:val="single" w:color="auto" w:sz="4" w:space="0"/>
            </w:tcBorders>
            <w:noWrap/>
            <w:vAlign w:val="center"/>
          </w:tcPr>
          <w:p>
            <w:pPr>
              <w:widowControl w:val="0"/>
              <w:spacing w:line="300" w:lineRule="exact"/>
              <w:jc w:val="center"/>
              <w:rPr>
                <w:rFonts w:hint="default" w:ascii="宋体" w:hAnsi="宋体" w:eastAsia="宋体" w:cs="黑体"/>
                <w:kern w:val="0"/>
              </w:rPr>
            </w:pP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eastAsia="zh-CN"/>
              </w:rPr>
            </w:pPr>
            <w:r>
              <w:rPr>
                <w:rFonts w:ascii="宋体" w:hAnsi="宋体" w:eastAsia="宋体" w:cs="黑体"/>
                <w:kern w:val="0"/>
              </w:rPr>
              <w:t>自主知识产权</w:t>
            </w:r>
          </w:p>
        </w:tc>
        <w:tc>
          <w:tcPr>
            <w:tcW w:w="6569" w:type="dxa"/>
            <w:tcBorders>
              <w:top w:val="single" w:color="auto" w:sz="4" w:space="0"/>
              <w:left w:val="single" w:color="auto" w:sz="4" w:space="0"/>
              <w:bottom w:val="single" w:color="auto" w:sz="4" w:space="0"/>
              <w:right w:val="single" w:color="auto" w:sz="4" w:space="0"/>
            </w:tcBorders>
            <w:noWrap/>
            <w:vAlign w:val="top"/>
          </w:tcPr>
          <w:p>
            <w:pPr>
              <w:spacing w:line="320" w:lineRule="exact"/>
              <w:jc w:val="left"/>
              <w:rPr>
                <w:rFonts w:hint="default" w:ascii="宋体" w:hAnsi="宋体" w:eastAsia="宋体" w:cs="黑体"/>
                <w:kern w:val="0"/>
                <w:highlight w:val="none"/>
              </w:rPr>
            </w:pPr>
            <w:r>
              <w:rPr>
                <w:rFonts w:ascii="宋体" w:hAnsi="宋体" w:eastAsia="宋体" w:cs="黑体"/>
                <w:color w:val="auto"/>
                <w:kern w:val="0"/>
                <w:lang w:eastAsia="zh-CN"/>
              </w:rPr>
              <w:t>提供</w:t>
            </w:r>
            <w:r>
              <w:rPr>
                <w:rFonts w:ascii="宋体" w:hAnsi="宋体" w:eastAsia="宋体" w:cs="黑体"/>
                <w:color w:val="auto"/>
                <w:kern w:val="0"/>
              </w:rPr>
              <w:t>所投产品制造商</w:t>
            </w:r>
            <w:r>
              <w:rPr>
                <w:rFonts w:ascii="宋体" w:hAnsi="宋体" w:eastAsia="宋体" w:cs="黑体"/>
                <w:color w:val="auto"/>
                <w:kern w:val="0"/>
                <w:lang w:eastAsia="zh-CN"/>
              </w:rPr>
              <w:t>的</w:t>
            </w:r>
            <w:r>
              <w:rPr>
                <w:rFonts w:ascii="宋体" w:hAnsi="宋体" w:eastAsia="宋体" w:cs="黑体"/>
                <w:kern w:val="0"/>
              </w:rPr>
              <w:t>软件著作权</w:t>
            </w:r>
            <w:r>
              <w:rPr>
                <w:rFonts w:ascii="宋体" w:hAnsi="宋体" w:eastAsia="宋体" w:cs="黑体"/>
                <w:kern w:val="0"/>
                <w:lang w:eastAsia="zh-CN"/>
              </w:rPr>
              <w:t>证书</w:t>
            </w:r>
            <w:r>
              <w:rPr>
                <w:rFonts w:ascii="宋体" w:hAnsi="宋体" w:eastAsia="宋体" w:cs="黑体"/>
                <w:kern w:val="0"/>
              </w:rPr>
              <w:t>：</w:t>
            </w:r>
            <w:r>
              <w:rPr>
                <w:rFonts w:ascii="宋体" w:hAnsi="宋体" w:eastAsia="宋体" w:cs="黑体"/>
                <w:kern w:val="0"/>
                <w:u w:val="single"/>
              </w:rPr>
              <w:t>医院信息</w:t>
            </w:r>
            <w:r>
              <w:rPr>
                <w:rFonts w:ascii="宋体" w:hAnsi="宋体" w:eastAsia="宋体" w:cs="黑体"/>
                <w:kern w:val="0"/>
              </w:rPr>
              <w:t>系统、</w:t>
            </w:r>
            <w:r>
              <w:rPr>
                <w:rFonts w:ascii="宋体" w:hAnsi="宋体" w:eastAsia="宋体" w:cs="黑体"/>
                <w:kern w:val="0"/>
                <w:u w:val="single"/>
              </w:rPr>
              <w:t>结构化病历</w:t>
            </w:r>
            <w:r>
              <w:rPr>
                <w:rFonts w:ascii="宋体" w:hAnsi="宋体" w:eastAsia="宋体" w:cs="黑体"/>
                <w:kern w:val="0"/>
              </w:rPr>
              <w:t>系统、</w:t>
            </w:r>
            <w:r>
              <w:rPr>
                <w:rFonts w:ascii="宋体" w:hAnsi="宋体" w:eastAsia="宋体" w:cs="黑体"/>
                <w:kern w:val="0"/>
                <w:u w:val="single"/>
              </w:rPr>
              <w:t>康复管理</w:t>
            </w:r>
            <w:r>
              <w:rPr>
                <w:rFonts w:ascii="宋体" w:hAnsi="宋体" w:eastAsia="宋体" w:cs="黑体"/>
                <w:kern w:val="0"/>
              </w:rPr>
              <w:t>信息系统、</w:t>
            </w:r>
            <w:r>
              <w:rPr>
                <w:rFonts w:ascii="宋体" w:hAnsi="宋体" w:eastAsia="宋体" w:cs="黑体"/>
                <w:kern w:val="0"/>
                <w:u w:val="single"/>
              </w:rPr>
              <w:t>医院等级评审</w:t>
            </w:r>
            <w:r>
              <w:rPr>
                <w:rFonts w:ascii="宋体" w:hAnsi="宋体" w:eastAsia="宋体" w:cs="黑体"/>
                <w:kern w:val="0"/>
              </w:rPr>
              <w:t>管理系统、临床</w:t>
            </w:r>
            <w:r>
              <w:rPr>
                <w:rFonts w:ascii="宋体" w:hAnsi="宋体" w:eastAsia="宋体" w:cs="黑体"/>
                <w:kern w:val="0"/>
                <w:u w:val="single"/>
              </w:rPr>
              <w:t>危急值</w:t>
            </w:r>
            <w:r>
              <w:rPr>
                <w:rFonts w:ascii="宋体" w:hAnsi="宋体" w:eastAsia="宋体" w:cs="黑体"/>
                <w:kern w:val="0"/>
              </w:rPr>
              <w:t>管理系统、</w:t>
            </w:r>
            <w:r>
              <w:rPr>
                <w:rFonts w:ascii="宋体" w:hAnsi="宋体" w:eastAsia="宋体" w:cs="黑体"/>
                <w:kern w:val="0"/>
                <w:u w:val="single"/>
              </w:rPr>
              <w:t>单病种</w:t>
            </w:r>
            <w:r>
              <w:rPr>
                <w:rFonts w:ascii="宋体" w:hAnsi="宋体" w:eastAsia="宋体" w:cs="黑体"/>
                <w:kern w:val="0"/>
              </w:rPr>
              <w:t>系统、</w:t>
            </w:r>
            <w:r>
              <w:rPr>
                <w:rFonts w:ascii="宋体" w:hAnsi="宋体" w:eastAsia="宋体" w:cs="黑体"/>
                <w:kern w:val="0"/>
                <w:u w:val="single"/>
              </w:rPr>
              <w:t>不良事件</w:t>
            </w:r>
            <w:r>
              <w:rPr>
                <w:rFonts w:ascii="宋体" w:hAnsi="宋体" w:eastAsia="宋体" w:cs="黑体"/>
                <w:kern w:val="0"/>
              </w:rPr>
              <w:t>系统、</w:t>
            </w:r>
            <w:r>
              <w:rPr>
                <w:rFonts w:ascii="宋体" w:hAnsi="宋体" w:eastAsia="宋体" w:cs="黑体"/>
                <w:kern w:val="0"/>
                <w:u w:val="single"/>
              </w:rPr>
              <w:t>临床决策支持</w:t>
            </w:r>
            <w:r>
              <w:rPr>
                <w:rFonts w:ascii="宋体" w:hAnsi="宋体" w:eastAsia="宋体" w:cs="黑体"/>
                <w:kern w:val="0"/>
              </w:rPr>
              <w:t>系统、</w:t>
            </w:r>
            <w:r>
              <w:rPr>
                <w:rFonts w:ascii="宋体" w:hAnsi="宋体" w:eastAsia="宋体" w:cs="黑体"/>
                <w:kern w:val="0"/>
                <w:u w:val="single"/>
              </w:rPr>
              <w:t>DIP</w:t>
            </w:r>
            <w:r>
              <w:rPr>
                <w:rFonts w:ascii="宋体" w:hAnsi="宋体" w:eastAsia="宋体" w:cs="黑体"/>
                <w:kern w:val="0"/>
              </w:rPr>
              <w:t>系统、</w:t>
            </w:r>
            <w:r>
              <w:rPr>
                <w:rFonts w:ascii="宋体" w:hAnsi="宋体" w:eastAsia="宋体" w:cs="黑体"/>
                <w:kern w:val="0"/>
                <w:u w:val="single"/>
              </w:rPr>
              <w:t>麻醉管理</w:t>
            </w:r>
            <w:r>
              <w:rPr>
                <w:rFonts w:ascii="宋体" w:hAnsi="宋体" w:eastAsia="宋体" w:cs="黑体"/>
                <w:kern w:val="0"/>
              </w:rPr>
              <w:t>系统。（划横线的为关键词，没有包括关键词的视为无效证书) ，每提供1份得0.5分</w:t>
            </w:r>
            <w:r>
              <w:rPr>
                <w:rFonts w:ascii="宋体" w:hAnsi="宋体" w:eastAsia="宋体" w:cs="黑体"/>
                <w:kern w:val="0"/>
                <w:lang w:eastAsia="zh-CN"/>
              </w:rPr>
              <w:t>，</w:t>
            </w:r>
            <w:r>
              <w:rPr>
                <w:rFonts w:ascii="宋体" w:hAnsi="宋体" w:eastAsia="宋体" w:cs="黑体"/>
                <w:kern w:val="0"/>
              </w:rPr>
              <w:t>最高得5分。（投标文件附与原件一致的扫描件并加盖具有软件著作权单位公章）</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default" w:ascii="宋体" w:hAnsi="宋体" w:eastAsia="宋体" w:cs="黑体"/>
                <w:kern w:val="0"/>
                <w:lang w:val="en-US" w:eastAsia="zh-CN"/>
              </w:rPr>
            </w:pPr>
            <w:r>
              <w:rPr>
                <w:rFonts w:ascii="宋体" w:hAnsi="宋体" w:eastAsia="宋体" w:cs="黑体"/>
                <w:kern w:val="0"/>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03" w:hRule="atLeast"/>
          <w:jc w:val="center"/>
        </w:trPr>
        <w:tc>
          <w:tcPr>
            <w:tcW w:w="1179" w:type="dxa"/>
            <w:vMerge w:val="continue"/>
            <w:tcBorders>
              <w:right w:val="single" w:color="auto" w:sz="4" w:space="0"/>
            </w:tcBorders>
            <w:noWrap/>
            <w:vAlign w:val="center"/>
          </w:tcPr>
          <w:p>
            <w:pPr>
              <w:widowControl w:val="0"/>
              <w:spacing w:line="300" w:lineRule="exact"/>
              <w:jc w:val="center"/>
              <w:rPr>
                <w:rFonts w:hint="default" w:ascii="仿宋" w:hAnsi="仿宋" w:eastAsia="仿宋" w:cs="仿宋"/>
                <w:spacing w:val="6"/>
                <w:sz w:val="28"/>
                <w:szCs w:val="28"/>
              </w:rPr>
            </w:pP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ind w:firstLine="210" w:firstLineChars="100"/>
              <w:jc w:val="left"/>
              <w:rPr>
                <w:rFonts w:hint="default" w:ascii="宋体" w:hAnsi="宋体" w:eastAsia="宋体" w:cs="黑体"/>
                <w:kern w:val="0"/>
                <w:lang w:eastAsia="zh-CN"/>
              </w:rPr>
            </w:pPr>
            <w:r>
              <w:rPr>
                <w:rFonts w:ascii="宋体" w:hAnsi="宋体" w:eastAsia="宋体" w:cs="黑体"/>
                <w:kern w:val="0"/>
                <w:lang w:eastAsia="zh-CN"/>
              </w:rPr>
              <w:t>业绩</w:t>
            </w:r>
          </w:p>
        </w:tc>
        <w:tc>
          <w:tcPr>
            <w:tcW w:w="6569" w:type="dxa"/>
            <w:tcBorders>
              <w:top w:val="single" w:color="auto" w:sz="4" w:space="0"/>
              <w:left w:val="single" w:color="auto" w:sz="4" w:space="0"/>
              <w:bottom w:val="single" w:color="auto" w:sz="4" w:space="0"/>
              <w:right w:val="single" w:color="auto" w:sz="4" w:space="0"/>
            </w:tcBorders>
            <w:noWrap/>
            <w:vAlign w:val="top"/>
          </w:tcPr>
          <w:p>
            <w:pPr>
              <w:spacing w:line="320" w:lineRule="exact"/>
              <w:jc w:val="left"/>
              <w:rPr>
                <w:rFonts w:hint="eastAsia" w:ascii="宋体" w:hAnsi="宋体" w:eastAsia="宋体" w:cs="黑体"/>
                <w:kern w:val="0"/>
                <w:highlight w:val="none"/>
                <w:lang w:val="en-US" w:eastAsia="zh-CN"/>
              </w:rPr>
            </w:pPr>
            <w:r>
              <w:rPr>
                <w:rFonts w:hint="default" w:ascii="宋体" w:hAnsi="宋体" w:eastAsia="宋体" w:cs="黑体"/>
                <w:kern w:val="0"/>
                <w:highlight w:val="none"/>
                <w:lang w:eastAsia="zh-CN"/>
              </w:rPr>
              <w:t>提供</w:t>
            </w:r>
            <w:r>
              <w:rPr>
                <w:rFonts w:ascii="宋体" w:hAnsi="宋体" w:eastAsia="宋体" w:cs="黑体"/>
                <w:kern w:val="0"/>
                <w:highlight w:val="none"/>
              </w:rPr>
              <w:t>投标人或</w:t>
            </w:r>
            <w:r>
              <w:rPr>
                <w:rFonts w:ascii="宋体" w:hAnsi="宋体" w:eastAsia="宋体" w:cs="黑体"/>
                <w:color w:val="auto"/>
                <w:kern w:val="0"/>
                <w:highlight w:val="none"/>
              </w:rPr>
              <w:t>所投产品制造商自</w:t>
            </w:r>
            <w:r>
              <w:rPr>
                <w:rFonts w:hint="default" w:ascii="宋体" w:hAnsi="宋体" w:eastAsia="宋体" w:cs="黑体"/>
                <w:color w:val="auto"/>
                <w:kern w:val="0"/>
                <w:highlight w:val="none"/>
              </w:rPr>
              <w:t>20</w:t>
            </w:r>
            <w:r>
              <w:rPr>
                <w:rFonts w:hint="default" w:ascii="宋体" w:hAnsi="宋体" w:eastAsia="宋体" w:cs="黑体"/>
                <w:color w:val="auto"/>
                <w:kern w:val="0"/>
                <w:highlight w:val="none"/>
                <w:lang w:val="en-US" w:eastAsia="zh-CN"/>
              </w:rPr>
              <w:t>20</w:t>
            </w:r>
            <w:r>
              <w:rPr>
                <w:rFonts w:hint="default" w:ascii="宋体" w:hAnsi="宋体" w:eastAsia="宋体" w:cs="黑体"/>
                <w:color w:val="auto"/>
                <w:kern w:val="0"/>
                <w:highlight w:val="none"/>
              </w:rPr>
              <w:t>年1月1日以来（以合同签订时间为准）的类似项目业绩，每有1份</w:t>
            </w:r>
            <w:r>
              <w:rPr>
                <w:rFonts w:hint="default" w:ascii="宋体" w:hAnsi="宋体" w:eastAsia="宋体" w:cs="黑体"/>
                <w:kern w:val="0"/>
                <w:highlight w:val="none"/>
              </w:rPr>
              <w:t>得</w:t>
            </w:r>
            <w:r>
              <w:rPr>
                <w:rFonts w:ascii="宋体" w:hAnsi="宋体" w:eastAsia="宋体" w:cs="黑体"/>
                <w:kern w:val="0"/>
                <w:highlight w:val="none"/>
                <w:lang w:val="en-US" w:eastAsia="zh-CN"/>
              </w:rPr>
              <w:t>0.5</w:t>
            </w:r>
            <w:r>
              <w:rPr>
                <w:rFonts w:hint="default" w:ascii="宋体" w:hAnsi="宋体" w:eastAsia="宋体" w:cs="黑体"/>
                <w:kern w:val="0"/>
                <w:highlight w:val="none"/>
              </w:rPr>
              <w:t>分，最高得</w:t>
            </w:r>
            <w:r>
              <w:rPr>
                <w:rFonts w:ascii="宋体" w:hAnsi="宋体" w:eastAsia="宋体" w:cs="黑体"/>
                <w:kern w:val="0"/>
                <w:highlight w:val="none"/>
                <w:lang w:val="en-US" w:eastAsia="zh-CN"/>
              </w:rPr>
              <w:t>5</w:t>
            </w:r>
            <w:r>
              <w:rPr>
                <w:rFonts w:hint="default" w:ascii="宋体" w:hAnsi="宋体" w:eastAsia="宋体" w:cs="黑体"/>
                <w:kern w:val="0"/>
                <w:highlight w:val="none"/>
              </w:rPr>
              <w:t>分</w:t>
            </w:r>
            <w:r>
              <w:rPr>
                <w:rFonts w:hint="eastAsia" w:ascii="宋体" w:hAnsi="宋体" w:eastAsia="宋体" w:cs="黑体"/>
                <w:kern w:val="0"/>
                <w:highlight w:val="none"/>
                <w:lang w:eastAsia="zh-CN"/>
              </w:rPr>
              <w:t>。</w:t>
            </w:r>
          </w:p>
          <w:p>
            <w:pPr>
              <w:spacing w:line="320" w:lineRule="exact"/>
              <w:jc w:val="left"/>
              <w:rPr>
                <w:rFonts w:hint="eastAsia" w:ascii="宋体" w:hAnsi="宋体" w:eastAsia="宋体" w:cs="黑体"/>
                <w:kern w:val="0"/>
                <w:highlight w:val="none"/>
                <w:lang w:eastAsia="zh-CN"/>
              </w:rPr>
            </w:pPr>
            <w:r>
              <w:rPr>
                <w:rFonts w:hint="default" w:ascii="宋体" w:hAnsi="宋体" w:eastAsia="宋体" w:cs="黑体"/>
                <w:kern w:val="0"/>
                <w:highlight w:val="none"/>
              </w:rPr>
              <w:t>（同一家</w:t>
            </w:r>
            <w:r>
              <w:rPr>
                <w:rFonts w:hint="eastAsia" w:ascii="宋体" w:hAnsi="宋体" w:eastAsia="宋体" w:cs="黑体"/>
                <w:kern w:val="0"/>
                <w:highlight w:val="none"/>
                <w:lang w:eastAsia="zh-CN"/>
              </w:rPr>
              <w:t>采购单位</w:t>
            </w:r>
            <w:r>
              <w:rPr>
                <w:rFonts w:hint="default" w:ascii="宋体" w:hAnsi="宋体" w:eastAsia="宋体" w:cs="黑体"/>
                <w:kern w:val="0"/>
                <w:highlight w:val="none"/>
              </w:rPr>
              <w:t>如有多份合同则按1份计算）</w:t>
            </w:r>
            <w:r>
              <w:rPr>
                <w:rFonts w:hint="eastAsia" w:ascii="宋体" w:hAnsi="宋体" w:eastAsia="宋体" w:cs="黑体"/>
                <w:kern w:val="0"/>
                <w:highlight w:val="none"/>
                <w:lang w:eastAsia="zh-CN"/>
              </w:rPr>
              <w:t>。</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1179" w:type="dxa"/>
            <w:vMerge w:val="continue"/>
            <w:tcBorders>
              <w:right w:val="single" w:color="auto" w:sz="4" w:space="0"/>
            </w:tcBorders>
            <w:noWrap/>
            <w:vAlign w:val="center"/>
          </w:tcPr>
          <w:p>
            <w:pPr>
              <w:widowControl w:val="0"/>
              <w:spacing w:line="300" w:lineRule="exact"/>
              <w:jc w:val="center"/>
              <w:rPr>
                <w:rFonts w:hint="default" w:ascii="仿宋" w:hAnsi="仿宋" w:eastAsia="仿宋" w:cs="仿宋"/>
                <w:spacing w:val="6"/>
                <w:sz w:val="28"/>
                <w:szCs w:val="28"/>
              </w:rPr>
            </w:pP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rPr>
            </w:pPr>
            <w:r>
              <w:rPr>
                <w:rFonts w:hint="default" w:ascii="宋体" w:hAnsi="宋体" w:eastAsia="宋体" w:cs="黑体"/>
                <w:kern w:val="0"/>
              </w:rPr>
              <w:t>节能或环境标志产品</w:t>
            </w:r>
          </w:p>
        </w:tc>
        <w:tc>
          <w:tcPr>
            <w:tcW w:w="6569" w:type="dxa"/>
            <w:tcBorders>
              <w:top w:val="single" w:color="auto" w:sz="4" w:space="0"/>
              <w:left w:val="single" w:color="auto" w:sz="4" w:space="0"/>
              <w:bottom w:val="single" w:color="auto" w:sz="4" w:space="0"/>
              <w:right w:val="single" w:color="auto" w:sz="4" w:space="0"/>
            </w:tcBorders>
            <w:noWrap/>
            <w:vAlign w:val="top"/>
          </w:tcPr>
          <w:p>
            <w:pPr>
              <w:spacing w:line="320" w:lineRule="exact"/>
              <w:jc w:val="left"/>
              <w:rPr>
                <w:rFonts w:hint="default" w:ascii="宋体" w:hAnsi="宋体" w:eastAsia="宋体" w:cs="黑体"/>
                <w:kern w:val="0"/>
              </w:rPr>
            </w:pPr>
            <w:r>
              <w:rPr>
                <w:rFonts w:ascii="宋体" w:hAnsi="宋体" w:eastAsia="宋体" w:cs="黑体"/>
                <w:kern w:val="0"/>
              </w:rPr>
              <w:t>本项目若含有节能产品、环境标志产品政府采购品目清单内政府优先采购产品，对选用国家公布的认证机构认证的处于有效期之内的政府优先采购节能产品（政府强制采购产品除外）、环境标志产品给予加分，每个证书</w:t>
            </w:r>
            <w:r>
              <w:rPr>
                <w:rFonts w:ascii="宋体" w:hAnsi="宋体" w:eastAsia="宋体" w:cs="黑体"/>
                <w:kern w:val="0"/>
                <w:lang w:val="en-US" w:eastAsia="zh-CN"/>
              </w:rPr>
              <w:t>1</w:t>
            </w:r>
            <w:r>
              <w:rPr>
                <w:rFonts w:ascii="宋体" w:hAnsi="宋体" w:eastAsia="宋体" w:cs="黑体"/>
                <w:kern w:val="0"/>
              </w:rPr>
              <w:t>分，最多得</w:t>
            </w:r>
            <w:r>
              <w:rPr>
                <w:rFonts w:ascii="宋体" w:hAnsi="宋体" w:eastAsia="宋体" w:cs="黑体"/>
                <w:kern w:val="0"/>
                <w:lang w:val="en-US" w:eastAsia="zh-CN"/>
              </w:rPr>
              <w:t>1</w:t>
            </w:r>
            <w:r>
              <w:rPr>
                <w:rFonts w:ascii="宋体" w:hAnsi="宋体" w:eastAsia="宋体" w:cs="黑体"/>
                <w:kern w:val="0"/>
              </w:rPr>
              <w:t>分。</w:t>
            </w:r>
            <w:r>
              <w:rPr>
                <w:rFonts w:hint="eastAsia" w:ascii="宋体" w:hAnsi="宋体" w:eastAsia="宋体" w:cs="黑体"/>
                <w:kern w:val="0"/>
                <w:lang w:eastAsia="zh-CN"/>
              </w:rPr>
              <w:t>投标人</w:t>
            </w:r>
            <w:r>
              <w:rPr>
                <w:rFonts w:ascii="宋体" w:hAnsi="宋体" w:eastAsia="宋体" w:cs="黑体"/>
                <w:kern w:val="0"/>
              </w:rPr>
              <w:t>应提供国家确定的认证机构出具的处于有效期之内的节能产品、环境标志产品认证证书。</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179" w:type="dxa"/>
            <w:vMerge w:val="continue"/>
            <w:tcBorders>
              <w:right w:val="single" w:color="auto" w:sz="4" w:space="0"/>
            </w:tcBorders>
            <w:noWrap/>
            <w:vAlign w:val="center"/>
          </w:tcPr>
          <w:p>
            <w:pPr>
              <w:widowControl w:val="0"/>
              <w:spacing w:line="300" w:lineRule="exact"/>
              <w:jc w:val="center"/>
              <w:rPr>
                <w:rFonts w:hint="default" w:ascii="仿宋" w:hAnsi="仿宋" w:eastAsia="仿宋" w:cs="仿宋"/>
                <w:spacing w:val="6"/>
                <w:sz w:val="28"/>
                <w:szCs w:val="28"/>
              </w:rPr>
            </w:pP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rPr>
            </w:pPr>
            <w:r>
              <w:rPr>
                <w:rFonts w:ascii="宋体" w:hAnsi="宋体" w:eastAsia="宋体" w:cs="黑体"/>
                <w:kern w:val="0"/>
              </w:rPr>
              <w:t>快递包装</w:t>
            </w:r>
          </w:p>
        </w:tc>
        <w:tc>
          <w:tcPr>
            <w:tcW w:w="6569"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rPr>
            </w:pPr>
            <w:r>
              <w:rPr>
                <w:rFonts w:hint="eastAsia" w:ascii="宋体" w:hAnsi="宋体" w:eastAsia="宋体" w:cs="黑体"/>
                <w:kern w:val="0"/>
                <w:lang w:eastAsia="zh-CN"/>
              </w:rPr>
              <w:t>投标人</w:t>
            </w:r>
            <w:r>
              <w:rPr>
                <w:rFonts w:ascii="宋体" w:hAnsi="宋体" w:eastAsia="宋体" w:cs="黑体"/>
                <w:kern w:val="0"/>
              </w:rPr>
              <w:t>承诺商品包装符合《商品包装政府采购需求标准（试行）》</w:t>
            </w:r>
            <w:r>
              <w:rPr>
                <w:rFonts w:hint="eastAsia" w:ascii="宋体" w:hAnsi="宋体" w:eastAsia="宋体" w:cs="黑体"/>
                <w:kern w:val="0"/>
                <w:lang w:eastAsia="zh-CN"/>
              </w:rPr>
              <w:t>且</w:t>
            </w:r>
            <w:r>
              <w:rPr>
                <w:rFonts w:ascii="宋体" w:hAnsi="宋体" w:eastAsia="宋体" w:cs="黑体"/>
                <w:kern w:val="0"/>
              </w:rPr>
              <w:t>快递包装符合《快递包装政府采购需求标准（试行）》，得</w:t>
            </w:r>
            <w:r>
              <w:rPr>
                <w:rFonts w:ascii="宋体" w:hAnsi="宋体" w:eastAsia="宋体" w:cs="黑体"/>
                <w:kern w:val="0"/>
                <w:lang w:val="en-US" w:eastAsia="zh-CN"/>
              </w:rPr>
              <w:t>1</w:t>
            </w:r>
            <w:r>
              <w:rPr>
                <w:rFonts w:ascii="宋体" w:hAnsi="宋体" w:eastAsia="宋体" w:cs="黑体"/>
                <w:kern w:val="0"/>
              </w:rPr>
              <w:t>分。</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93" w:hRule="atLeast"/>
          <w:jc w:val="center"/>
        </w:trPr>
        <w:tc>
          <w:tcPr>
            <w:tcW w:w="1179" w:type="dxa"/>
            <w:vMerge w:val="continue"/>
            <w:tcBorders>
              <w:right w:val="single" w:color="auto" w:sz="4" w:space="0"/>
            </w:tcBorders>
            <w:noWrap/>
            <w:vAlign w:val="center"/>
          </w:tcPr>
          <w:p>
            <w:pPr>
              <w:widowControl w:val="0"/>
              <w:spacing w:line="300" w:lineRule="exact"/>
              <w:jc w:val="center"/>
              <w:rPr>
                <w:rFonts w:hint="default" w:ascii="宋体" w:hAnsi="宋体" w:eastAsia="宋体" w:cs="黑体"/>
                <w:kern w:val="0"/>
              </w:rPr>
            </w:pP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eastAsia" w:ascii="宋体" w:hAnsi="宋体" w:eastAsia="宋体" w:cs="黑体"/>
                <w:color w:val="auto"/>
                <w:kern w:val="0"/>
                <w:lang w:eastAsia="zh-CN"/>
              </w:rPr>
            </w:pPr>
            <w:r>
              <w:rPr>
                <w:rFonts w:hint="eastAsia" w:ascii="宋体" w:hAnsi="宋体" w:eastAsia="宋体" w:cs="黑体"/>
                <w:color w:val="auto"/>
                <w:kern w:val="0"/>
                <w:lang w:eastAsia="zh-CN"/>
              </w:rPr>
              <w:t>专业技术人员</w:t>
            </w:r>
          </w:p>
        </w:tc>
        <w:tc>
          <w:tcPr>
            <w:tcW w:w="6569" w:type="dxa"/>
            <w:tcBorders>
              <w:top w:val="single" w:color="auto" w:sz="4" w:space="0"/>
              <w:left w:val="single" w:color="auto" w:sz="4" w:space="0"/>
              <w:bottom w:val="single" w:color="auto" w:sz="4" w:space="0"/>
              <w:right w:val="single" w:color="auto" w:sz="4" w:space="0"/>
            </w:tcBorders>
            <w:noWrap/>
            <w:vAlign w:val="top"/>
          </w:tcPr>
          <w:p>
            <w:pPr>
              <w:spacing w:line="320" w:lineRule="exact"/>
              <w:jc w:val="left"/>
              <w:rPr>
                <w:rFonts w:ascii="宋体" w:hAnsi="宋体" w:eastAsia="宋体" w:cs="黑体"/>
                <w:color w:val="auto"/>
                <w:kern w:val="0"/>
              </w:rPr>
            </w:pPr>
            <w:r>
              <w:rPr>
                <w:rFonts w:hint="eastAsia" w:ascii="宋体" w:hAnsi="宋体" w:eastAsia="宋体" w:cs="黑体"/>
                <w:color w:val="auto"/>
                <w:kern w:val="0"/>
                <w:lang w:eastAsia="zh-CN"/>
              </w:rPr>
              <w:t>投标人针对本项目拟投入专业技术人员，</w:t>
            </w:r>
            <w:r>
              <w:rPr>
                <w:rFonts w:ascii="宋体" w:hAnsi="宋体" w:eastAsia="宋体" w:cs="黑体"/>
                <w:color w:val="auto"/>
                <w:kern w:val="0"/>
              </w:rPr>
              <w:t>项目负责人具有信息化类高级职称或信息系统项目管理师高级证书</w:t>
            </w:r>
            <w:r>
              <w:rPr>
                <w:rFonts w:hint="eastAsia" w:ascii="宋体" w:hAnsi="宋体" w:eastAsia="宋体" w:cs="黑体"/>
                <w:color w:val="auto"/>
                <w:kern w:val="0"/>
                <w:lang w:eastAsia="zh-CN"/>
              </w:rPr>
              <w:t>的</w:t>
            </w:r>
            <w:r>
              <w:rPr>
                <w:rFonts w:ascii="宋体" w:hAnsi="宋体" w:eastAsia="宋体" w:cs="黑体"/>
                <w:color w:val="auto"/>
                <w:kern w:val="0"/>
                <w:lang w:val="en-US" w:eastAsia="zh-CN"/>
              </w:rPr>
              <w:t>得</w:t>
            </w:r>
            <w:r>
              <w:rPr>
                <w:rFonts w:hint="default" w:ascii="宋体" w:hAnsi="宋体" w:eastAsia="宋体" w:cs="黑体"/>
                <w:color w:val="auto"/>
                <w:kern w:val="0"/>
                <w:lang w:val="en-US" w:eastAsia="zh-CN"/>
              </w:rPr>
              <w:t>1分</w:t>
            </w:r>
            <w:r>
              <w:rPr>
                <w:rFonts w:ascii="宋体" w:hAnsi="宋体" w:eastAsia="宋体" w:cs="黑体"/>
                <w:color w:val="auto"/>
                <w:kern w:val="0"/>
              </w:rPr>
              <w:t>；</w:t>
            </w:r>
          </w:p>
          <w:p>
            <w:pPr>
              <w:spacing w:line="320" w:lineRule="exact"/>
              <w:jc w:val="left"/>
              <w:rPr>
                <w:rFonts w:hint="default" w:ascii="宋体" w:hAnsi="宋体" w:eastAsia="宋体" w:cs="黑体"/>
                <w:color w:val="auto"/>
                <w:kern w:val="0"/>
                <w:lang w:eastAsia="zh-CN"/>
              </w:rPr>
            </w:pPr>
            <w:r>
              <w:rPr>
                <w:rFonts w:ascii="宋体" w:hAnsi="宋体" w:eastAsia="宋体" w:cs="黑体"/>
                <w:color w:val="auto"/>
                <w:kern w:val="0"/>
              </w:rPr>
              <w:t>其他项目成员中</w:t>
            </w:r>
            <w:r>
              <w:rPr>
                <w:rFonts w:hint="eastAsia" w:ascii="宋体" w:hAnsi="宋体" w:eastAsia="宋体" w:cs="黑体"/>
                <w:color w:val="auto"/>
                <w:kern w:val="0"/>
                <w:lang w:eastAsia="zh-CN"/>
              </w:rPr>
              <w:t>，</w:t>
            </w:r>
            <w:r>
              <w:rPr>
                <w:rFonts w:ascii="宋体" w:hAnsi="宋体" w:eastAsia="宋体" w:cs="黑体"/>
                <w:color w:val="auto"/>
                <w:kern w:val="0"/>
              </w:rPr>
              <w:t>具有信息系统项目管理师高级证书或系统集成项目管理工程师</w:t>
            </w:r>
            <w:r>
              <w:rPr>
                <w:rFonts w:ascii="宋体" w:hAnsi="宋体" w:eastAsia="宋体" w:cs="黑体"/>
                <w:color w:val="auto"/>
                <w:kern w:val="0"/>
                <w:lang w:eastAsia="zh-CN"/>
              </w:rPr>
              <w:t>，</w:t>
            </w:r>
            <w:r>
              <w:rPr>
                <w:rFonts w:hint="eastAsia" w:ascii="宋体" w:hAnsi="宋体" w:eastAsia="宋体" w:cs="黑体"/>
                <w:color w:val="auto"/>
                <w:kern w:val="0"/>
                <w:lang w:eastAsia="zh-CN"/>
              </w:rPr>
              <w:t>每提供1人相关证书得0.5分，人员不得重复任职，同一人多份证书只计1次分，</w:t>
            </w:r>
            <w:r>
              <w:rPr>
                <w:rFonts w:ascii="宋体" w:hAnsi="宋体" w:eastAsia="宋体" w:cs="黑体"/>
                <w:color w:val="auto"/>
                <w:kern w:val="0"/>
              </w:rPr>
              <w:t>最多得</w:t>
            </w:r>
            <w:r>
              <w:rPr>
                <w:rFonts w:hint="default" w:ascii="宋体" w:hAnsi="宋体" w:eastAsia="宋体" w:cs="黑体"/>
                <w:color w:val="auto"/>
                <w:kern w:val="0"/>
                <w:lang w:val="en-US" w:eastAsia="zh-CN"/>
              </w:rPr>
              <w:t>2</w:t>
            </w:r>
            <w:r>
              <w:rPr>
                <w:rFonts w:ascii="宋体" w:hAnsi="宋体" w:eastAsia="宋体" w:cs="黑体"/>
                <w:color w:val="auto"/>
                <w:kern w:val="0"/>
              </w:rPr>
              <w:t>分。（投标文件附人员证书扫描件及人员与投标人的劳务合同扫描件并加盖</w:t>
            </w:r>
            <w:r>
              <w:rPr>
                <w:rFonts w:ascii="宋体" w:hAnsi="宋体" w:eastAsia="宋体" w:cs="黑体"/>
                <w:color w:val="auto"/>
                <w:kern w:val="0"/>
                <w:lang w:val="en-US" w:eastAsia="zh-CN"/>
              </w:rPr>
              <w:t>投标人单位</w:t>
            </w:r>
            <w:r>
              <w:rPr>
                <w:rFonts w:ascii="宋体" w:hAnsi="宋体" w:eastAsia="宋体" w:cs="黑体"/>
                <w:color w:val="auto"/>
                <w:kern w:val="0"/>
              </w:rPr>
              <w:t>公章）。</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color w:val="auto"/>
                <w:kern w:val="0"/>
                <w:lang w:val="en-US" w:eastAsia="zh-CN"/>
              </w:rPr>
            </w:pPr>
            <w:r>
              <w:rPr>
                <w:rFonts w:hint="default" w:ascii="宋体" w:hAnsi="宋体" w:eastAsia="宋体" w:cs="黑体"/>
                <w:color w:val="auto"/>
                <w:kern w:val="0"/>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2" w:hRule="atLeast"/>
          <w:jc w:val="center"/>
        </w:trPr>
        <w:tc>
          <w:tcPr>
            <w:tcW w:w="1179" w:type="dxa"/>
            <w:vMerge w:val="restart"/>
            <w:tcBorders>
              <w:top w:val="single" w:color="auto" w:sz="4" w:space="0"/>
              <w:left w:val="single" w:color="auto" w:sz="4" w:space="0"/>
              <w:right w:val="single" w:color="auto" w:sz="4" w:space="0"/>
            </w:tcBorders>
            <w:noWrap/>
            <w:vAlign w:val="center"/>
          </w:tcPr>
          <w:p>
            <w:pPr>
              <w:widowControl w:val="0"/>
              <w:spacing w:line="300" w:lineRule="exact"/>
              <w:jc w:val="center"/>
              <w:rPr>
                <w:rFonts w:hint="default" w:ascii="仿宋" w:hAnsi="仿宋" w:eastAsia="仿宋" w:cs="仿宋"/>
                <w:spacing w:val="6"/>
                <w:sz w:val="28"/>
                <w:szCs w:val="28"/>
              </w:rPr>
            </w:pPr>
            <w:r>
              <w:rPr>
                <w:rFonts w:ascii="宋体" w:hAnsi="宋体" w:eastAsia="宋体" w:cs="黑体"/>
                <w:kern w:val="0"/>
              </w:rPr>
              <w:t>技术部分（</w:t>
            </w:r>
            <w:r>
              <w:rPr>
                <w:rFonts w:hint="eastAsia" w:ascii="宋体" w:hAnsi="宋体" w:eastAsia="宋体" w:cs="黑体"/>
                <w:kern w:val="0"/>
                <w:lang w:val="en-US" w:eastAsia="zh-CN"/>
              </w:rPr>
              <w:t>6</w:t>
            </w:r>
            <w:r>
              <w:rPr>
                <w:rFonts w:ascii="宋体" w:hAnsi="宋体" w:eastAsia="宋体" w:cs="黑体"/>
                <w:kern w:val="0"/>
                <w:lang w:val="en-US" w:eastAsia="zh-CN"/>
              </w:rPr>
              <w:t>0</w:t>
            </w:r>
            <w:r>
              <w:rPr>
                <w:rFonts w:ascii="宋体" w:hAnsi="宋体" w:eastAsia="宋体" w:cs="黑体"/>
                <w:kern w:val="0"/>
              </w:rPr>
              <w:t>分）</w:t>
            </w: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default" w:ascii="宋体" w:hAnsi="宋体" w:eastAsia="宋体" w:cs="黑体"/>
                <w:kern w:val="0"/>
              </w:rPr>
            </w:pPr>
            <w:r>
              <w:rPr>
                <w:rFonts w:ascii="宋体" w:hAnsi="宋体" w:eastAsia="宋体" w:cs="黑体"/>
                <w:kern w:val="0"/>
              </w:rPr>
              <w:t>技术参数</w:t>
            </w:r>
          </w:p>
        </w:tc>
        <w:tc>
          <w:tcPr>
            <w:tcW w:w="6569"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color w:val="auto"/>
                <w:kern w:val="0"/>
                <w:lang w:val="en-US" w:eastAsia="zh-CN"/>
              </w:rPr>
            </w:pPr>
            <w:r>
              <w:rPr>
                <w:rFonts w:ascii="宋体" w:hAnsi="宋体" w:eastAsia="宋体" w:cs="黑体"/>
                <w:kern w:val="0"/>
                <w:lang w:val="en-US" w:eastAsia="zh-CN"/>
              </w:rPr>
              <w:t>评标委员会根据投标文件和相关证明材料对招标文件的响应情况，对照判断所投设备是否满足招标文件的要求，投标人可提供技术参数满足或优于招标文件要求的产品：</w:t>
            </w:r>
          </w:p>
          <w:p>
            <w:pPr>
              <w:spacing w:line="320" w:lineRule="exact"/>
              <w:jc w:val="left"/>
              <w:rPr>
                <w:rFonts w:hint="default" w:ascii="宋体" w:hAnsi="宋体" w:eastAsia="宋体" w:cs="黑体"/>
                <w:kern w:val="0"/>
              </w:rPr>
            </w:pPr>
            <w:r>
              <w:rPr>
                <w:rFonts w:hint="default" w:ascii="宋体" w:hAnsi="宋体" w:eastAsia="宋体" w:cs="黑体"/>
                <w:kern w:val="0"/>
              </w:rPr>
              <w:t>1.带★号的技术参数及功能要求为关键技术指标共</w:t>
            </w:r>
            <w:r>
              <w:rPr>
                <w:rFonts w:hint="eastAsia" w:ascii="宋体" w:hAnsi="宋体" w:eastAsia="宋体" w:cs="黑体"/>
                <w:kern w:val="0"/>
                <w:lang w:val="en-US" w:eastAsia="zh-CN"/>
              </w:rPr>
              <w:t>22.5</w:t>
            </w:r>
            <w:r>
              <w:rPr>
                <w:rFonts w:hint="default" w:ascii="宋体" w:hAnsi="宋体" w:eastAsia="宋体" w:cs="黑体"/>
                <w:kern w:val="0"/>
              </w:rPr>
              <w:t>分，每有一项不满足的扣1</w:t>
            </w:r>
            <w:r>
              <w:rPr>
                <w:rFonts w:hint="eastAsia" w:ascii="宋体" w:hAnsi="宋体" w:eastAsia="宋体" w:cs="黑体"/>
                <w:kern w:val="0"/>
                <w:lang w:val="en-US" w:eastAsia="zh-CN"/>
              </w:rPr>
              <w:t>.5</w:t>
            </w:r>
            <w:r>
              <w:rPr>
                <w:rFonts w:hint="default" w:ascii="宋体" w:hAnsi="宋体" w:eastAsia="宋体" w:cs="黑体"/>
                <w:kern w:val="0"/>
              </w:rPr>
              <w:t>分；（带★号的关键性参数需按照要求提供相关证明文件。）</w:t>
            </w:r>
          </w:p>
          <w:p>
            <w:pPr>
              <w:spacing w:line="320" w:lineRule="exact"/>
              <w:jc w:val="left"/>
              <w:rPr>
                <w:rFonts w:hint="default" w:ascii="宋体" w:hAnsi="宋体" w:eastAsia="宋体" w:cs="黑体"/>
                <w:kern w:val="0"/>
              </w:rPr>
            </w:pPr>
            <w:r>
              <w:rPr>
                <w:rFonts w:hint="default" w:ascii="宋体" w:hAnsi="宋体" w:eastAsia="宋体" w:cs="黑体"/>
                <w:kern w:val="0"/>
              </w:rPr>
              <w:t>2.非★号的技术参数及功能要求为一般技术参数，共</w:t>
            </w:r>
            <w:r>
              <w:rPr>
                <w:rFonts w:hint="eastAsia" w:ascii="宋体" w:hAnsi="宋体" w:eastAsia="宋体" w:cs="黑体"/>
                <w:kern w:val="0"/>
                <w:lang w:val="en-US" w:eastAsia="zh-CN"/>
              </w:rPr>
              <w:t>7.</w:t>
            </w:r>
            <w:r>
              <w:rPr>
                <w:rFonts w:hint="default" w:ascii="宋体" w:hAnsi="宋体" w:eastAsia="宋体" w:cs="黑体"/>
                <w:kern w:val="0"/>
              </w:rPr>
              <w:t>5分，每有1项不满足扣0.</w:t>
            </w:r>
            <w:r>
              <w:rPr>
                <w:rFonts w:hint="eastAsia" w:ascii="宋体" w:hAnsi="宋体" w:eastAsia="宋体" w:cs="黑体"/>
                <w:kern w:val="0"/>
                <w:lang w:val="en-US" w:eastAsia="zh-CN"/>
              </w:rPr>
              <w:t>15</w:t>
            </w:r>
            <w:r>
              <w:rPr>
                <w:rFonts w:hint="default" w:ascii="宋体" w:hAnsi="宋体" w:eastAsia="宋体" w:cs="黑体"/>
                <w:kern w:val="0"/>
              </w:rPr>
              <w:t>分，超过</w:t>
            </w:r>
            <w:r>
              <w:rPr>
                <w:rFonts w:hint="eastAsia" w:ascii="宋体" w:hAnsi="宋体" w:eastAsia="宋体" w:cs="黑体"/>
                <w:kern w:val="0"/>
                <w:lang w:val="en-US" w:eastAsia="zh-CN"/>
              </w:rPr>
              <w:t>50</w:t>
            </w:r>
            <w:r>
              <w:rPr>
                <w:rFonts w:hint="default" w:ascii="宋体" w:hAnsi="宋体" w:eastAsia="宋体" w:cs="黑体"/>
                <w:kern w:val="0"/>
              </w:rPr>
              <w:t>条不满足视为投标文件有重大或不可接受的偏差，投标文件无效。</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default" w:ascii="宋体" w:hAnsi="宋体" w:eastAsia="宋体" w:cs="黑体"/>
                <w:kern w:val="0"/>
                <w:lang w:val="en-US" w:eastAsia="zh-CN"/>
              </w:rPr>
            </w:pPr>
            <w:r>
              <w:rPr>
                <w:rFonts w:hint="eastAsia" w:ascii="宋体" w:hAnsi="宋体" w:eastAsia="宋体" w:cs="黑体"/>
                <w:kern w:val="0"/>
                <w:lang w:val="en-US" w:eastAsia="zh-CN"/>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7" w:hRule="atLeast"/>
          <w:jc w:val="center"/>
        </w:trPr>
        <w:tc>
          <w:tcPr>
            <w:tcW w:w="1179" w:type="dxa"/>
            <w:vMerge w:val="continue"/>
            <w:tcBorders>
              <w:left w:val="single" w:color="auto" w:sz="4" w:space="0"/>
              <w:right w:val="single" w:color="auto" w:sz="4" w:space="0"/>
            </w:tcBorders>
            <w:noWrap/>
            <w:vAlign w:val="center"/>
          </w:tcPr>
          <w:p>
            <w:pPr>
              <w:widowControl w:val="0"/>
              <w:spacing w:line="300" w:lineRule="exact"/>
              <w:jc w:val="center"/>
              <w:rPr>
                <w:rFonts w:hint="default" w:ascii="宋体" w:hAnsi="宋体" w:eastAsia="宋体" w:cs="黑体"/>
                <w:kern w:val="0"/>
              </w:rPr>
            </w:pP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default" w:ascii="宋体" w:hAnsi="宋体" w:eastAsia="宋体" w:cs="黑体"/>
                <w:kern w:val="0"/>
              </w:rPr>
            </w:pPr>
            <w:r>
              <w:rPr>
                <w:rFonts w:ascii="宋体" w:hAnsi="宋体" w:eastAsia="宋体" w:cs="黑体"/>
                <w:kern w:val="0"/>
              </w:rPr>
              <w:t>系统总体设计</w:t>
            </w:r>
          </w:p>
        </w:tc>
        <w:tc>
          <w:tcPr>
            <w:tcW w:w="6569"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根据投标人对项目背景现状、建设目标、技术要求的理解程度，以及系统总体设计、各系统之间的融合应用、与现有系统数据对接、数据质量与数据安全等方面的描述是否合理、完整，是否具备可行性和先进性，对系统总体设计进行评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A：针对性强、非常完善、完全合理、完全满足招标人需求为优，得5分；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B：针对性较强、比较完善、比较合理、基本满足招标人需求为良，得3分；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C：针对性一般、不够完善、不够合理、不能满足招标人需求为差，得1分；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D：不提供得0分</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default" w:ascii="宋体" w:hAnsi="宋体" w:eastAsia="宋体" w:cs="黑体"/>
                <w:kern w:val="0"/>
                <w:lang w:val="en-US" w:eastAsia="zh-CN"/>
              </w:rPr>
            </w:pPr>
            <w:r>
              <w:rPr>
                <w:rFonts w:ascii="宋体" w:hAnsi="宋体" w:eastAsia="宋体" w:cs="黑体"/>
                <w:kern w:val="0"/>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7" w:hRule="atLeast"/>
          <w:jc w:val="center"/>
        </w:trPr>
        <w:tc>
          <w:tcPr>
            <w:tcW w:w="1179" w:type="dxa"/>
            <w:vMerge w:val="continue"/>
            <w:tcBorders>
              <w:left w:val="single" w:color="auto" w:sz="4" w:space="0"/>
              <w:right w:val="single" w:color="auto" w:sz="4" w:space="0"/>
            </w:tcBorders>
            <w:noWrap/>
            <w:vAlign w:val="center"/>
          </w:tcPr>
          <w:p>
            <w:pPr>
              <w:widowControl w:val="0"/>
              <w:spacing w:line="300" w:lineRule="exact"/>
              <w:jc w:val="center"/>
              <w:rPr>
                <w:rFonts w:hint="default" w:ascii="宋体" w:hAnsi="宋体" w:eastAsia="宋体" w:cs="黑体"/>
                <w:kern w:val="0"/>
              </w:rPr>
            </w:pP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二次开发方案</w:t>
            </w:r>
          </w:p>
          <w:p>
            <w:pPr>
              <w:spacing w:line="320" w:lineRule="exact"/>
              <w:jc w:val="left"/>
              <w:rPr>
                <w:rFonts w:hint="default" w:ascii="宋体" w:hAnsi="宋体" w:eastAsia="宋体" w:cs="黑体"/>
                <w:kern w:val="0"/>
                <w:lang w:val="en-US" w:eastAsia="zh-CN"/>
              </w:rPr>
            </w:pPr>
          </w:p>
        </w:tc>
        <w:tc>
          <w:tcPr>
            <w:tcW w:w="6569" w:type="dxa"/>
            <w:tcBorders>
              <w:top w:val="single" w:color="auto" w:sz="4" w:space="0"/>
              <w:left w:val="single" w:color="auto" w:sz="4" w:space="0"/>
              <w:bottom w:val="single" w:color="auto" w:sz="4" w:space="0"/>
              <w:right w:val="single" w:color="auto" w:sz="4" w:space="0"/>
            </w:tcBorders>
            <w:noWrap/>
            <w:vAlign w:val="top"/>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投标人提供满足招标要求的二次开发方案，详细描述二次开发的技术策略、实现工具和方法。对各投标人二次开发方案真实性、可行性进行</w:t>
            </w:r>
            <w:r>
              <w:rPr>
                <w:rFonts w:hint="eastAsia" w:ascii="宋体" w:hAnsi="宋体" w:eastAsia="宋体" w:cs="黑体"/>
                <w:kern w:val="0"/>
                <w:lang w:val="en-US" w:eastAsia="zh-CN"/>
              </w:rPr>
              <w:t>评分</w:t>
            </w:r>
            <w:r>
              <w:rPr>
                <w:rFonts w:ascii="宋体" w:hAnsi="宋体" w:eastAsia="宋体" w:cs="黑体"/>
                <w:kern w:val="0"/>
                <w:lang w:val="en-US" w:eastAsia="zh-CN"/>
              </w:rPr>
              <w:t>。</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A：针对性强、非常完善、完全合理、完全满足招标人需求为优，得5分；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B：针对性较强、比较完善、比较合理、基本满足招标人需求为良，得3分；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C：针对性一般、不够完善、不够合理、不能满足招标人需求为差，得1分；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D：不提供得0分</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7" w:hRule="atLeast"/>
          <w:jc w:val="center"/>
        </w:trPr>
        <w:tc>
          <w:tcPr>
            <w:tcW w:w="1179" w:type="dxa"/>
            <w:vMerge w:val="continue"/>
            <w:tcBorders>
              <w:left w:val="single" w:color="auto" w:sz="4" w:space="0"/>
              <w:right w:val="single" w:color="auto" w:sz="4" w:space="0"/>
            </w:tcBorders>
            <w:noWrap/>
            <w:vAlign w:val="center"/>
          </w:tcPr>
          <w:p>
            <w:pPr>
              <w:widowControl w:val="0"/>
              <w:spacing w:line="300" w:lineRule="exact"/>
              <w:jc w:val="center"/>
              <w:rPr>
                <w:rFonts w:hint="default" w:ascii="宋体" w:hAnsi="宋体" w:eastAsia="宋体" w:cs="黑体"/>
                <w:kern w:val="0"/>
              </w:rPr>
            </w:pP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实施方案</w:t>
            </w:r>
          </w:p>
        </w:tc>
        <w:tc>
          <w:tcPr>
            <w:tcW w:w="6569" w:type="dxa"/>
            <w:tcBorders>
              <w:top w:val="single" w:color="auto" w:sz="4" w:space="0"/>
              <w:left w:val="single" w:color="auto" w:sz="4" w:space="0"/>
              <w:bottom w:val="single" w:color="auto" w:sz="4" w:space="0"/>
              <w:right w:val="single" w:color="auto" w:sz="4" w:space="0"/>
            </w:tcBorders>
            <w:noWrap/>
            <w:vAlign w:val="top"/>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投标人对需求理解透彻，实施方案合理的可行性，进度安排的合理性，项目</w:t>
            </w:r>
            <w:r>
              <w:rPr>
                <w:rFonts w:hint="eastAsia" w:ascii="宋体" w:hAnsi="宋体" w:eastAsia="宋体" w:cs="黑体"/>
                <w:kern w:val="0"/>
                <w:lang w:val="en-US" w:eastAsia="zh-CN"/>
              </w:rPr>
              <w:t>服务期</w:t>
            </w:r>
            <w:r>
              <w:rPr>
                <w:rFonts w:ascii="宋体" w:hAnsi="宋体" w:eastAsia="宋体" w:cs="黑体"/>
                <w:kern w:val="0"/>
                <w:lang w:val="en-US" w:eastAsia="zh-CN"/>
              </w:rPr>
              <w:t>和质量控制措施合理性等对实施方案进行</w:t>
            </w:r>
            <w:r>
              <w:rPr>
                <w:rFonts w:hint="eastAsia" w:ascii="宋体" w:hAnsi="宋体" w:eastAsia="宋体" w:cs="黑体"/>
                <w:kern w:val="0"/>
                <w:lang w:val="en-US" w:eastAsia="zh-CN"/>
              </w:rPr>
              <w:t>评分</w:t>
            </w:r>
            <w:r>
              <w:rPr>
                <w:rFonts w:ascii="宋体" w:hAnsi="宋体" w:eastAsia="宋体" w:cs="黑体"/>
                <w:kern w:val="0"/>
                <w:lang w:val="en-US" w:eastAsia="zh-CN"/>
              </w:rPr>
              <w:t>。</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A：针对性强、非常完善、完全合理、完全满足招标人需求为优，得4分；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B：针对性较强、比较完善、比较合理、基本满足招标人需求为良，得2分；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C：针对性一般、不够完善、不够合理、不能满足招标人需求为差，得1分；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D：不提供得0分</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7" w:hRule="atLeast"/>
          <w:jc w:val="center"/>
        </w:trPr>
        <w:tc>
          <w:tcPr>
            <w:tcW w:w="1179" w:type="dxa"/>
            <w:vMerge w:val="continue"/>
            <w:tcBorders>
              <w:left w:val="single" w:color="auto" w:sz="4" w:space="0"/>
              <w:right w:val="single" w:color="auto" w:sz="4" w:space="0"/>
            </w:tcBorders>
            <w:noWrap/>
            <w:vAlign w:val="center"/>
          </w:tcPr>
          <w:p>
            <w:pPr>
              <w:widowControl w:val="0"/>
              <w:spacing w:line="300" w:lineRule="exact"/>
              <w:jc w:val="center"/>
              <w:rPr>
                <w:rFonts w:hint="default" w:ascii="宋体" w:hAnsi="宋体" w:eastAsia="宋体" w:cs="黑体"/>
                <w:kern w:val="0"/>
              </w:rPr>
            </w:pP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培训方案</w:t>
            </w:r>
          </w:p>
        </w:tc>
        <w:tc>
          <w:tcPr>
            <w:tcW w:w="6569" w:type="dxa"/>
            <w:tcBorders>
              <w:top w:val="single" w:color="auto" w:sz="4" w:space="0"/>
              <w:left w:val="single" w:color="auto" w:sz="4" w:space="0"/>
              <w:bottom w:val="single" w:color="auto" w:sz="4" w:space="0"/>
              <w:right w:val="single" w:color="auto" w:sz="4" w:space="0"/>
            </w:tcBorders>
            <w:noWrap/>
            <w:vAlign w:val="top"/>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依据投标人培训方案中的培训内容详实情况、培训时间长短、培训人员数量多少等对培训方案进行</w:t>
            </w:r>
            <w:r>
              <w:rPr>
                <w:rFonts w:hint="eastAsia" w:ascii="宋体" w:hAnsi="宋体" w:eastAsia="宋体" w:cs="黑体"/>
                <w:kern w:val="0"/>
                <w:lang w:val="en-US" w:eastAsia="zh-CN"/>
              </w:rPr>
              <w:t>评分</w:t>
            </w:r>
            <w:r>
              <w:rPr>
                <w:rFonts w:ascii="宋体" w:hAnsi="宋体" w:eastAsia="宋体" w:cs="黑体"/>
                <w:kern w:val="0"/>
                <w:lang w:val="en-US" w:eastAsia="zh-CN"/>
              </w:rPr>
              <w:t>。</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A：针对性强、非常完善、完全合理、完全满足招标人需求为优，得3分；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B：针对性较强、比较完善、比较合理、基本满足招标人需求为良，得2分；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C：针对性一般、不够完善、不够合理、不能满足招标人需求为差，得1分；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D：不提供得0分</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7" w:hRule="atLeast"/>
          <w:jc w:val="center"/>
        </w:trPr>
        <w:tc>
          <w:tcPr>
            <w:tcW w:w="1179" w:type="dxa"/>
            <w:vMerge w:val="continue"/>
            <w:tcBorders>
              <w:left w:val="single" w:color="auto" w:sz="4" w:space="0"/>
              <w:right w:val="single" w:color="auto" w:sz="4" w:space="0"/>
            </w:tcBorders>
            <w:noWrap/>
            <w:vAlign w:val="center"/>
          </w:tcPr>
          <w:p>
            <w:pPr>
              <w:widowControl w:val="0"/>
              <w:spacing w:line="300" w:lineRule="exact"/>
              <w:jc w:val="center"/>
              <w:rPr>
                <w:rFonts w:hint="default" w:ascii="宋体" w:hAnsi="宋体" w:eastAsia="宋体" w:cs="黑体"/>
                <w:kern w:val="0"/>
              </w:rPr>
            </w:pP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验收方案</w:t>
            </w:r>
          </w:p>
        </w:tc>
        <w:tc>
          <w:tcPr>
            <w:tcW w:w="6569" w:type="dxa"/>
            <w:tcBorders>
              <w:top w:val="single" w:color="auto" w:sz="4" w:space="0"/>
              <w:left w:val="single" w:color="auto" w:sz="4" w:space="0"/>
              <w:bottom w:val="single" w:color="auto" w:sz="4" w:space="0"/>
              <w:right w:val="single" w:color="auto" w:sz="4" w:space="0"/>
            </w:tcBorders>
            <w:noWrap/>
            <w:vAlign w:val="top"/>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对投标人验收方案的内容完整性、合理可行性，针对性等进行</w:t>
            </w:r>
            <w:r>
              <w:rPr>
                <w:rFonts w:hint="eastAsia" w:ascii="宋体" w:hAnsi="宋体" w:eastAsia="宋体" w:cs="黑体"/>
                <w:kern w:val="0"/>
                <w:lang w:val="en-US" w:eastAsia="zh-CN"/>
              </w:rPr>
              <w:t>评分</w:t>
            </w:r>
            <w:r>
              <w:rPr>
                <w:rFonts w:ascii="宋体" w:hAnsi="宋体" w:eastAsia="宋体" w:cs="黑体"/>
                <w:kern w:val="0"/>
                <w:lang w:val="en-US" w:eastAsia="zh-CN"/>
              </w:rPr>
              <w:t>。</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A：针对性强、非常完善、完全合理、完全满足招标人需求为优，得3分；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B：针对性较强、比较完善、比较合理、基本满足招标人需求为良，得2分；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C：针对性一般、不够完善、不够合理、不能满足招标人需求为差，得1分；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D：不提供得0分</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7" w:hRule="atLeast"/>
          <w:jc w:val="center"/>
        </w:trPr>
        <w:tc>
          <w:tcPr>
            <w:tcW w:w="1179" w:type="dxa"/>
            <w:vMerge w:val="continue"/>
            <w:tcBorders>
              <w:left w:val="single" w:color="auto" w:sz="4" w:space="0"/>
              <w:right w:val="single" w:color="auto" w:sz="4" w:space="0"/>
            </w:tcBorders>
            <w:noWrap/>
            <w:vAlign w:val="center"/>
          </w:tcPr>
          <w:p>
            <w:pPr>
              <w:widowControl w:val="0"/>
              <w:spacing w:line="300" w:lineRule="exact"/>
              <w:jc w:val="center"/>
              <w:rPr>
                <w:rFonts w:hint="default" w:ascii="宋体" w:hAnsi="宋体" w:eastAsia="宋体" w:cs="黑体"/>
                <w:kern w:val="0"/>
              </w:rPr>
            </w:pP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运维方案</w:t>
            </w:r>
          </w:p>
        </w:tc>
        <w:tc>
          <w:tcPr>
            <w:tcW w:w="6569" w:type="dxa"/>
            <w:tcBorders>
              <w:top w:val="single" w:color="auto" w:sz="4" w:space="0"/>
              <w:left w:val="single" w:color="auto" w:sz="4" w:space="0"/>
              <w:bottom w:val="single" w:color="auto" w:sz="4" w:space="0"/>
              <w:right w:val="single" w:color="auto" w:sz="4" w:space="0"/>
            </w:tcBorders>
            <w:noWrap/>
            <w:vAlign w:val="top"/>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对投标人运维服务方案的内容完整性、合理可行性等进行</w:t>
            </w:r>
            <w:r>
              <w:rPr>
                <w:rFonts w:hint="eastAsia" w:ascii="宋体" w:hAnsi="宋体" w:eastAsia="宋体" w:cs="黑体"/>
                <w:kern w:val="0"/>
                <w:lang w:val="en-US" w:eastAsia="zh-CN"/>
              </w:rPr>
              <w:t>评分</w:t>
            </w:r>
            <w:r>
              <w:rPr>
                <w:rFonts w:ascii="宋体" w:hAnsi="宋体" w:eastAsia="宋体" w:cs="黑体"/>
                <w:kern w:val="0"/>
                <w:lang w:val="en-US" w:eastAsia="zh-CN"/>
              </w:rPr>
              <w:t>。</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A：针对性强、非常完善、完全合理、完全满足招标人需求为优，得5分；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B：针对性较强、比较完善、比较合理、基本满足招标人需求为良，得3分；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C：针对性一般、不够完善、不够合理、不能满足招标人需求为差，得1分；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D：不提供得0分</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369" w:hRule="atLeast"/>
          <w:jc w:val="center"/>
        </w:trPr>
        <w:tc>
          <w:tcPr>
            <w:tcW w:w="1179" w:type="dxa"/>
            <w:vMerge w:val="continue"/>
            <w:tcBorders>
              <w:left w:val="single" w:color="auto" w:sz="4" w:space="0"/>
              <w:right w:val="single" w:color="auto" w:sz="4" w:space="0"/>
            </w:tcBorders>
            <w:noWrap/>
            <w:vAlign w:val="center"/>
          </w:tcPr>
          <w:p>
            <w:pPr>
              <w:widowControl w:val="0"/>
              <w:spacing w:line="300" w:lineRule="exact"/>
              <w:jc w:val="center"/>
              <w:rPr>
                <w:rFonts w:hint="default" w:ascii="宋体" w:hAnsi="宋体" w:eastAsia="宋体" w:cs="黑体"/>
                <w:kern w:val="0"/>
              </w:rPr>
            </w:pPr>
          </w:p>
        </w:tc>
        <w:tc>
          <w:tcPr>
            <w:tcW w:w="106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售后及应急服务方案</w:t>
            </w:r>
          </w:p>
        </w:tc>
        <w:tc>
          <w:tcPr>
            <w:tcW w:w="6569" w:type="dxa"/>
            <w:tcBorders>
              <w:top w:val="single" w:color="auto" w:sz="4" w:space="0"/>
              <w:left w:val="single" w:color="auto" w:sz="4" w:space="0"/>
              <w:bottom w:val="single" w:color="auto" w:sz="4" w:space="0"/>
              <w:right w:val="single" w:color="auto" w:sz="4" w:space="0"/>
            </w:tcBorders>
            <w:noWrap/>
            <w:vAlign w:val="top"/>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投标人提供售后服务方案及应急服务方案。投标人应详细描述售后服务内容、故障响应时间、响应方式、具体应急方案。对各投标人售后服务方案可行性、合理性和服务响应及时性进行</w:t>
            </w:r>
            <w:r>
              <w:rPr>
                <w:rFonts w:hint="eastAsia" w:ascii="宋体" w:hAnsi="宋体" w:eastAsia="宋体" w:cs="黑体"/>
                <w:kern w:val="0"/>
                <w:lang w:val="en-US" w:eastAsia="zh-CN"/>
              </w:rPr>
              <w:t>评分</w:t>
            </w:r>
            <w:r>
              <w:rPr>
                <w:rFonts w:ascii="宋体" w:hAnsi="宋体" w:eastAsia="宋体" w:cs="黑体"/>
                <w:kern w:val="0"/>
                <w:lang w:val="en-US" w:eastAsia="zh-CN"/>
              </w:rPr>
              <w:t>。</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A：针对性强、非常完善、完全合理、完全满足招标人需求为优，得5分；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B：针对性较强、比较完善、比较合理、基本满足招标人需求为良，得3分；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C：针对性一般、不够完善、不够合理、不能满足招标人需求为差，得1分；</w:t>
            </w:r>
          </w:p>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D：不提供得0分</w:t>
            </w:r>
          </w:p>
        </w:tc>
        <w:tc>
          <w:tcPr>
            <w:tcW w:w="56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hint="default" w:ascii="宋体" w:hAnsi="宋体" w:eastAsia="宋体" w:cs="黑体"/>
                <w:kern w:val="0"/>
                <w:lang w:val="en-US" w:eastAsia="zh-CN"/>
              </w:rPr>
            </w:pPr>
            <w:r>
              <w:rPr>
                <w:rFonts w:ascii="宋体" w:hAnsi="宋体" w:eastAsia="宋体" w:cs="黑体"/>
                <w:kern w:val="0"/>
                <w:lang w:val="en-US" w:eastAsia="zh-CN"/>
              </w:rPr>
              <w:t>5</w:t>
            </w:r>
          </w:p>
        </w:tc>
      </w:tr>
    </w:tbl>
    <w:p>
      <w:pPr>
        <w:pStyle w:val="45"/>
        <w:spacing w:line="480" w:lineRule="exact"/>
        <w:rPr>
          <w:rFonts w:hint="eastAsia" w:ascii="仿宋_GB2312" w:hAnsi="仿宋_GB2312" w:eastAsia="仿宋_GB2312" w:cs="仿宋_GB2312"/>
          <w:sz w:val="28"/>
          <w:szCs w:val="28"/>
        </w:rPr>
      </w:pPr>
    </w:p>
    <w:p>
      <w:pPr>
        <w:pStyle w:val="3"/>
        <w:spacing w:before="0" w:after="0" w:line="360" w:lineRule="auto"/>
        <w:jc w:val="center"/>
        <w:rPr>
          <w:rFonts w:hint="eastAsia" w:ascii="仿宋_GB2312" w:hAnsi="仿宋_GB2312" w:eastAsia="仿宋_GB2312" w:cs="仿宋_GB2312"/>
          <w:color w:val="auto"/>
          <w:sz w:val="36"/>
          <w:szCs w:val="36"/>
          <w:lang w:eastAsia="zh-CN"/>
        </w:rPr>
      </w:pPr>
      <w:r>
        <w:rPr>
          <w:rFonts w:hint="default" w:ascii="Times New Roman" w:hAnsi="Times New Roman" w:cs="Times New Roman"/>
        </w:rPr>
        <w:br w:type="page"/>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Start w:id="653" w:name="_Toc2128211085"/>
      <w:bookmarkStart w:id="654" w:name="_Toc1212124171"/>
      <w:bookmarkStart w:id="655" w:name="_Toc978903079"/>
      <w:bookmarkStart w:id="656" w:name="_Toc1876950018_WPSOffice_Level1"/>
      <w:bookmarkStart w:id="657" w:name="_Toc1366447656"/>
      <w:bookmarkStart w:id="658" w:name="_Toc2021117886"/>
      <w:bookmarkStart w:id="659" w:name="_Toc1216028725_WPSOffice_Level2"/>
      <w:bookmarkStart w:id="660" w:name="_Toc505697850"/>
      <w:bookmarkStart w:id="661" w:name="_Toc694927784"/>
      <w:bookmarkStart w:id="662" w:name="_Toc667407289"/>
      <w:bookmarkStart w:id="663" w:name="_Toc1887969822_WPSOffice_Level2"/>
      <w:bookmarkStart w:id="664" w:name="_Toc1554580408"/>
      <w:bookmarkStart w:id="665" w:name="_Toc1331652897_WPSOffice_Level2"/>
      <w:bookmarkStart w:id="666" w:name="_Toc339295120"/>
      <w:bookmarkStart w:id="667" w:name="_Toc1351594660_WPSOffice_Level2"/>
      <w:bookmarkStart w:id="668" w:name="_Toc2146371347"/>
      <w:bookmarkStart w:id="669" w:name="_Toc1047604175"/>
      <w:r>
        <w:rPr>
          <w:rFonts w:hint="eastAsia" w:ascii="仿宋_GB2312" w:hAnsi="仿宋_GB2312" w:eastAsia="仿宋_GB2312" w:cs="仿宋_GB2312"/>
          <w:color w:val="auto"/>
          <w:sz w:val="36"/>
          <w:szCs w:val="36"/>
          <w:lang w:val="en-US" w:eastAsia="zh-CN"/>
        </w:rPr>
        <w:t xml:space="preserve">第八章 </w:t>
      </w:r>
      <w:r>
        <w:rPr>
          <w:rFonts w:hint="eastAsia" w:ascii="仿宋_GB2312" w:hAnsi="仿宋_GB2312" w:eastAsia="仿宋_GB2312" w:cs="仿宋_GB2312"/>
          <w:color w:val="auto"/>
          <w:sz w:val="36"/>
          <w:szCs w:val="36"/>
        </w:rPr>
        <w:t>政府采购合同</w:t>
      </w:r>
    </w:p>
    <w:p>
      <w:pPr>
        <w:spacing w:line="440" w:lineRule="exact"/>
        <w:jc w:val="center"/>
        <w:outlineLvl w:val="1"/>
        <w:rPr>
          <w:rFonts w:hint="default" w:ascii="Times New Roman" w:hAnsi="Times New Roman" w:cs="Times New Roman"/>
          <w:b/>
          <w:sz w:val="28"/>
          <w:szCs w:val="28"/>
        </w:rPr>
      </w:pPr>
      <w:bookmarkStart w:id="670" w:name="_Toc884707084"/>
      <w:bookmarkStart w:id="671" w:name="_Toc1805023814"/>
      <w:bookmarkStart w:id="672" w:name="_Toc473367889"/>
      <w:bookmarkStart w:id="673" w:name="_Toc714862996"/>
      <w:bookmarkStart w:id="674" w:name="_Toc1206235606"/>
      <w:bookmarkStart w:id="675" w:name="_Toc1568280797"/>
      <w:r>
        <w:rPr>
          <w:rFonts w:hint="default" w:ascii="Times New Roman" w:hAnsi="Times New Roman" w:cs="Times New Roman"/>
          <w:b/>
          <w:sz w:val="28"/>
          <w:szCs w:val="28"/>
        </w:rPr>
        <w:t>一、合同条款资料表</w:t>
      </w:r>
      <w:bookmarkEnd w:id="670"/>
      <w:bookmarkEnd w:id="671"/>
      <w:bookmarkEnd w:id="672"/>
      <w:bookmarkEnd w:id="673"/>
      <w:bookmarkEnd w:id="674"/>
      <w:bookmarkEnd w:id="675"/>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7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08" w:type="dxa"/>
            <w:noWrap w:val="0"/>
            <w:vAlign w:val="top"/>
          </w:tcPr>
          <w:p>
            <w:pPr>
              <w:spacing w:line="44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条款号</w:t>
            </w:r>
          </w:p>
        </w:tc>
        <w:tc>
          <w:tcPr>
            <w:tcW w:w="7374" w:type="dxa"/>
            <w:noWrap w:val="0"/>
            <w:vAlign w:val="top"/>
          </w:tcPr>
          <w:p>
            <w:pPr>
              <w:spacing w:line="44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08" w:type="dxa"/>
            <w:noWrap w:val="0"/>
            <w:vAlign w:val="center"/>
          </w:tcPr>
          <w:p>
            <w:pPr>
              <w:spacing w:line="440" w:lineRule="exact"/>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7374" w:type="dxa"/>
            <w:noWrap w:val="0"/>
            <w:vAlign w:val="center"/>
          </w:tcPr>
          <w:p>
            <w:pPr>
              <w:spacing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需方名称、地址：供方名称、地址：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08" w:type="dxa"/>
            <w:noWrap w:val="0"/>
            <w:vAlign w:val="center"/>
          </w:tcPr>
          <w:p>
            <w:pPr>
              <w:spacing w:line="440" w:lineRule="exact"/>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7374" w:type="dxa"/>
            <w:noWrap w:val="0"/>
            <w:vAlign w:val="center"/>
          </w:tcPr>
          <w:p>
            <w:pPr>
              <w:spacing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项目现场：</w:t>
            </w:r>
            <w:r>
              <w:rPr>
                <w:rFonts w:hint="default" w:ascii="Times New Roman" w:hAnsi="Times New Roman" w:eastAsia="仿宋_GB2312" w:cs="Times New Roman"/>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jc w:val="center"/>
        </w:trPr>
        <w:tc>
          <w:tcPr>
            <w:tcW w:w="1108" w:type="dxa"/>
            <w:noWrap w:val="0"/>
            <w:vAlign w:val="center"/>
          </w:tcPr>
          <w:p>
            <w:pPr>
              <w:spacing w:line="440" w:lineRule="exact"/>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7374" w:type="dxa"/>
            <w:noWrap w:val="0"/>
            <w:vAlign w:val="center"/>
          </w:tcPr>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履约保证金金额：</w:t>
            </w:r>
            <w:r>
              <w:rPr>
                <w:rFonts w:ascii="Times New Roman" w:hAnsi="Times New Roman" w:eastAsia="仿宋_GB2312" w:cs="Times New Roman"/>
                <w:color w:val="auto"/>
                <w:sz w:val="28"/>
                <w:szCs w:val="28"/>
                <w:lang w:eastAsia="zh-CN"/>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8" w:type="dxa"/>
            <w:noWrap w:val="0"/>
            <w:vAlign w:val="center"/>
          </w:tcPr>
          <w:p>
            <w:pPr>
              <w:spacing w:line="440" w:lineRule="exact"/>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7374" w:type="dxa"/>
            <w:noWrap w:val="0"/>
            <w:vAlign w:val="center"/>
          </w:tcPr>
          <w:p>
            <w:pPr>
              <w:spacing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检验与测试的条件和方式：按国家现行有关标准和规定执行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08" w:type="dxa"/>
            <w:noWrap w:val="0"/>
            <w:vAlign w:val="center"/>
          </w:tcPr>
          <w:p>
            <w:pPr>
              <w:spacing w:line="440" w:lineRule="exact"/>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7374" w:type="dxa"/>
            <w:noWrap w:val="0"/>
            <w:vAlign w:val="center"/>
          </w:tcPr>
          <w:p>
            <w:pPr>
              <w:spacing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应提供的伴随服务有：安装、调试、验收、保修等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08" w:type="dxa"/>
            <w:noWrap w:val="0"/>
            <w:vAlign w:val="center"/>
          </w:tcPr>
          <w:p>
            <w:pPr>
              <w:spacing w:line="440" w:lineRule="exact"/>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w:t>
            </w:r>
          </w:p>
        </w:tc>
        <w:tc>
          <w:tcPr>
            <w:tcW w:w="7374" w:type="dxa"/>
            <w:noWrap w:val="0"/>
            <w:vAlign w:val="center"/>
          </w:tcPr>
          <w:p>
            <w:pPr>
              <w:spacing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要求的备件有：（1、随机备件；2、保证</w:t>
            </w:r>
            <w:r>
              <w:rPr>
                <w:rFonts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rPr>
              <w:t>年正常使用所需的备件）。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1108" w:type="dxa"/>
            <w:noWrap w:val="0"/>
            <w:vAlign w:val="center"/>
          </w:tcPr>
          <w:p>
            <w:pPr>
              <w:spacing w:line="440" w:lineRule="exact"/>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w:t>
            </w:r>
          </w:p>
        </w:tc>
        <w:tc>
          <w:tcPr>
            <w:tcW w:w="7374" w:type="dxa"/>
            <w:noWrap w:val="0"/>
            <w:vAlign w:val="center"/>
          </w:tcPr>
          <w:p>
            <w:pPr>
              <w:spacing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质量保证期：</w:t>
            </w:r>
            <w:r>
              <w:rPr>
                <w:rFonts w:hint="default" w:ascii="Times New Roman" w:hAnsi="Times New Roman" w:eastAsia="仿宋_GB2312" w:cs="Times New Roman"/>
                <w:color w:val="auto"/>
                <w:sz w:val="28"/>
                <w:szCs w:val="28"/>
                <w:u w:val="single"/>
                <w:lang w:val="en-US" w:eastAsia="zh-CN"/>
              </w:rPr>
              <w:t xml:space="preserve"> 3</w:t>
            </w:r>
            <w:r>
              <w:rPr>
                <w:rFonts w:hint="default" w:ascii="Times New Roman" w:hAnsi="Times New Roman" w:eastAsia="仿宋_GB2312" w:cs="Times New Roman"/>
                <w:color w:val="auto"/>
                <w:sz w:val="28"/>
                <w:szCs w:val="28"/>
              </w:rPr>
              <w:t>年，从验收合格之日起开始计算。投标人负责本项目的为期3年免费运维和质保服务，维保期内提供系统的全部软硬件的免费维修维护和升级工作，保证整个系统和设备正常稳定运行。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8" w:type="dxa"/>
            <w:noWrap w:val="0"/>
            <w:vAlign w:val="center"/>
          </w:tcPr>
          <w:p>
            <w:pPr>
              <w:spacing w:line="440" w:lineRule="exact"/>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w:t>
            </w:r>
          </w:p>
        </w:tc>
        <w:tc>
          <w:tcPr>
            <w:tcW w:w="7374" w:type="dxa"/>
            <w:noWrap w:val="0"/>
            <w:vAlign w:val="center"/>
          </w:tcPr>
          <w:p>
            <w:pPr>
              <w:spacing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免费维修与更换缺陷件的期限为供方收到需方通知后2天内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108" w:type="dxa"/>
            <w:noWrap w:val="0"/>
            <w:vAlign w:val="center"/>
          </w:tcPr>
          <w:p>
            <w:pPr>
              <w:spacing w:line="440" w:lineRule="exact"/>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w:t>
            </w:r>
          </w:p>
        </w:tc>
        <w:tc>
          <w:tcPr>
            <w:tcW w:w="7374" w:type="dxa"/>
            <w:noWrap w:val="0"/>
            <w:vAlign w:val="center"/>
          </w:tcPr>
          <w:p>
            <w:pPr>
              <w:spacing w:line="440" w:lineRule="exact"/>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rPr>
              <w:t>付款方法和条件：</w:t>
            </w:r>
          </w:p>
          <w:p>
            <w:pPr>
              <w:spacing w:line="440" w:lineRule="exact"/>
              <w:rPr>
                <w:rFonts w:hint="default"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lang w:val="en-US" w:eastAsia="zh-CN"/>
              </w:rPr>
              <w:t>1、</w:t>
            </w:r>
            <w:r>
              <w:rPr>
                <w:rFonts w:hint="default" w:ascii="Times New Roman" w:hAnsi="Times New Roman" w:eastAsia="仿宋_GB2312" w:cs="Times New Roman"/>
                <w:b/>
                <w:bCs/>
                <w:color w:val="auto"/>
                <w:sz w:val="28"/>
                <w:szCs w:val="28"/>
              </w:rPr>
              <w:t>支付方式：</w:t>
            </w:r>
            <w:r>
              <w:rPr>
                <w:rFonts w:hint="default" w:ascii="Times New Roman" w:hAnsi="Times New Roman" w:eastAsia="仿宋_GB2312" w:cs="Times New Roman"/>
                <w:color w:val="auto"/>
                <w:sz w:val="28"/>
                <w:szCs w:val="28"/>
              </w:rPr>
              <w:t>第一阶段：签订合同并开工15日历天内，甲方向乙方支付合同总额的30%；第二阶段：系统软硬件部署完成后15日历天内，甲方向乙方支付合同总额的30%；第三阶段：项目验收合格15日历天内，甲方向乙方支付合同总额的40%。</w:t>
            </w:r>
          </w:p>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备注：系统软硬件部署完成是指本系统采购除定制开发外的软硬件设备全部部署完成；项目验收合格是指软件上线运行</w:t>
            </w:r>
            <w:r>
              <w:rPr>
                <w:rFonts w:ascii="Times New Roman" w:hAnsi="Times New Roman" w:eastAsia="仿宋_GB2312" w:cs="Times New Roman"/>
                <w:color w:val="auto"/>
                <w:sz w:val="28"/>
                <w:szCs w:val="28"/>
              </w:rPr>
              <w:t>三个月以上且</w:t>
            </w:r>
            <w:r>
              <w:rPr>
                <w:rFonts w:hint="default" w:ascii="Times New Roman" w:hAnsi="Times New Roman" w:eastAsia="仿宋_GB2312" w:cs="Times New Roman"/>
                <w:color w:val="auto"/>
                <w:sz w:val="28"/>
                <w:szCs w:val="28"/>
              </w:rPr>
              <w:t>医院电子病历四级评审通过；在每次支付费用前，乙方需提前7个日历天向甲方提供发票，否则甲方有权拒绝或延迟付款而不承担违约责任。</w:t>
            </w:r>
          </w:p>
          <w:p>
            <w:pPr>
              <w:spacing w:line="440" w:lineRule="exact"/>
              <w:rPr>
                <w:rFonts w:hint="default"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rPr>
              <w:t>付款条件：</w:t>
            </w:r>
            <w:r>
              <w:rPr>
                <w:rFonts w:hint="default" w:ascii="Times New Roman" w:hAnsi="Times New Roman" w:eastAsia="仿宋_GB2312" w:cs="Times New Roman"/>
                <w:color w:val="auto"/>
                <w:sz w:val="28"/>
                <w:szCs w:val="28"/>
              </w:rPr>
              <w:t>申请付款时必须提交以下文件和资料。</w:t>
            </w:r>
          </w:p>
          <w:p>
            <w:pPr>
              <w:spacing w:line="440" w:lineRule="exact"/>
              <w:ind w:firstLine="480"/>
              <w:rPr>
                <w:rFonts w:hint="default"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合同；</w:t>
            </w:r>
          </w:p>
          <w:p>
            <w:pPr>
              <w:spacing w:line="440" w:lineRule="exact"/>
              <w:ind w:firstLine="480"/>
              <w:rPr>
                <w:rFonts w:hint="default"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lang w:val="en-US" w:eastAsia="zh-CN"/>
              </w:rPr>
              <w:t>2</w:t>
            </w:r>
            <w:r>
              <w:rPr>
                <w:rFonts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合规发票；</w:t>
            </w:r>
          </w:p>
          <w:p>
            <w:pPr>
              <w:pStyle w:val="235"/>
              <w:spacing w:after="120"/>
              <w:ind w:firstLine="560"/>
              <w:rPr>
                <w:rFonts w:hint="default" w:eastAsia="仿宋_GB2312" w:cs="Times New Roman"/>
                <w:color w:val="auto"/>
                <w:sz w:val="28"/>
              </w:rPr>
            </w:pPr>
            <w:r>
              <w:rPr>
                <w:rFonts w:eastAsia="仿宋_GB2312" w:cs="Times New Roman"/>
                <w:color w:val="auto"/>
                <w:sz w:val="28"/>
                <w:lang w:eastAsia="zh-CN"/>
              </w:rPr>
              <w:t>（</w:t>
            </w:r>
            <w:r>
              <w:rPr>
                <w:rFonts w:eastAsia="仿宋_GB2312" w:cs="Times New Roman"/>
                <w:color w:val="auto"/>
                <w:sz w:val="28"/>
                <w:lang w:val="en-US" w:eastAsia="zh-CN"/>
              </w:rPr>
              <w:t>3</w:t>
            </w:r>
            <w:r>
              <w:rPr>
                <w:rFonts w:eastAsia="仿宋_GB2312" w:cs="Times New Roman"/>
                <w:color w:val="auto"/>
                <w:sz w:val="28"/>
                <w:lang w:eastAsia="zh-CN"/>
              </w:rPr>
              <w:t>）</w:t>
            </w:r>
            <w:r>
              <w:rPr>
                <w:rFonts w:hint="default" w:eastAsia="仿宋_GB2312" w:cs="Times New Roman"/>
                <w:color w:val="auto"/>
                <w:sz w:val="28"/>
              </w:rPr>
              <w:t>由需方签字的验收报告（或需方委托的第三方验收检验报告）。</w:t>
            </w:r>
          </w:p>
        </w:tc>
      </w:tr>
    </w:tbl>
    <w:p>
      <w:pPr>
        <w:spacing w:line="440" w:lineRule="exact"/>
        <w:jc w:val="center"/>
        <w:outlineLvl w:val="1"/>
        <w:rPr>
          <w:rFonts w:hint="default" w:ascii="Times New Roman" w:hAnsi="Times New Roman" w:cs="Times New Roman"/>
          <w:b/>
          <w:sz w:val="28"/>
          <w:szCs w:val="28"/>
        </w:rPr>
      </w:pPr>
      <w:r>
        <w:rPr>
          <w:rFonts w:hint="default" w:ascii="Times New Roman" w:hAnsi="Times New Roman" w:eastAsia="楷体_GB2312" w:cs="Times New Roman"/>
          <w:b/>
          <w:kern w:val="44"/>
          <w:sz w:val="32"/>
          <w:szCs w:val="32"/>
        </w:rPr>
        <w:br w:type="page"/>
      </w:r>
      <w:bookmarkStart w:id="676" w:name="_Toc755485443"/>
      <w:bookmarkStart w:id="677" w:name="_Toc1226356118"/>
      <w:bookmarkStart w:id="678" w:name="_Toc1891692771"/>
      <w:bookmarkStart w:id="679" w:name="_Toc873773626"/>
      <w:bookmarkStart w:id="680" w:name="_Toc1000614625"/>
      <w:bookmarkStart w:id="681" w:name="_Toc1920196348"/>
      <w:r>
        <w:rPr>
          <w:rFonts w:hint="default" w:ascii="Times New Roman" w:hAnsi="Times New Roman" w:cs="Times New Roman"/>
          <w:b/>
          <w:sz w:val="28"/>
          <w:szCs w:val="28"/>
        </w:rPr>
        <w:t>二、合同条款</w:t>
      </w:r>
      <w:bookmarkEnd w:id="676"/>
      <w:bookmarkEnd w:id="677"/>
      <w:bookmarkEnd w:id="678"/>
      <w:bookmarkEnd w:id="679"/>
      <w:bookmarkEnd w:id="680"/>
      <w:bookmarkEnd w:id="681"/>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1.适用性</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本合同条款适用于没有被本合同其他部分的条款所取代的范围。</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2.定义</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  本文件和附件中所用下列名词的含义在此予以确定。</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“需方”是指“合同条款资料表”中指明的采购需要货物和服务的单位。</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“供方”是指提供本合同项下货物和服务的公司或其他实体。</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“付款人”是指在本合同项下向供方支付合同货物资金款的票据抬头单位或部门。</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“合同”是指供需双方签署的、合同格式中载明的供需双方所达成的协议，包括所有的附件、附录和上述文件中提到的构成合同的所有文件。</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“合同价格”是指根据本合同规定供方在正确地完全履行合同义务后需方应支付给供方的价款。合同价格在合同有效期内为固定价格。</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“货物”系指供方按合同要求，须向需方提供的所有产品、备品备件、工具、手册及其他技术资料和/或其他材料。</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是指根据本合同规定由供方提供的与本合同货物有关的辅助服务，包括运输、保险以及其它伴随服务，如安装、调试、验收、试验、运行、检修时相应的技术指导、技术配合、技术培训和合同中规定供方应承担的其它义务。</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资料”是指合同货物及其相关的设计、制造、监造、检验、安装、调试、验收、性能验收试验和技术指导及合格证、产品质量证明书等文件(包括图纸、各种文字说明、标准、各种软件)，和用于合同项目正确运行和维护的文件。</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“监造”是指在合同货物的制造过程中，由需方委托有资质的监造单位派出代表对供方提供的合同货物的关键部位进行质量监督，实行文件见证和现场见证。此种质量监造不解除供方对合同货物质量所负的责任。</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“初步验收”是指当性能验收试验的结果表明已达到了合同附件1规定的保证值后，需方对每台合同货物的验收。</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“最终验收”是指由法定的检验部门或需方对的合同货物保证期满后的验收。</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“备品备件”是指根据本合同提供的合同货物备用部件，包括随机备品备件和足够按“合同条款资料表”中要求保证所提供货物正常运行使用的备品备件。</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“书面文件”是指任何手稿、打字或印刷的有签字和/或印章及日期的文件。</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“分包商”或“分供货商”是指由供方将合同供货范围内任何部分的供货分包给其他的法人及该法人的继任方和该法人允许的受让方。</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“最后一批交货”是指该批货物交付后，使得合同货物的已交付的货物总价值达到合同货物价格98％以上，并且余下未交的货物不影响合同货物的安装、调试和性能验收试验。</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“货物缺陷”是指供方因设计、制造错误或疏忽所引起的本合同货物达不到本合同规定的性能、质量标准要求的情形。</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“运杂费”是指合同货物从供方始发站（车上）/码头（船上）到需方指定地点所发生的公路、水路、铁路、航空运费，保险费及运输过程中发生的各种费用。</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“合同条款”是指本合同条款。</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“项目现场”是指本合同项下货物的安装、运行的现场，其名称在合同条款资料表中指明。</w:t>
      </w:r>
    </w:p>
    <w:p>
      <w:pPr>
        <w:numPr>
          <w:ilvl w:val="0"/>
          <w:numId w:val="14"/>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“日、月、年”是指公历的日、月、年；“天”是指24小时；“周”是指7天。</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3.原产地</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3.1本合同项下所提供的货物及服务均应来自于中华人民共和国或是与中华人民共和国有正常贸易往来的国家和地区(以下简称“合格来源国”)。</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本款所述的“原产地”是指货物开采、生长或生产或提供有关服务的来源地。所述的“货物”是指通过制造、加工或用重要的和主要元部件装配而成的，其基本特性、功能或效用应是商业上公认的与元部件有着实质性区别的产品。</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3.3货物和服务的原产地有别于供方的法定注册地或国籍。</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4.标准</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4.1本合同项下交付的货物应符合技术规格所述的标准。如果没有提及适用标准，则应符合货物来源国适用的官方标准。这些标准必须是有关机构发布的最新版本的标准。</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4.2除非技术规格中另有规定，计量单位均采用中华人民共和国法定计量单位。</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5.使用合同文件和资料</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5.1没有需方事先书面同意，供方不得将由需方或代表需方提供的有关合同或任何合同条文、规格、计划、图纸、模型、样品或资料提供给与履行本合同无关的任何其他人。</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5.2即使向与履行本合同有关的人员提供，也应注意保密并限于履行合同必须的范围。</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没有需方事先书面同意，除了履行本合同之外，供方不应使用合同条款第5.1条所列举的任何文件和资料。</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5.3除了合同本身以外，合同条款第5.1条所列举的任何文件是需方的财产。如果需方有要求，供方在完成合同后应将这些文件及全部复制件还给需方。</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6.专利权</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供方应保证，需方在使用该货物或货物的任何一部分时，免受第三方提出的侵犯其专利权、商标权、著作权或其它知识产权的起诉。</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7.履约保证金</w:t>
      </w:r>
    </w:p>
    <w:p>
      <w:pPr>
        <w:tabs>
          <w:tab w:val="left" w:pos="720"/>
        </w:tabs>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7.1供方应在收到成交通知书后，向采购人提交“合同条款资料表”中所规定金额的履约保证金。</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7.2履约保证金用于补偿需方因供方不能完成其合同义务而蒙受的损失。</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7.3履约保证金应采用本合同货币，或付款人可以接受的其它货币并采用下述方式之一提交：</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(1)银行保函或不可撤销的信用证</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由需方可接受的在中华人民共和国注册和营业的银行，或外国银行通过在中华人民共和国注册和营业的银行提交。其格式采用招标文件提供的格式或其他需方可接受的格式；或</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(2)银行本票、保兑支票或现金。</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7.4在供方完成其合同义务包括任何保证义务后三十(30)天内，付款人将把履约保证金退还供方。</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8.检验和测试</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8.1需方或其代表应有权检验和／或测试货物，以确认货物是否符合合同规格的要求。“合同条款资料表”中和货物技术规格将说明需方要求进行的检验和测试，以及在何处进行这些检验和测试。需方将及时以书面形式把进行检验和／或需方测试代表的身份通知供方。</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8.2检验和测试可以在供方或其分包人的驻地、交货地点和／或货物的最终目的地进行。如果在供方或其分包人的驻地进行，检测人员应能得到全部合理的设施和协助。</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8.3如果任何被检验或测试的货物不能满足规格的要求，需方可以拒绝接受该货物，供方应更换被拒绝的货物，或者在需方认同下免费进行必要的修改以满足规格的要求。</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8.4需方在货物到达目的港和／或现场后对货物进行检验、测试及必要时拒绝接受货物的权力将不会因为货物在从来源地（国）启运前通过了需方或其代表的检验、测试和认可而受到限制或放弃。</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8.5在交货前，供方应让制造商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8.6货物抵达目的港和／或现场后，由需方或政府管理机构指定检验部门（第三方）对货物的质量、规格、数量和重量进行检验，如果发现规格、数量或两者有与合同规定不一致的地方，需方有权在货物到达现场后九十(90)天内向供方提出索赔。</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8.7如果在合同条款第l 8条规定的保证期内，发现货物的质量或规格与合同要求不符，或货物被证实有缺陷，包括潜在的缺陷或使用不合适的材料，需方有权随时向供方提出索赔。</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8.8所有上述的检验和测试不论在何处发生，一切费用均由供方承担。对第三方参与的检验所发生的费用，从合同总额中扣除并由政府采购专户直接支付检验部门。检验和测试的相关内容和要求见“合同条款资料表”。</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8.9合同条款第8条的规定不能免除供方在本合同项下的保证义务或其他义务。</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9.包装 </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方应提供货物运至合同规定的最终目的地所需要的包装，以防止货物在转运中损坏或变质。这类包装应采取防潮、防晒、防锈、防腐蚀、防震动及防止其它损坏的必要保护措施，从而保护货物能够经受多次搬运、装卸及海运、水运和陆地的长途运输。供方应承担由于其包装或其防护措施不妥而引起货物锈蚀、损坏和丢失的任何损失的责任或费用。</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10.装运标记</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10.1供方应在每一包装箱相邻的四面用不可擦除的油漆和明显的约定的字样做出以下标记：</w:t>
      </w:r>
    </w:p>
    <w:p>
      <w:pPr>
        <w:numPr>
          <w:ilvl w:val="0"/>
          <w:numId w:val="15"/>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收货人</w:t>
      </w:r>
    </w:p>
    <w:p>
      <w:pPr>
        <w:numPr>
          <w:ilvl w:val="0"/>
          <w:numId w:val="15"/>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合同号</w:t>
      </w:r>
    </w:p>
    <w:p>
      <w:pPr>
        <w:numPr>
          <w:ilvl w:val="0"/>
          <w:numId w:val="15"/>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发货标记(唛头)</w:t>
      </w:r>
    </w:p>
    <w:p>
      <w:pPr>
        <w:numPr>
          <w:ilvl w:val="0"/>
          <w:numId w:val="15"/>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收货人编号</w:t>
      </w:r>
    </w:p>
    <w:p>
      <w:pPr>
        <w:numPr>
          <w:ilvl w:val="0"/>
          <w:numId w:val="15"/>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目的地（港）</w:t>
      </w:r>
    </w:p>
    <w:p>
      <w:pPr>
        <w:numPr>
          <w:ilvl w:val="0"/>
          <w:numId w:val="15"/>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货物名称、品目号和箱号</w:t>
      </w:r>
    </w:p>
    <w:p>
      <w:pPr>
        <w:numPr>
          <w:ilvl w:val="0"/>
          <w:numId w:val="15"/>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毛重／净重(用kg表示)</w:t>
      </w:r>
    </w:p>
    <w:p>
      <w:pPr>
        <w:numPr>
          <w:ilvl w:val="0"/>
          <w:numId w:val="15"/>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尺寸(长×宽×高用cm表示)</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10.2如果单件包装箱的重量在2吨或2吨以上，供方应在包装箱两侧用文字和国际贸易通用的运输标记（适用进口货物）标注“重心”和“起吊点”以便装卸和搬运。根据货物的特点和运输的不同要求，供方应在包装箱上清楚地标注“小心轻放”、“此端朝上，请勿倒置”、“保持干燥”等字样和其他国际贸易中使用的适当标记（适用进口货物）。</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11.装运条件</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11.1合同货物的：运输条件和保险、运费支付、交货日期认定、目的港／项目现场；按“合同条款资料表”中规定。</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11.2供方装运的货物不应超过合同规定的数量或重量。否则，需方对由此产生的一切费用和后果不承担责任。</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12.装运通知</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12.1供方应在预计的装运日期之前，即海运前三十(30)天或铁路／公路／水运前二十一(21)天或空运前七(7)天以电报或电传或传真形式将货物合同号、名称、数量、箱数、总毛重、总体积(用m3表示)和在装运地备妥待运日期通知需方，同时，供方把详细的货物清单一式三(3)份，包括货物合同号、名称、规格、数量、总体积(用m3表示)、每箱尺寸(长×宽×高)、单价、总金额、启运地（或口岸）、备妥待运日期和货物在储存中的特殊要求和注意事项等寄给需方。</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12.2供方应在货物装运完成后二十四(24)小时之内以电报或电传或传真形式将货物合同号、名称、数量、毛重、体积(用m3表示)、发票金额、运输工具名称及启运日期通知需方。如果每个包装箱的重量超过20吨(t)或体积达到或超过长12米(m)、宽2.7米(m)和高3米(m)，供方应将每个包装箱的重量和体积通知需方，易燃品或危险品的细节还应另行注明。</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12.3如果是因为供方延误不能将上述内容通知需方，使需方不能及时做好有关准备或办理相关手续，由此而造成的全部损失应由供方负责。</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此条款的适用对象见“合同条款资料表”。</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13.交货和单据</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13.1供方应按照“货物需求一览表”规定的条件交货。供方应提供的装运细节和／或要求见合同条款第9、10、11、12条规定。</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13.2为合同支付的需要，供方还应根据本合同条款第20条的规定，向需方寄交或通过供方银行转交该条款规定的相关“支付单据”。</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14.保险</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14.1供方在本合同下提供的货物应对其在制造、购置、运输、存放及交货过程中的丢失或损坏按本条款规定的方式，进行全面保险。</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14.2根据需方在“投标人须知前附表”中要求的报价条件交货，如由供方负责办理、支付货物保险，供方应用一种可以自由兑换的货币办理以发票金额百分之一百一十(110％)投保的一切险和战争险，并以需方为受益人。</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15.运输</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15.1根据需方在“投标人须知前附表”中要求的报价条件交货，供方应负责办理相应的运输、仓储、保管等事项，相关费用包括在合同价中。</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15.2如果合同中有进口货物，供方所选择承运人事先应获需方同意或使用需方指定的承运人。</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16.伴随服务</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16.1供方可能被要求提供下列服务中的任一项或所有服务，包括“合同条款资料表”与技术规格规定的附加服务(如果有的话)：</w:t>
      </w:r>
    </w:p>
    <w:p>
      <w:pPr>
        <w:numPr>
          <w:ilvl w:val="0"/>
          <w:numId w:val="16"/>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实施或监督所供货物的现场组装和／或试运行；</w:t>
      </w:r>
    </w:p>
    <w:p>
      <w:pPr>
        <w:numPr>
          <w:ilvl w:val="0"/>
          <w:numId w:val="16"/>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提供货物组装和／或维修所需的工具；</w:t>
      </w:r>
    </w:p>
    <w:p>
      <w:pPr>
        <w:numPr>
          <w:ilvl w:val="0"/>
          <w:numId w:val="16"/>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在双方商定的一定期限内对所供货物实施运行或监督或维护或修理，但前提条件是该服务并不能免除供方在合同保证期内所承担的义务；</w:t>
      </w:r>
    </w:p>
    <w:p>
      <w:pPr>
        <w:numPr>
          <w:ilvl w:val="0"/>
          <w:numId w:val="16"/>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在供方厂家和／或在项目现场就所供货物的组装、试运行、运行、维护和／或修理对需方人员进行培训。</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16.2供方应提供“合同条款资料表”／技术规格中规定的所有服务。为履行要求的伴随服务的报价或双方商定的费用均应包括在合同价中。</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17.备件</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17.1供方可能被要求提供下列与备件有关的材料、通知和资料：</w:t>
      </w:r>
    </w:p>
    <w:p>
      <w:pPr>
        <w:numPr>
          <w:ilvl w:val="0"/>
          <w:numId w:val="17"/>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需方从供方选购备件，但前提条件是该选择并不能免除供方在合同保证期内所承担的义务；</w:t>
      </w:r>
    </w:p>
    <w:p>
      <w:pPr>
        <w:numPr>
          <w:ilvl w:val="0"/>
          <w:numId w:val="17"/>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在备件停止生产的情况下，供方应事先将要停止生产的计划通知需方，以便需方有足够的时间采购所需的备件；</w:t>
      </w:r>
    </w:p>
    <w:p>
      <w:pPr>
        <w:numPr>
          <w:ilvl w:val="0"/>
          <w:numId w:val="17"/>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在备件停止生产后，如果需方要求，供方应免费向需方提供备件的蓝图、图纸和规格。</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17.2供方应按照“合同条款资料表”／技术规格中的规定提供所需的备件。</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18.保证</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18.1供方应保证合同下所供货物的全部组成是全新的、未使用过的一级正品，除非合同另有规定，货物应含有设计上和材料上的全部最新改进。供方还应保证，合同项下提供的全部货物没有设计、材料或工艺上的缺陷(由于按需方的要求设计或按需方的规格提供的材料所产生的缺陷除外)，或者没有因供方的行为或疏忽而产生的缺陷，这些缺陷项目是工作现场现行条件下正常使用可能产生的。</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18.2本保证应在合同货物最终验收后的一定期限内保持有效，或在最后一批合同货物到达目的地后的一定期限内保持有效(上述期限见“合同条款资料表”)，以先发生的为准。</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18.3需方应尽快以书面形式通知供方保证期内所发现的货物的缺陷。</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18.4供方收到通知后应在“合同条款资料表”规定的时间内以合理的速度免费维修或更换有缺陷的货物或部件。</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l8.5如果供方收到通知后在合同规定的时间内没有以合理的速度弥补缺陷，需方可采取必要的补救措施，但其风险和费用将由供方承担，需方根据合同规定对供方行使的其他权力不受影响。</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19.索赔</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19.1如果供方对货物的偏差负有责任，而需方在合同条款第18条或合同的其他条款规定的检验、安装、调试、验收和质量保证期内提出了索赔，供方应按照需方同意的下列一种或几种方式结合起来解决索赔事宜：</w:t>
      </w:r>
    </w:p>
    <w:p>
      <w:pPr>
        <w:numPr>
          <w:ilvl w:val="0"/>
          <w:numId w:val="18"/>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pPr>
        <w:numPr>
          <w:ilvl w:val="0"/>
          <w:numId w:val="18"/>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根据货物的偏差情况、损坏程度以及需方所遭受损失的金额，经需供双方商定降低货物的价格。</w:t>
      </w:r>
    </w:p>
    <w:p>
      <w:pPr>
        <w:numPr>
          <w:ilvl w:val="0"/>
          <w:numId w:val="18"/>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用符合合同规定的规格、质量和性能要求的新零件、部件来更换有缺陷的部分和／或修补缺陷部分，供方应承担一切费用和风险并负担需方蒙受的全部直接损失费用。同时，供方应按合同条款第l 8条规定，相应延长所更换货物的质量保证期。</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19.2如果在需方发出索赔通知后三十(30)天内，供方未作答复，上述索赔应视为已被供方接受。如供方未能在需方发出索赔通知后三十(30)天内或需方同意的延长期限内，按照需方同意的上述规定的任何一种方法解决索赔事宜，需方将从合同货款或从供方开具的履约保证金中扣回索赔金额。</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20.付款</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本合同项下的付款方法和条件在“合同条款资料表”中规定。</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21.价格</w:t>
      </w:r>
    </w:p>
    <w:p>
      <w:pPr>
        <w:spacing w:line="360" w:lineRule="auto"/>
        <w:ind w:left="4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供方在本合同项下提交货物和履行服务的价格在合同中给出。</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22.变更指令</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22.1根据合同条款第37条的规定，需方可以在任何时候书面向供方发出指令，在本合同的一般范围内变更下述一项或几项：</w:t>
      </w:r>
    </w:p>
    <w:p>
      <w:pPr>
        <w:numPr>
          <w:ilvl w:val="0"/>
          <w:numId w:val="19"/>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本合同项下提供的货物是专为需方制造时，变更图纸、设计或规格；</w:t>
      </w:r>
    </w:p>
    <w:p>
      <w:pPr>
        <w:numPr>
          <w:ilvl w:val="0"/>
          <w:numId w:val="19"/>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运输或包装的方法；</w:t>
      </w:r>
    </w:p>
    <w:p>
      <w:pPr>
        <w:numPr>
          <w:ilvl w:val="0"/>
          <w:numId w:val="19"/>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交货地点；</w:t>
      </w:r>
    </w:p>
    <w:p>
      <w:pPr>
        <w:numPr>
          <w:ilvl w:val="0"/>
          <w:numId w:val="19"/>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供方提供的服务。</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22.2如果上述变更使供方履行合同义务的费用或时间增加或减少，将对合同价或交货时间或两者进行公平的调整，同时相应修改合同。供方根据本条进行调整的要求必须在收到需方的变更指令</w:t>
      </w:r>
      <w:r>
        <w:rPr>
          <w:rFonts w:hint="default" w:ascii="Times New Roman" w:hAnsi="Times New Roman" w:eastAsia="仿宋_GB2312" w:cs="Times New Roman"/>
          <w:b/>
          <w:sz w:val="28"/>
          <w:szCs w:val="28"/>
        </w:rPr>
        <w:t>后十(10)天</w:t>
      </w:r>
      <w:r>
        <w:rPr>
          <w:rFonts w:hint="default" w:ascii="Times New Roman" w:hAnsi="Times New Roman" w:eastAsia="仿宋_GB2312" w:cs="Times New Roman"/>
          <w:sz w:val="28"/>
          <w:szCs w:val="28"/>
        </w:rPr>
        <w:t>内提出。</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23.合同修改</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除了合同条款第22条的情况，任何一方不应对合同条款进行任何变更或修改，除非双方协商同意并签订书面的合同修改书。</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24.转让</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除特殊情况下并经需方事先书面同意外，供方所应履行的合同义务的任何一部分均不得向其他方转让。</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25.分包</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25.1由需方确认的分包货物，供方应书面通知需方其在本合同中所分包的全部分包合同，但此分包通知并不能解除供方履行本合同的责任和义务。</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25.2分包必须符合合同条款第3条的规定。</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26.供方履约延误</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26.1供方应按照“货物需求一览表”中需方规定的时间表交货和提供服务。</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26.2在履行合同过程中，如果供方及其分包人遇到妨碍按时交货和提供服务的情况时，应及时以书面形式将拖延的事实、可能拖延的时间和原因通知需方。需方在收到供方通知后，应尽快对情况进行评价，并确定是否同意延长交货时间以及是否收取误期赔偿费。延期应通过修改合同的方式由双方认可。</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26.3除了合同条款第29条的情况外，除非拖延是根据合同条款第26.2条的规定取得同意而不收取误期赔偿费之外，供方延误交货，将按合同条款第27条的规定被收取误期赔偿费。</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27.误期赔偿费</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合同条款第29条规定的情况外，如果供方没有按照合同规定的时间交货和提供服务，需方应在不影响合同项下的其他补救措施的情况下，从合同价中扣除误期赔偿费。每延误1天的赔偿费按迟交货物交货价或未提供服务的服务费用的千分之一(1‰)计收，直至交货或提供服务为止。误期赔偿费的最高限额为合同价格的百分之一点五(1.5％)。一旦达到误期赔偿最高限额，需方可考虑根据合同条款第28条的规定终止合同。</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28.违约终止合同</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28.1在需方对供方违约而采取的任何补救措施不受影响的情况下，需方可向供方发出书面违约通知书，提出终止部分或全部合同：</w:t>
      </w:r>
    </w:p>
    <w:p>
      <w:pPr>
        <w:numPr>
          <w:ilvl w:val="0"/>
          <w:numId w:val="20"/>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如果供方未能在合同规定的期限内或需方根据合同条款第26条的规定同意延长的期限内提供部分或全部货物；</w:t>
      </w:r>
    </w:p>
    <w:p>
      <w:pPr>
        <w:numPr>
          <w:ilvl w:val="0"/>
          <w:numId w:val="20"/>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如果供方未能履行合同规定的其它任何项义务。</w:t>
      </w:r>
    </w:p>
    <w:p>
      <w:pPr>
        <w:numPr>
          <w:ilvl w:val="0"/>
          <w:numId w:val="20"/>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如果需方认为供方在本合同的竞争和实施过程中有腐败和欺诈行为。其定义如下：</w:t>
      </w:r>
    </w:p>
    <w:p>
      <w:pPr>
        <w:numPr>
          <w:ilvl w:val="0"/>
          <w:numId w:val="21"/>
        </w:numPr>
        <w:tabs>
          <w:tab w:val="left" w:pos="1080"/>
        </w:tabs>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腐败行为：是指提供、给予、接受或索取任何有价值的物品来影响需方在采购过程或合同实施过程中的行为。</w:t>
      </w:r>
    </w:p>
    <w:p>
      <w:pPr>
        <w:numPr>
          <w:ilvl w:val="0"/>
          <w:numId w:val="21"/>
        </w:numPr>
        <w:tabs>
          <w:tab w:val="left" w:pos="1080"/>
        </w:tabs>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欺诈行为：是指为了影响采购过程或合同实施过程而谎报或隐瞒事实，提供不满足合同要求的货物，损害需方利益的行为。</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28.2如果需方根据上述第28.1条的规定，终止了全部或部分合同，需方可以依其认为适当的条件和方法购买与末交货物类似的货物或服务，供方应承担需方因购买类似货物或服务而产生的额外支出。但是，供方应继续执行合同中未终止的部分。</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29.不可抗力</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29.1签约双方任何一方由于不可抗力事件的影响而不能执行合同时，履行合同的期限应予以延长，其延长的期限应相当于事件所影响的时间。不可抗力事件系指需供双方在缔结合同时所不能预见的，并且它的发生及其后果是无法避免和无法克服的事件，诸如战争、严重火灾、洪水、台风、地震等。</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29.2受阻一方应在不可抗力事件发生后尽快用电报、传真或电传通知对方，并于时间发生后十四(14)天内将有关当局出具的证明文件用特快专递或挂号信寄结对方审阅确认。一旦不可抗力事件的影响持续一百二十天(120)天以上，双方应通过友好协商在合理的时间内达成进一步履行合同的协议。</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30.因破产而终止合同</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如果供方破产或无清偿能力，需方可在任何时候以书面形式通知供方，提出终止合同而不给供方补偿。该合同的终止将不损害或影响需方已经采取或将要采取的任何行动或补救措施的权力。</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31.因需方的便利而终止合同</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31.1需方可在任何时候出于自身的便利向供方发出书面通知全部或部分终止合同，终止通知应明确该终止合同是出于需方的便利，并明确合同终止的程度，以及终止的生效日期。</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31.2对供方在收到终止通知后二十(20)天内已完成并准备装运的货物，需方应按原合同价格和条款予以接收，对于剩下的货物，需方可：</w:t>
      </w:r>
    </w:p>
    <w:p>
      <w:pPr>
        <w:numPr>
          <w:ilvl w:val="0"/>
          <w:numId w:val="22"/>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仅对部分货物按照原来的合同价格和条款予以接受；或</w:t>
      </w:r>
    </w:p>
    <w:p>
      <w:pPr>
        <w:numPr>
          <w:ilvl w:val="0"/>
          <w:numId w:val="22"/>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取消对所剩货物的采购，并按双方商定的金额向供方支付部分完成的货物和服务以及供方以前已采购的材料和部件的费用。</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32.争端的解决</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32.1合同实施或与合同有关的一切争端应通过双方协商解决。如果协商开始后三十(30) 天还不能解决，争端应提请河南省政府采购管理机构按有关规则进行裁解或提交需方当地仲裁机关按有关规则和程序仲裁。</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32.2仲裁机关裁决应为最终裁决，对双方均具有约束力。</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32.3仲裁费除仲裁机关另有裁决外均应由败诉方负担。</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32.4在仲裁期间，除正在进行仲裁的部分外，本合同其它部分应继续执行。</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33.合同语言</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除非双方另行同意，本合同语言为汉语。双方交换的与合同有关的信函应用合同语言书写。</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34.适用法律</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本合同应按照中华人民共和国的法律进行解释。</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35.通知</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35.1本合同一方给对方的通知应用书面形式或电报、电传或传真送到“合同条款资料表”中规定的对方的地址。电报、电传或传真要经书面确认。</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35.2通知以送到日期或通知书的生效日期为生效日期，两者中以晚的一个日期为准。</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36.税和关税</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36.1在本合同项下提供的货物及实施与本合同有关的伴随服务，则根据中华人民共和国现行税法对供方征收的与本合同有关的一切税费均应由供方负担。</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36.2对于进口货物在中国境外发生的与本合同执行有关的一切税费均应由供方负担。</w:t>
      </w:r>
    </w:p>
    <w:p>
      <w:pPr>
        <w:keepNext/>
        <w:keepLines/>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37.合同生效及其他</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37.1本合同应在双方签字并经河南省财政厅政府采购监督管理处审核备案和需方收到供方提交的履约保证金后生效。</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37.2如果本合同中的非中华人民共和国境内生产的货物需要进出口许可证，应由供方负责办理，费用自理。</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37.3下述合同附件为本合同不可分割的部分并与本合同具有同等效力：</w:t>
      </w:r>
    </w:p>
    <w:p>
      <w:pPr>
        <w:numPr>
          <w:ilvl w:val="0"/>
          <w:numId w:val="23"/>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供货范围及分项价格表</w:t>
      </w:r>
    </w:p>
    <w:p>
      <w:pPr>
        <w:numPr>
          <w:ilvl w:val="0"/>
          <w:numId w:val="23"/>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技术规格</w:t>
      </w:r>
    </w:p>
    <w:p>
      <w:pPr>
        <w:numPr>
          <w:ilvl w:val="0"/>
          <w:numId w:val="23"/>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交货计划</w:t>
      </w:r>
    </w:p>
    <w:p>
      <w:pPr>
        <w:numPr>
          <w:ilvl w:val="0"/>
          <w:numId w:val="23"/>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履约保函</w:t>
      </w:r>
    </w:p>
    <w:p>
      <w:pPr>
        <w:numPr>
          <w:ilvl w:val="0"/>
          <w:numId w:val="23"/>
        </w:num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合同资料表中规定的其他附件</w:t>
      </w:r>
    </w:p>
    <w:p>
      <w:pPr>
        <w:spacing w:line="360" w:lineRule="auto"/>
        <w:rPr>
          <w:rFonts w:hint="default" w:ascii="Times New Roman" w:hAnsi="Times New Roman" w:eastAsia="仿宋_GB2312" w:cs="Times New Roman"/>
          <w:sz w:val="28"/>
          <w:szCs w:val="28"/>
        </w:rPr>
      </w:pPr>
    </w:p>
    <w:p>
      <w:pPr>
        <w:pStyle w:val="2"/>
        <w:jc w:val="center"/>
        <w:rPr>
          <w:rFonts w:ascii="宋体" w:hAnsi="宋体" w:eastAsia="宋体" w:cs="宋体"/>
          <w:sz w:val="32"/>
          <w:szCs w:val="32"/>
        </w:rPr>
      </w:pPr>
      <w:r>
        <w:rPr>
          <w:rFonts w:ascii="Times New Roman" w:hAnsi="Times New Roman"/>
        </w:rPr>
        <w:br w:type="page"/>
      </w:r>
      <w:bookmarkStart w:id="682" w:name="_Toc447035377"/>
      <w:bookmarkStart w:id="683" w:name="_Toc415881288"/>
      <w:bookmarkStart w:id="684" w:name="_Toc1217636752"/>
      <w:bookmarkStart w:id="685" w:name="_Toc109098683"/>
      <w:bookmarkStart w:id="686" w:name="_Toc1817895005"/>
      <w:bookmarkStart w:id="687" w:name="_Toc875046403"/>
      <w:r>
        <w:rPr>
          <w:rFonts w:ascii="Times New Roman" w:hAnsi="Times New Roman"/>
        </w:rPr>
        <w:t>三、合同</w:t>
      </w:r>
      <w:bookmarkEnd w:id="682"/>
      <w:bookmarkEnd w:id="683"/>
      <w:bookmarkEnd w:id="684"/>
      <w:bookmarkEnd w:id="685"/>
      <w:bookmarkEnd w:id="686"/>
      <w:bookmarkEnd w:id="687"/>
    </w:p>
    <w:p>
      <w:pPr>
        <w:wordWrap w:val="0"/>
        <w:spacing w:after="390" w:afterLines="100"/>
        <w:ind w:right="799"/>
        <w:jc w:val="right"/>
        <w:rPr>
          <w:rFonts w:cs="黑体"/>
          <w:bCs/>
          <w:color w:val="auto"/>
          <w:sz w:val="32"/>
          <w:szCs w:val="32"/>
          <w:highlight w:val="none"/>
        </w:rPr>
      </w:pPr>
      <w:r>
        <w:rPr>
          <w:rFonts w:hint="eastAsia" w:cs="黑体"/>
          <w:color w:val="auto"/>
          <w:sz w:val="32"/>
          <w:szCs w:val="32"/>
          <w:highlight w:val="none"/>
        </w:rPr>
        <w:t>合同编号：</w:t>
      </w:r>
    </w:p>
    <w:p>
      <w:pPr>
        <w:autoSpaceDE w:val="0"/>
        <w:autoSpaceDN w:val="0"/>
        <w:spacing w:line="480" w:lineRule="auto"/>
        <w:jc w:val="center"/>
        <w:rPr>
          <w:rFonts w:cs="宋体"/>
          <w:b/>
          <w:color w:val="auto"/>
          <w:sz w:val="36"/>
          <w:szCs w:val="36"/>
          <w:highlight w:val="none"/>
        </w:rPr>
      </w:pPr>
      <w:r>
        <w:rPr>
          <w:rFonts w:hint="eastAsia" w:cs="黑体"/>
          <w:b/>
          <w:color w:val="auto"/>
          <w:sz w:val="36"/>
          <w:szCs w:val="36"/>
          <w:highlight w:val="none"/>
        </w:rPr>
        <w:t>河南省荣康医院电子病历一体化项目合同书</w:t>
      </w:r>
    </w:p>
    <w:p>
      <w:pPr>
        <w:pStyle w:val="235"/>
        <w:spacing w:after="120"/>
        <w:ind w:firstLine="480"/>
        <w:rPr>
          <w:rFonts w:hint="default"/>
          <w:color w:val="auto"/>
          <w:lang w:val="zh-CN"/>
        </w:rPr>
      </w:pPr>
      <w:r>
        <w:rPr>
          <w:color w:val="auto"/>
          <w:lang w:val="zh-CN"/>
        </w:rPr>
        <w:t xml:space="preserve">采购人（甲方）： </w:t>
      </w:r>
    </w:p>
    <w:p>
      <w:pPr>
        <w:pStyle w:val="235"/>
        <w:spacing w:after="120"/>
        <w:ind w:firstLine="480"/>
        <w:rPr>
          <w:rFonts w:hint="default"/>
          <w:color w:val="auto"/>
          <w:lang w:val="zh-CN"/>
        </w:rPr>
      </w:pPr>
      <w:r>
        <w:rPr>
          <w:color w:val="auto"/>
          <w:lang w:val="zh-CN"/>
        </w:rPr>
        <w:t xml:space="preserve">法定代表人： </w:t>
      </w:r>
    </w:p>
    <w:p>
      <w:pPr>
        <w:pStyle w:val="235"/>
        <w:spacing w:after="120"/>
        <w:ind w:firstLine="480"/>
        <w:rPr>
          <w:rFonts w:hint="default"/>
          <w:color w:val="auto"/>
          <w:lang w:val="zh-CN"/>
        </w:rPr>
      </w:pPr>
      <w:r>
        <w:rPr>
          <w:color w:val="auto"/>
          <w:lang w:val="zh-CN"/>
        </w:rPr>
        <w:t xml:space="preserve">住址： </w:t>
      </w:r>
    </w:p>
    <w:p>
      <w:pPr>
        <w:autoSpaceDE w:val="0"/>
        <w:autoSpaceDN w:val="0"/>
        <w:spacing w:line="440" w:lineRule="exact"/>
        <w:ind w:firstLine="480"/>
        <w:rPr>
          <w:rFonts w:hint="default" w:ascii="宋体" w:hAnsi="宋体" w:cs="宋体"/>
          <w:color w:val="auto"/>
          <w:sz w:val="24"/>
          <w:lang w:val="zh-CN"/>
        </w:rPr>
      </w:pPr>
    </w:p>
    <w:p>
      <w:pPr>
        <w:pStyle w:val="235"/>
        <w:spacing w:after="120"/>
        <w:ind w:firstLine="480"/>
        <w:rPr>
          <w:rFonts w:hint="default"/>
          <w:color w:val="auto"/>
          <w:lang w:val="zh-CN"/>
        </w:rPr>
      </w:pPr>
      <w:r>
        <w:rPr>
          <w:color w:val="auto"/>
          <w:lang w:val="zh-CN"/>
        </w:rPr>
        <w:t>供应商（乙方）：</w:t>
      </w:r>
    </w:p>
    <w:p>
      <w:pPr>
        <w:pStyle w:val="235"/>
        <w:spacing w:after="120"/>
        <w:ind w:firstLine="480"/>
        <w:rPr>
          <w:rFonts w:hint="default"/>
          <w:color w:val="auto"/>
          <w:lang w:val="zh-CN"/>
        </w:rPr>
      </w:pPr>
      <w:r>
        <w:rPr>
          <w:color w:val="auto"/>
          <w:lang w:val="zh-CN"/>
        </w:rPr>
        <w:t>法定代表人：</w:t>
      </w:r>
    </w:p>
    <w:p>
      <w:pPr>
        <w:pStyle w:val="235"/>
        <w:spacing w:after="120"/>
        <w:ind w:firstLine="480"/>
        <w:rPr>
          <w:rFonts w:hint="default" w:ascii="宋体" w:hAnsi="宋体" w:cs="宋体"/>
          <w:color w:val="auto"/>
          <w:lang w:val="zh-CN"/>
        </w:rPr>
      </w:pPr>
      <w:r>
        <w:rPr>
          <w:color w:val="auto"/>
          <w:lang w:val="zh-CN"/>
        </w:rPr>
        <w:t>住址：</w:t>
      </w:r>
    </w:p>
    <w:p>
      <w:pPr>
        <w:pStyle w:val="235"/>
        <w:spacing w:after="120"/>
        <w:ind w:firstLine="480"/>
        <w:rPr>
          <w:rFonts w:hint="default" w:ascii="宋体" w:hAnsi="宋体" w:cs="Courier New"/>
          <w:color w:val="auto"/>
        </w:rPr>
      </w:pPr>
      <w:r>
        <w:rPr>
          <w:rFonts w:ascii="宋体" w:hAnsi="宋体" w:cs="Courier New"/>
          <w:color w:val="auto"/>
        </w:rPr>
        <w:t>甲方通过</w:t>
      </w:r>
      <w:r>
        <w:rPr>
          <w:rFonts w:ascii="宋体" w:hAnsi="宋体" w:cs="Courier New"/>
          <w:color w:val="auto"/>
          <w:lang w:eastAsia="zh-CN"/>
        </w:rPr>
        <w:t>招标</w:t>
      </w:r>
      <w:r>
        <w:rPr>
          <w:rFonts w:ascii="宋体" w:hAnsi="宋体" w:cs="Courier New"/>
          <w:color w:val="auto"/>
        </w:rPr>
        <w:t>确定乙方作为</w:t>
      </w:r>
      <w:r>
        <w:rPr>
          <w:rFonts w:ascii="宋体" w:hAnsi="宋体" w:cs="Courier New"/>
          <w:color w:val="auto"/>
          <w:u w:val="single"/>
        </w:rPr>
        <w:t xml:space="preserve"> 河南省荣康医院电子病历一体化项目 </w:t>
      </w:r>
      <w:r>
        <w:rPr>
          <w:rFonts w:ascii="宋体" w:hAnsi="宋体" w:cs="Courier New"/>
          <w:color w:val="auto"/>
        </w:rPr>
        <w:t>（以下简称“本项目”或“项目”）的供应商，为甲方提供本项目所需的各项产品和技术支持服务。</w:t>
      </w:r>
    </w:p>
    <w:p>
      <w:pPr>
        <w:pStyle w:val="235"/>
        <w:spacing w:after="120"/>
        <w:ind w:firstLine="480"/>
        <w:rPr>
          <w:rFonts w:hint="default" w:ascii="宋体" w:hAnsi="宋体" w:cs="Courier New"/>
          <w:color w:val="auto"/>
          <w:lang w:val="zh-CN"/>
        </w:rPr>
      </w:pPr>
      <w:r>
        <w:rPr>
          <w:rFonts w:ascii="宋体" w:hAnsi="宋体" w:cs="Courier New"/>
          <w:color w:val="auto"/>
        </w:rPr>
        <w:t>乙方同意作为</w:t>
      </w:r>
      <w:r>
        <w:rPr>
          <w:rFonts w:ascii="宋体" w:hAnsi="宋体" w:cs="Courier New"/>
          <w:color w:val="auto"/>
          <w:u w:val="single"/>
        </w:rPr>
        <w:t>XXXXX</w:t>
      </w:r>
      <w:r>
        <w:rPr>
          <w:rFonts w:ascii="宋体" w:hAnsi="宋体" w:cs="Courier New"/>
          <w:color w:val="auto"/>
        </w:rPr>
        <w:t>的供应商，为甲方提供本合同约定的产品和技术支持服务。</w:t>
      </w:r>
    </w:p>
    <w:p>
      <w:pPr>
        <w:pStyle w:val="235"/>
        <w:spacing w:after="120"/>
        <w:ind w:firstLine="480"/>
        <w:rPr>
          <w:rFonts w:hint="default" w:ascii="宋体" w:hAnsi="宋体" w:eastAsia="宋体"/>
          <w:color w:val="auto"/>
          <w:szCs w:val="24"/>
          <w:lang w:val="zh-CN"/>
        </w:rPr>
      </w:pPr>
      <w:r>
        <w:rPr>
          <w:color w:val="auto"/>
        </w:rPr>
        <w:t>双方经过平等协商，在真实、充分地表达各自意愿的基础上，根据《中华人民共和国民法典》的规定，达成如下条款，并由双方共同恪守。</w:t>
      </w:r>
    </w:p>
    <w:p>
      <w:pPr>
        <w:widowControl w:val="0"/>
        <w:numPr>
          <w:ilvl w:val="0"/>
          <w:numId w:val="24"/>
        </w:numPr>
        <w:spacing w:line="460" w:lineRule="exact"/>
        <w:ind w:firstLine="481" w:firstLineChars="200"/>
        <w:rPr>
          <w:rFonts w:ascii="宋体" w:hAnsi="宋体" w:eastAsia="宋体"/>
          <w:b/>
          <w:sz w:val="24"/>
          <w:szCs w:val="24"/>
          <w:lang w:val="zh-CN"/>
        </w:rPr>
      </w:pPr>
      <w:r>
        <w:rPr>
          <w:rFonts w:ascii="宋体" w:hAnsi="宋体" w:eastAsia="宋体"/>
          <w:b/>
          <w:sz w:val="24"/>
          <w:szCs w:val="24"/>
          <w:lang w:val="zh-CN"/>
        </w:rPr>
        <w:t>采购内容及价格</w:t>
      </w:r>
    </w:p>
    <w:p>
      <w:pPr>
        <w:jc w:val="right"/>
        <w:rPr>
          <w:rFonts w:ascii="宋体" w:hAnsi="宋体" w:eastAsia="宋体"/>
          <w:bCs/>
          <w:sz w:val="24"/>
          <w:szCs w:val="24"/>
        </w:rPr>
      </w:pPr>
      <w:r>
        <w:rPr>
          <w:rFonts w:ascii="宋体" w:hAnsi="宋体" w:eastAsia="宋体"/>
          <w:bCs/>
          <w:sz w:val="24"/>
          <w:szCs w:val="24"/>
          <w:lang w:val="zh-CN"/>
        </w:rPr>
        <w:t>金额单位：元</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2132"/>
        <w:gridCol w:w="1019"/>
        <w:gridCol w:w="804"/>
        <w:gridCol w:w="204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pct"/>
            <w:noWrap w:val="0"/>
            <w:vAlign w:val="center"/>
          </w:tcPr>
          <w:p>
            <w:pPr>
              <w:autoSpaceDE w:val="0"/>
              <w:autoSpaceDN w:val="0"/>
              <w:spacing w:line="540" w:lineRule="exact"/>
              <w:jc w:val="center"/>
              <w:rPr>
                <w:rFonts w:ascii="宋体" w:hAnsi="宋体" w:eastAsia="宋体"/>
                <w:b/>
                <w:kern w:val="0"/>
                <w:sz w:val="24"/>
                <w:szCs w:val="24"/>
                <w:lang w:val="zh-CN"/>
              </w:rPr>
            </w:pPr>
            <w:r>
              <w:rPr>
                <w:rFonts w:ascii="宋体" w:hAnsi="宋体" w:eastAsia="宋体"/>
                <w:b/>
                <w:kern w:val="0"/>
                <w:sz w:val="24"/>
                <w:szCs w:val="24"/>
                <w:lang w:val="zh-CN"/>
              </w:rPr>
              <w:t>项目名称</w:t>
            </w:r>
          </w:p>
        </w:tc>
        <w:tc>
          <w:tcPr>
            <w:tcW w:w="1251" w:type="pct"/>
            <w:noWrap w:val="0"/>
            <w:vAlign w:val="center"/>
          </w:tcPr>
          <w:p>
            <w:pPr>
              <w:autoSpaceDE w:val="0"/>
              <w:autoSpaceDN w:val="0"/>
              <w:spacing w:line="540" w:lineRule="exact"/>
              <w:jc w:val="center"/>
              <w:rPr>
                <w:rFonts w:ascii="宋体" w:hAnsi="宋体" w:eastAsia="宋体"/>
                <w:b/>
                <w:kern w:val="0"/>
                <w:sz w:val="24"/>
                <w:szCs w:val="24"/>
              </w:rPr>
            </w:pPr>
            <w:r>
              <w:rPr>
                <w:rFonts w:ascii="宋体" w:hAnsi="宋体" w:eastAsia="宋体"/>
                <w:b/>
                <w:kern w:val="0"/>
                <w:sz w:val="24"/>
                <w:szCs w:val="24"/>
              </w:rPr>
              <w:t>分项名称</w:t>
            </w:r>
          </w:p>
        </w:tc>
        <w:tc>
          <w:tcPr>
            <w:tcW w:w="598" w:type="pct"/>
            <w:noWrap w:val="0"/>
            <w:vAlign w:val="center"/>
          </w:tcPr>
          <w:p>
            <w:pPr>
              <w:autoSpaceDE w:val="0"/>
              <w:autoSpaceDN w:val="0"/>
              <w:spacing w:line="540" w:lineRule="exact"/>
              <w:jc w:val="center"/>
              <w:rPr>
                <w:rFonts w:ascii="宋体" w:hAnsi="宋体" w:eastAsia="宋体"/>
                <w:b/>
                <w:kern w:val="0"/>
                <w:sz w:val="24"/>
                <w:szCs w:val="24"/>
                <w:lang w:val="zh-CN"/>
              </w:rPr>
            </w:pPr>
            <w:r>
              <w:rPr>
                <w:rFonts w:ascii="宋体" w:hAnsi="宋体" w:eastAsia="宋体"/>
                <w:b/>
                <w:kern w:val="0"/>
                <w:sz w:val="24"/>
                <w:szCs w:val="24"/>
                <w:lang w:val="zh-CN"/>
              </w:rPr>
              <w:t>数量</w:t>
            </w:r>
          </w:p>
        </w:tc>
        <w:tc>
          <w:tcPr>
            <w:tcW w:w="472" w:type="pct"/>
            <w:noWrap w:val="0"/>
            <w:vAlign w:val="top"/>
          </w:tcPr>
          <w:p>
            <w:pPr>
              <w:autoSpaceDE w:val="0"/>
              <w:autoSpaceDN w:val="0"/>
              <w:spacing w:line="540" w:lineRule="exact"/>
              <w:jc w:val="center"/>
              <w:rPr>
                <w:rFonts w:ascii="宋体" w:hAnsi="宋体" w:eastAsia="宋体"/>
                <w:b/>
                <w:kern w:val="0"/>
                <w:sz w:val="24"/>
                <w:szCs w:val="24"/>
                <w:lang w:val="zh-CN"/>
              </w:rPr>
            </w:pPr>
            <w:r>
              <w:rPr>
                <w:rFonts w:ascii="宋体" w:hAnsi="宋体" w:eastAsia="宋体"/>
                <w:b/>
                <w:kern w:val="0"/>
                <w:sz w:val="24"/>
                <w:szCs w:val="24"/>
                <w:lang w:val="zh-CN"/>
              </w:rPr>
              <w:t>单位</w:t>
            </w:r>
          </w:p>
        </w:tc>
        <w:tc>
          <w:tcPr>
            <w:tcW w:w="1200" w:type="pct"/>
            <w:noWrap w:val="0"/>
            <w:vAlign w:val="center"/>
          </w:tcPr>
          <w:p>
            <w:pPr>
              <w:autoSpaceDE w:val="0"/>
              <w:autoSpaceDN w:val="0"/>
              <w:spacing w:line="540" w:lineRule="exact"/>
              <w:jc w:val="center"/>
              <w:rPr>
                <w:rFonts w:ascii="宋体" w:hAnsi="宋体" w:eastAsia="宋体"/>
                <w:b/>
                <w:kern w:val="0"/>
                <w:sz w:val="24"/>
                <w:szCs w:val="24"/>
                <w:lang w:val="zh-CN"/>
              </w:rPr>
            </w:pPr>
            <w:r>
              <w:rPr>
                <w:rFonts w:ascii="宋体" w:hAnsi="宋体" w:eastAsia="宋体"/>
                <w:b/>
                <w:kern w:val="0"/>
                <w:sz w:val="24"/>
                <w:szCs w:val="24"/>
                <w:lang w:val="zh-CN"/>
              </w:rPr>
              <w:t>单价（</w:t>
            </w:r>
            <w:r>
              <w:rPr>
                <w:rFonts w:ascii="宋体" w:hAnsi="宋体" w:eastAsia="宋体"/>
                <w:b/>
                <w:kern w:val="0"/>
                <w:sz w:val="24"/>
                <w:szCs w:val="24"/>
              </w:rPr>
              <w:t>元</w:t>
            </w:r>
            <w:r>
              <w:rPr>
                <w:rFonts w:ascii="宋体" w:hAnsi="宋体" w:eastAsia="宋体"/>
                <w:b/>
                <w:kern w:val="0"/>
                <w:sz w:val="24"/>
                <w:szCs w:val="24"/>
                <w:lang w:val="zh-CN"/>
              </w:rPr>
              <w:t>）</w:t>
            </w:r>
          </w:p>
        </w:tc>
        <w:tc>
          <w:tcPr>
            <w:tcW w:w="639" w:type="pct"/>
            <w:noWrap w:val="0"/>
            <w:vAlign w:val="center"/>
          </w:tcPr>
          <w:p>
            <w:pPr>
              <w:autoSpaceDE w:val="0"/>
              <w:autoSpaceDN w:val="0"/>
              <w:spacing w:line="540" w:lineRule="exact"/>
              <w:jc w:val="center"/>
              <w:rPr>
                <w:rFonts w:ascii="宋体" w:hAnsi="宋体" w:eastAsia="宋体"/>
                <w:b/>
                <w:kern w:val="0"/>
                <w:sz w:val="24"/>
                <w:szCs w:val="24"/>
                <w:lang w:val="zh-CN"/>
              </w:rPr>
            </w:pPr>
            <w:r>
              <w:rPr>
                <w:rFonts w:ascii="宋体" w:hAnsi="宋体" w:eastAsia="宋体"/>
                <w:b/>
                <w:kern w:val="0"/>
                <w:sz w:val="24"/>
                <w:szCs w:val="24"/>
                <w:lang w:val="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40" w:type="pct"/>
            <w:vMerge w:val="restart"/>
            <w:noWrap w:val="0"/>
            <w:vAlign w:val="center"/>
          </w:tcPr>
          <w:p>
            <w:pPr>
              <w:autoSpaceDE w:val="0"/>
              <w:autoSpaceDN w:val="0"/>
              <w:spacing w:line="540" w:lineRule="exact"/>
              <w:jc w:val="left"/>
              <w:rPr>
                <w:rFonts w:ascii="宋体" w:hAnsi="宋体" w:eastAsia="宋体"/>
                <w:kern w:val="0"/>
                <w:sz w:val="24"/>
                <w:szCs w:val="24"/>
              </w:rPr>
            </w:pPr>
            <w:r>
              <w:rPr>
                <w:rFonts w:ascii="宋体" w:hAnsi="宋体" w:eastAsia="宋体" w:cs="微软雅黑"/>
                <w:kern w:val="0"/>
                <w:sz w:val="24"/>
                <w:szCs w:val="24"/>
              </w:rPr>
              <w:t>河南省荣康医院电子病历一体化项目</w:t>
            </w:r>
          </w:p>
        </w:tc>
        <w:tc>
          <w:tcPr>
            <w:tcW w:w="1251" w:type="pct"/>
            <w:noWrap w:val="0"/>
            <w:vAlign w:val="center"/>
          </w:tcPr>
          <w:p>
            <w:pPr>
              <w:jc w:val="center"/>
              <w:rPr>
                <w:rFonts w:ascii="宋体" w:hAnsi="宋体" w:eastAsia="宋体"/>
                <w:sz w:val="24"/>
                <w:szCs w:val="24"/>
                <w:lang w:bidi="ar"/>
              </w:rPr>
            </w:pPr>
          </w:p>
        </w:tc>
        <w:tc>
          <w:tcPr>
            <w:tcW w:w="598" w:type="pct"/>
            <w:noWrap w:val="0"/>
            <w:vAlign w:val="center"/>
          </w:tcPr>
          <w:p>
            <w:pPr>
              <w:autoSpaceDE w:val="0"/>
              <w:autoSpaceDN w:val="0"/>
              <w:spacing w:line="540" w:lineRule="exact"/>
              <w:jc w:val="center"/>
              <w:rPr>
                <w:rFonts w:ascii="宋体" w:hAnsi="宋体" w:eastAsia="宋体"/>
                <w:kern w:val="0"/>
                <w:sz w:val="24"/>
                <w:szCs w:val="24"/>
              </w:rPr>
            </w:pPr>
          </w:p>
        </w:tc>
        <w:tc>
          <w:tcPr>
            <w:tcW w:w="472" w:type="pct"/>
            <w:noWrap w:val="0"/>
            <w:vAlign w:val="top"/>
          </w:tcPr>
          <w:p>
            <w:pPr>
              <w:autoSpaceDE w:val="0"/>
              <w:autoSpaceDN w:val="0"/>
              <w:spacing w:line="540" w:lineRule="exact"/>
              <w:jc w:val="center"/>
              <w:rPr>
                <w:rFonts w:ascii="宋体" w:hAnsi="宋体" w:eastAsia="宋体"/>
                <w:kern w:val="0"/>
                <w:sz w:val="24"/>
                <w:szCs w:val="24"/>
                <w:highlight w:val="yellow"/>
              </w:rPr>
            </w:pPr>
          </w:p>
        </w:tc>
        <w:tc>
          <w:tcPr>
            <w:tcW w:w="1200" w:type="pct"/>
            <w:noWrap w:val="0"/>
            <w:vAlign w:val="center"/>
          </w:tcPr>
          <w:p>
            <w:pPr>
              <w:autoSpaceDE w:val="0"/>
              <w:autoSpaceDN w:val="0"/>
              <w:spacing w:line="540" w:lineRule="exact"/>
              <w:jc w:val="center"/>
              <w:rPr>
                <w:rFonts w:ascii="宋体" w:hAnsi="宋体" w:eastAsia="宋体"/>
                <w:kern w:val="0"/>
                <w:sz w:val="24"/>
                <w:szCs w:val="24"/>
                <w:highlight w:val="yellow"/>
              </w:rPr>
            </w:pPr>
          </w:p>
        </w:tc>
        <w:tc>
          <w:tcPr>
            <w:tcW w:w="639" w:type="pct"/>
            <w:noWrap w:val="0"/>
            <w:vAlign w:val="center"/>
          </w:tcPr>
          <w:p>
            <w:pPr>
              <w:autoSpaceDE w:val="0"/>
              <w:autoSpaceDN w:val="0"/>
              <w:spacing w:line="540" w:lineRule="exact"/>
              <w:jc w:val="center"/>
              <w:rPr>
                <w:rFonts w:ascii="宋体" w:hAnsi="宋体" w:eastAsia="宋体"/>
                <w:kern w:val="0"/>
                <w:sz w:val="24"/>
                <w:szCs w:val="24"/>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0" w:type="pct"/>
            <w:vMerge w:val="continue"/>
            <w:noWrap w:val="0"/>
            <w:vAlign w:val="center"/>
          </w:tcPr>
          <w:p>
            <w:pPr>
              <w:autoSpaceDE w:val="0"/>
              <w:autoSpaceDN w:val="0"/>
              <w:spacing w:line="540" w:lineRule="exact"/>
              <w:jc w:val="left"/>
              <w:rPr>
                <w:rFonts w:ascii="宋体" w:hAnsi="宋体" w:eastAsia="宋体"/>
                <w:kern w:val="0"/>
                <w:sz w:val="24"/>
                <w:szCs w:val="24"/>
                <w:lang w:val="zh-CN"/>
              </w:rPr>
            </w:pPr>
          </w:p>
        </w:tc>
        <w:tc>
          <w:tcPr>
            <w:tcW w:w="1251" w:type="pct"/>
            <w:noWrap w:val="0"/>
            <w:vAlign w:val="center"/>
          </w:tcPr>
          <w:p>
            <w:pPr>
              <w:jc w:val="center"/>
              <w:rPr>
                <w:rFonts w:ascii="宋体" w:hAnsi="宋体" w:eastAsia="宋体"/>
                <w:sz w:val="24"/>
                <w:szCs w:val="24"/>
              </w:rPr>
            </w:pPr>
          </w:p>
        </w:tc>
        <w:tc>
          <w:tcPr>
            <w:tcW w:w="598" w:type="pct"/>
            <w:noWrap w:val="0"/>
            <w:vAlign w:val="center"/>
          </w:tcPr>
          <w:p>
            <w:pPr>
              <w:spacing w:line="540" w:lineRule="exact"/>
              <w:jc w:val="center"/>
              <w:rPr>
                <w:rFonts w:ascii="宋体" w:hAnsi="宋体" w:eastAsia="宋体"/>
                <w:sz w:val="24"/>
                <w:szCs w:val="24"/>
              </w:rPr>
            </w:pPr>
          </w:p>
        </w:tc>
        <w:tc>
          <w:tcPr>
            <w:tcW w:w="472" w:type="pct"/>
            <w:noWrap w:val="0"/>
            <w:vAlign w:val="top"/>
          </w:tcPr>
          <w:p>
            <w:pPr>
              <w:autoSpaceDE w:val="0"/>
              <w:autoSpaceDN w:val="0"/>
              <w:spacing w:line="540" w:lineRule="exact"/>
              <w:jc w:val="center"/>
              <w:rPr>
                <w:rFonts w:ascii="宋体" w:hAnsi="宋体" w:eastAsia="宋体"/>
                <w:kern w:val="0"/>
                <w:sz w:val="24"/>
                <w:szCs w:val="24"/>
                <w:highlight w:val="yellow"/>
              </w:rPr>
            </w:pPr>
          </w:p>
        </w:tc>
        <w:tc>
          <w:tcPr>
            <w:tcW w:w="1200" w:type="pct"/>
            <w:noWrap w:val="0"/>
            <w:vAlign w:val="center"/>
          </w:tcPr>
          <w:p>
            <w:pPr>
              <w:autoSpaceDE w:val="0"/>
              <w:autoSpaceDN w:val="0"/>
              <w:spacing w:line="540" w:lineRule="exact"/>
              <w:jc w:val="center"/>
              <w:rPr>
                <w:rFonts w:ascii="宋体" w:hAnsi="宋体" w:eastAsia="宋体"/>
                <w:kern w:val="0"/>
                <w:sz w:val="24"/>
                <w:szCs w:val="24"/>
                <w:highlight w:val="yellow"/>
              </w:rPr>
            </w:pPr>
          </w:p>
        </w:tc>
        <w:tc>
          <w:tcPr>
            <w:tcW w:w="639" w:type="pct"/>
            <w:noWrap w:val="0"/>
            <w:vAlign w:val="center"/>
          </w:tcPr>
          <w:p>
            <w:pPr>
              <w:autoSpaceDE w:val="0"/>
              <w:autoSpaceDN w:val="0"/>
              <w:spacing w:line="540" w:lineRule="exact"/>
              <w:jc w:val="center"/>
              <w:rPr>
                <w:rFonts w:ascii="宋体" w:hAnsi="宋体" w:eastAsia="宋体"/>
                <w:kern w:val="0"/>
                <w:sz w:val="24"/>
                <w:szCs w:val="24"/>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840" w:type="pct"/>
            <w:vMerge w:val="continue"/>
            <w:noWrap w:val="0"/>
            <w:vAlign w:val="center"/>
          </w:tcPr>
          <w:p>
            <w:pPr>
              <w:autoSpaceDE w:val="0"/>
              <w:autoSpaceDN w:val="0"/>
              <w:spacing w:line="540" w:lineRule="exact"/>
              <w:jc w:val="left"/>
              <w:rPr>
                <w:rFonts w:ascii="宋体" w:hAnsi="宋体" w:eastAsia="宋体"/>
                <w:kern w:val="0"/>
                <w:sz w:val="24"/>
                <w:szCs w:val="24"/>
                <w:lang w:val="zh-CN"/>
              </w:rPr>
            </w:pPr>
          </w:p>
        </w:tc>
        <w:tc>
          <w:tcPr>
            <w:tcW w:w="1251" w:type="pct"/>
            <w:noWrap w:val="0"/>
            <w:vAlign w:val="center"/>
          </w:tcPr>
          <w:p>
            <w:pPr>
              <w:jc w:val="center"/>
              <w:rPr>
                <w:rFonts w:ascii="宋体" w:hAnsi="宋体" w:eastAsia="宋体" w:cs="宋体"/>
                <w:kern w:val="0"/>
                <w:sz w:val="24"/>
                <w:szCs w:val="24"/>
                <w:lang w:bidi="ar"/>
              </w:rPr>
            </w:pPr>
          </w:p>
        </w:tc>
        <w:tc>
          <w:tcPr>
            <w:tcW w:w="598" w:type="pct"/>
            <w:noWrap w:val="0"/>
            <w:vAlign w:val="center"/>
          </w:tcPr>
          <w:p>
            <w:pPr>
              <w:spacing w:line="540" w:lineRule="exact"/>
              <w:jc w:val="center"/>
              <w:rPr>
                <w:rFonts w:ascii="宋体" w:hAnsi="宋体" w:eastAsia="宋体"/>
                <w:sz w:val="24"/>
                <w:szCs w:val="24"/>
              </w:rPr>
            </w:pPr>
          </w:p>
        </w:tc>
        <w:tc>
          <w:tcPr>
            <w:tcW w:w="472" w:type="pct"/>
            <w:noWrap w:val="0"/>
            <w:vAlign w:val="top"/>
          </w:tcPr>
          <w:p>
            <w:pPr>
              <w:autoSpaceDE w:val="0"/>
              <w:autoSpaceDN w:val="0"/>
              <w:spacing w:line="540" w:lineRule="exact"/>
              <w:jc w:val="center"/>
              <w:rPr>
                <w:rFonts w:ascii="宋体" w:hAnsi="宋体" w:eastAsia="宋体"/>
                <w:kern w:val="0"/>
                <w:sz w:val="24"/>
                <w:szCs w:val="24"/>
                <w:highlight w:val="yellow"/>
                <w:lang w:val="zh-CN"/>
              </w:rPr>
            </w:pPr>
          </w:p>
        </w:tc>
        <w:tc>
          <w:tcPr>
            <w:tcW w:w="1200" w:type="pct"/>
            <w:noWrap w:val="0"/>
            <w:vAlign w:val="center"/>
          </w:tcPr>
          <w:p>
            <w:pPr>
              <w:autoSpaceDE w:val="0"/>
              <w:autoSpaceDN w:val="0"/>
              <w:spacing w:line="540" w:lineRule="exact"/>
              <w:jc w:val="center"/>
              <w:rPr>
                <w:rFonts w:ascii="宋体" w:hAnsi="宋体" w:eastAsia="宋体"/>
                <w:kern w:val="0"/>
                <w:sz w:val="24"/>
                <w:szCs w:val="24"/>
                <w:highlight w:val="yellow"/>
                <w:lang w:val="zh-CN"/>
              </w:rPr>
            </w:pPr>
          </w:p>
        </w:tc>
        <w:tc>
          <w:tcPr>
            <w:tcW w:w="639" w:type="pct"/>
            <w:noWrap w:val="0"/>
            <w:vAlign w:val="center"/>
          </w:tcPr>
          <w:p>
            <w:pPr>
              <w:autoSpaceDE w:val="0"/>
              <w:autoSpaceDN w:val="0"/>
              <w:spacing w:line="540" w:lineRule="exact"/>
              <w:jc w:val="center"/>
              <w:rPr>
                <w:rFonts w:ascii="宋体" w:hAnsi="宋体" w:eastAsia="宋体"/>
                <w:kern w:val="0"/>
                <w:sz w:val="24"/>
                <w:szCs w:val="24"/>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40" w:type="pct"/>
            <w:vMerge w:val="continue"/>
            <w:noWrap w:val="0"/>
            <w:vAlign w:val="center"/>
          </w:tcPr>
          <w:p>
            <w:pPr>
              <w:autoSpaceDE w:val="0"/>
              <w:autoSpaceDN w:val="0"/>
              <w:spacing w:line="540" w:lineRule="exact"/>
              <w:jc w:val="left"/>
              <w:rPr>
                <w:rFonts w:ascii="宋体" w:hAnsi="宋体" w:eastAsia="宋体"/>
                <w:kern w:val="0"/>
                <w:sz w:val="24"/>
                <w:szCs w:val="24"/>
                <w:lang w:val="zh-CN"/>
              </w:rPr>
            </w:pPr>
          </w:p>
        </w:tc>
        <w:tc>
          <w:tcPr>
            <w:tcW w:w="1251" w:type="pct"/>
            <w:noWrap w:val="0"/>
            <w:vAlign w:val="center"/>
          </w:tcPr>
          <w:p>
            <w:pPr>
              <w:jc w:val="center"/>
              <w:rPr>
                <w:rFonts w:ascii="宋体" w:hAnsi="宋体" w:eastAsia="宋体"/>
                <w:sz w:val="24"/>
                <w:szCs w:val="24"/>
              </w:rPr>
            </w:pPr>
          </w:p>
        </w:tc>
        <w:tc>
          <w:tcPr>
            <w:tcW w:w="598" w:type="pct"/>
            <w:noWrap w:val="0"/>
            <w:vAlign w:val="center"/>
          </w:tcPr>
          <w:p>
            <w:pPr>
              <w:spacing w:line="540" w:lineRule="exact"/>
              <w:jc w:val="center"/>
              <w:rPr>
                <w:rFonts w:ascii="宋体" w:hAnsi="宋体" w:eastAsia="宋体"/>
                <w:kern w:val="0"/>
                <w:sz w:val="24"/>
                <w:szCs w:val="24"/>
              </w:rPr>
            </w:pPr>
          </w:p>
        </w:tc>
        <w:tc>
          <w:tcPr>
            <w:tcW w:w="472" w:type="pct"/>
            <w:noWrap w:val="0"/>
            <w:vAlign w:val="top"/>
          </w:tcPr>
          <w:p>
            <w:pPr>
              <w:autoSpaceDE w:val="0"/>
              <w:autoSpaceDN w:val="0"/>
              <w:spacing w:line="540" w:lineRule="exact"/>
              <w:jc w:val="center"/>
              <w:rPr>
                <w:rFonts w:ascii="宋体" w:hAnsi="宋体" w:eastAsia="宋体"/>
                <w:kern w:val="0"/>
                <w:sz w:val="24"/>
                <w:szCs w:val="24"/>
              </w:rPr>
            </w:pPr>
          </w:p>
        </w:tc>
        <w:tc>
          <w:tcPr>
            <w:tcW w:w="1200" w:type="pct"/>
            <w:noWrap w:val="0"/>
            <w:vAlign w:val="center"/>
          </w:tcPr>
          <w:p>
            <w:pPr>
              <w:autoSpaceDE w:val="0"/>
              <w:autoSpaceDN w:val="0"/>
              <w:spacing w:line="540" w:lineRule="exact"/>
              <w:jc w:val="center"/>
              <w:rPr>
                <w:rFonts w:ascii="宋体" w:hAnsi="宋体" w:eastAsia="宋体"/>
                <w:kern w:val="0"/>
                <w:sz w:val="24"/>
                <w:szCs w:val="24"/>
              </w:rPr>
            </w:pPr>
          </w:p>
        </w:tc>
        <w:tc>
          <w:tcPr>
            <w:tcW w:w="639" w:type="pct"/>
            <w:noWrap w:val="0"/>
            <w:vAlign w:val="center"/>
          </w:tcPr>
          <w:p>
            <w:pPr>
              <w:autoSpaceDE w:val="0"/>
              <w:autoSpaceDN w:val="0"/>
              <w:spacing w:line="540" w:lineRule="exact"/>
              <w:jc w:val="center"/>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40" w:type="pct"/>
            <w:vMerge w:val="continue"/>
            <w:noWrap w:val="0"/>
            <w:vAlign w:val="center"/>
          </w:tcPr>
          <w:p>
            <w:pPr>
              <w:autoSpaceDE w:val="0"/>
              <w:autoSpaceDN w:val="0"/>
              <w:spacing w:line="540" w:lineRule="exact"/>
              <w:jc w:val="left"/>
              <w:rPr>
                <w:rFonts w:ascii="宋体" w:hAnsi="宋体" w:eastAsia="宋体"/>
                <w:kern w:val="0"/>
                <w:sz w:val="24"/>
                <w:szCs w:val="24"/>
                <w:lang w:val="zh-CN"/>
              </w:rPr>
            </w:pPr>
          </w:p>
        </w:tc>
        <w:tc>
          <w:tcPr>
            <w:tcW w:w="1251" w:type="pct"/>
            <w:noWrap w:val="0"/>
            <w:vAlign w:val="center"/>
          </w:tcPr>
          <w:p>
            <w:pPr>
              <w:spacing w:line="540" w:lineRule="exact"/>
              <w:rPr>
                <w:rFonts w:ascii="宋体" w:hAnsi="宋体" w:eastAsia="宋体"/>
                <w:kern w:val="0"/>
                <w:sz w:val="24"/>
                <w:szCs w:val="24"/>
                <w:lang w:bidi="ar"/>
              </w:rPr>
            </w:pPr>
          </w:p>
        </w:tc>
        <w:tc>
          <w:tcPr>
            <w:tcW w:w="598" w:type="pct"/>
            <w:noWrap w:val="0"/>
            <w:vAlign w:val="center"/>
          </w:tcPr>
          <w:p>
            <w:pPr>
              <w:spacing w:line="540" w:lineRule="exact"/>
              <w:jc w:val="center"/>
              <w:rPr>
                <w:rFonts w:ascii="宋体" w:hAnsi="宋体" w:eastAsia="宋体"/>
                <w:kern w:val="0"/>
                <w:sz w:val="24"/>
                <w:szCs w:val="24"/>
              </w:rPr>
            </w:pPr>
          </w:p>
        </w:tc>
        <w:tc>
          <w:tcPr>
            <w:tcW w:w="472" w:type="pct"/>
            <w:noWrap w:val="0"/>
            <w:vAlign w:val="top"/>
          </w:tcPr>
          <w:p>
            <w:pPr>
              <w:autoSpaceDE w:val="0"/>
              <w:autoSpaceDN w:val="0"/>
              <w:spacing w:line="540" w:lineRule="exact"/>
              <w:jc w:val="center"/>
              <w:rPr>
                <w:rFonts w:ascii="宋体" w:hAnsi="宋体" w:eastAsia="宋体"/>
                <w:kern w:val="0"/>
                <w:sz w:val="24"/>
                <w:szCs w:val="24"/>
              </w:rPr>
            </w:pPr>
          </w:p>
        </w:tc>
        <w:tc>
          <w:tcPr>
            <w:tcW w:w="1200" w:type="pct"/>
            <w:noWrap w:val="0"/>
            <w:vAlign w:val="center"/>
          </w:tcPr>
          <w:p>
            <w:pPr>
              <w:autoSpaceDE w:val="0"/>
              <w:autoSpaceDN w:val="0"/>
              <w:spacing w:line="540" w:lineRule="exact"/>
              <w:jc w:val="center"/>
              <w:rPr>
                <w:rFonts w:ascii="宋体" w:hAnsi="宋体" w:eastAsia="宋体"/>
                <w:kern w:val="0"/>
                <w:sz w:val="24"/>
                <w:szCs w:val="24"/>
              </w:rPr>
            </w:pPr>
          </w:p>
        </w:tc>
        <w:tc>
          <w:tcPr>
            <w:tcW w:w="639" w:type="pct"/>
            <w:noWrap w:val="0"/>
            <w:vAlign w:val="center"/>
          </w:tcPr>
          <w:p>
            <w:pPr>
              <w:autoSpaceDE w:val="0"/>
              <w:autoSpaceDN w:val="0"/>
              <w:spacing w:line="540" w:lineRule="exact"/>
              <w:jc w:val="center"/>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000" w:type="pct"/>
            <w:gridSpan w:val="6"/>
            <w:noWrap w:val="0"/>
            <w:vAlign w:val="top"/>
          </w:tcPr>
          <w:p>
            <w:pPr>
              <w:autoSpaceDE w:val="0"/>
              <w:autoSpaceDN w:val="0"/>
              <w:spacing w:line="540" w:lineRule="exact"/>
              <w:jc w:val="left"/>
              <w:rPr>
                <w:rFonts w:ascii="宋体" w:hAnsi="宋体" w:eastAsia="宋体"/>
                <w:kern w:val="0"/>
                <w:sz w:val="24"/>
                <w:szCs w:val="24"/>
                <w:lang w:val="zh-CN"/>
              </w:rPr>
            </w:pPr>
            <w:r>
              <w:rPr>
                <w:rFonts w:ascii="宋体" w:hAnsi="宋体" w:eastAsia="宋体"/>
                <w:kern w:val="0"/>
                <w:sz w:val="24"/>
                <w:szCs w:val="24"/>
                <w:lang w:val="zh-CN"/>
              </w:rPr>
              <w:t>合同总价款（含税）大写：人民币</w:t>
            </w:r>
            <w:r>
              <w:rPr>
                <w:rFonts w:ascii="宋体" w:hAnsi="宋体" w:eastAsia="宋体"/>
                <w:kern w:val="0"/>
                <w:sz w:val="24"/>
                <w:szCs w:val="24"/>
                <w:u w:val="single"/>
              </w:rPr>
              <w:t xml:space="preserve">       </w:t>
            </w:r>
            <w:r>
              <w:rPr>
                <w:rFonts w:ascii="宋体" w:hAnsi="宋体" w:eastAsia="宋体"/>
                <w:kern w:val="0"/>
                <w:sz w:val="24"/>
                <w:szCs w:val="24"/>
              </w:rPr>
              <w:t>元整</w:t>
            </w:r>
            <w:r>
              <w:rPr>
                <w:rFonts w:ascii="宋体" w:hAnsi="宋体" w:eastAsia="宋体"/>
                <w:kern w:val="0"/>
                <w:sz w:val="24"/>
                <w:szCs w:val="24"/>
                <w:lang w:val="zh-CN"/>
              </w:rPr>
              <w:t>（小写：￥</w:t>
            </w:r>
            <w:r>
              <w:rPr>
                <w:rFonts w:ascii="宋体" w:hAnsi="宋体" w:eastAsia="宋体"/>
                <w:kern w:val="0"/>
                <w:sz w:val="24"/>
                <w:szCs w:val="24"/>
              </w:rPr>
              <w:t xml:space="preserve"> </w:t>
            </w:r>
            <w:r>
              <w:rPr>
                <w:rFonts w:ascii="宋体" w:hAnsi="宋体" w:eastAsia="宋体"/>
                <w:kern w:val="0"/>
                <w:sz w:val="24"/>
                <w:szCs w:val="24"/>
                <w:u w:val="single"/>
              </w:rPr>
              <w:t xml:space="preserve">     </w:t>
            </w:r>
            <w:r>
              <w:rPr>
                <w:rFonts w:ascii="宋体" w:hAnsi="宋体" w:eastAsia="宋体"/>
                <w:kern w:val="0"/>
                <w:sz w:val="24"/>
                <w:szCs w:val="24"/>
                <w:lang w:val="zh-CN"/>
              </w:rPr>
              <w:t>元）</w:t>
            </w:r>
          </w:p>
          <w:p>
            <w:pPr>
              <w:autoSpaceDE w:val="0"/>
              <w:autoSpaceDN w:val="0"/>
              <w:spacing w:line="540" w:lineRule="exact"/>
              <w:jc w:val="left"/>
              <w:rPr>
                <w:rFonts w:ascii="宋体" w:hAnsi="宋体" w:eastAsia="宋体"/>
                <w:kern w:val="0"/>
                <w:sz w:val="24"/>
                <w:szCs w:val="24"/>
                <w:lang w:val="zh-CN"/>
              </w:rPr>
            </w:pPr>
            <w:r>
              <w:rPr>
                <w:rFonts w:ascii="宋体" w:hAnsi="宋体" w:eastAsia="宋体"/>
                <w:sz w:val="24"/>
                <w:szCs w:val="24"/>
                <w:lang w:val="zh-CN"/>
              </w:rPr>
              <w:t>合同总价款（不含税）</w:t>
            </w:r>
            <w:r>
              <w:rPr>
                <w:rFonts w:ascii="宋体" w:hAnsi="宋体" w:eastAsia="宋体"/>
                <w:kern w:val="0"/>
                <w:sz w:val="24"/>
                <w:szCs w:val="24"/>
                <w:lang w:val="zh-CN"/>
              </w:rPr>
              <w:t>人民币</w:t>
            </w:r>
            <w:r>
              <w:rPr>
                <w:rFonts w:ascii="宋体" w:hAnsi="宋体" w:eastAsia="宋体"/>
                <w:kern w:val="0"/>
                <w:sz w:val="24"/>
                <w:szCs w:val="24"/>
                <w:u w:val="single"/>
              </w:rPr>
              <w:t xml:space="preserve">       </w:t>
            </w:r>
            <w:r>
              <w:rPr>
                <w:rFonts w:ascii="宋体" w:hAnsi="宋体" w:eastAsia="宋体"/>
                <w:kern w:val="0"/>
                <w:sz w:val="24"/>
                <w:szCs w:val="24"/>
              </w:rPr>
              <w:t>元整</w:t>
            </w:r>
            <w:r>
              <w:rPr>
                <w:rFonts w:ascii="宋体" w:hAnsi="宋体" w:eastAsia="宋体"/>
                <w:kern w:val="0"/>
                <w:sz w:val="24"/>
                <w:szCs w:val="24"/>
                <w:lang w:val="zh-CN"/>
              </w:rPr>
              <w:t>（小写：￥</w:t>
            </w:r>
            <w:r>
              <w:rPr>
                <w:rFonts w:ascii="宋体" w:hAnsi="宋体" w:eastAsia="宋体"/>
                <w:kern w:val="0"/>
                <w:sz w:val="24"/>
                <w:szCs w:val="24"/>
              </w:rPr>
              <w:t xml:space="preserve"> </w:t>
            </w:r>
            <w:r>
              <w:rPr>
                <w:rFonts w:ascii="宋体" w:hAnsi="宋体" w:eastAsia="宋体"/>
                <w:kern w:val="0"/>
                <w:sz w:val="24"/>
                <w:szCs w:val="24"/>
                <w:u w:val="single"/>
              </w:rPr>
              <w:t xml:space="preserve">     </w:t>
            </w:r>
            <w:r>
              <w:rPr>
                <w:rFonts w:ascii="宋体" w:hAnsi="宋体" w:eastAsia="宋体"/>
                <w:kern w:val="0"/>
                <w:sz w:val="24"/>
                <w:szCs w:val="24"/>
                <w:lang w:val="zh-CN"/>
              </w:rPr>
              <w:t>元）</w:t>
            </w:r>
          </w:p>
        </w:tc>
      </w:tr>
    </w:tbl>
    <w:p>
      <w:pPr>
        <w:spacing w:line="540" w:lineRule="exact"/>
        <w:ind w:firstLine="482"/>
        <w:rPr>
          <w:rFonts w:ascii="宋体" w:hAnsi="宋体" w:eastAsia="宋体"/>
          <w:b/>
          <w:sz w:val="24"/>
          <w:szCs w:val="24"/>
          <w:lang w:val="zh-CN"/>
        </w:rPr>
      </w:pPr>
      <w:bookmarkStart w:id="688" w:name="_Toc11424924"/>
      <w:bookmarkStart w:id="689" w:name="_Toc502922522"/>
      <w:r>
        <w:rPr>
          <w:rFonts w:ascii="宋体" w:hAnsi="宋体" w:eastAsia="宋体"/>
          <w:b/>
          <w:sz w:val="24"/>
          <w:szCs w:val="24"/>
          <w:lang w:val="zh-CN"/>
        </w:rPr>
        <w:t>二、技术资料</w:t>
      </w:r>
      <w:bookmarkEnd w:id="688"/>
      <w:bookmarkEnd w:id="689"/>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1、乙方应按本合同规定向甲方提供本项目有关技术资料。</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2、没有甲方事先书面同意，乙方不得将由甲方提供的有关合同或任何合同条文、规格、计划或资料提供给与履行本合同无关的任何其他人。即使向乙方履行本合同有关的人员提供，也应注意保密并限于履行合同的必需范围，该类人员需签署书面保密协议。</w:t>
      </w:r>
    </w:p>
    <w:p>
      <w:pPr>
        <w:spacing w:line="540" w:lineRule="exact"/>
        <w:ind w:firstLine="482"/>
        <w:rPr>
          <w:rFonts w:ascii="宋体" w:hAnsi="宋体" w:eastAsia="宋体"/>
          <w:b/>
          <w:sz w:val="24"/>
          <w:szCs w:val="24"/>
          <w:lang w:val="zh-CN"/>
        </w:rPr>
      </w:pPr>
      <w:bookmarkStart w:id="690" w:name="_Toc502922523"/>
      <w:bookmarkStart w:id="691" w:name="_Toc11424925"/>
      <w:r>
        <w:rPr>
          <w:rFonts w:ascii="宋体" w:hAnsi="宋体" w:eastAsia="宋体"/>
          <w:b/>
          <w:sz w:val="24"/>
          <w:szCs w:val="24"/>
          <w:lang w:val="zh-CN"/>
        </w:rPr>
        <w:t>三、知识产权</w:t>
      </w:r>
      <w:bookmarkEnd w:id="690"/>
      <w:r>
        <w:rPr>
          <w:rFonts w:ascii="宋体" w:hAnsi="宋体" w:eastAsia="宋体"/>
          <w:b/>
          <w:sz w:val="24"/>
          <w:szCs w:val="24"/>
          <w:lang w:val="zh-CN"/>
        </w:rPr>
        <w:t>、专利和技术成果</w:t>
      </w:r>
      <w:bookmarkEnd w:id="691"/>
    </w:p>
    <w:p>
      <w:pPr>
        <w:widowControl w:val="0"/>
        <w:numPr>
          <w:ilvl w:val="0"/>
          <w:numId w:val="25"/>
        </w:numPr>
        <w:spacing w:line="540" w:lineRule="exact"/>
        <w:ind w:left="0" w:firstLine="567"/>
        <w:rPr>
          <w:rFonts w:ascii="宋体" w:hAnsi="宋体" w:eastAsia="宋体"/>
          <w:bCs/>
          <w:sz w:val="24"/>
          <w:szCs w:val="24"/>
          <w:lang w:val="zh-CN"/>
        </w:rPr>
      </w:pPr>
      <w:r>
        <w:rPr>
          <w:rFonts w:ascii="宋体" w:hAnsi="宋体" w:eastAsia="宋体"/>
          <w:bCs/>
          <w:sz w:val="24"/>
          <w:szCs w:val="24"/>
          <w:lang w:val="zh-CN"/>
        </w:rPr>
        <w:t>本合同签订实施之前已产生的技术资料等知识产权仍归双方各自所有。</w:t>
      </w:r>
    </w:p>
    <w:p>
      <w:pPr>
        <w:widowControl w:val="0"/>
        <w:numPr>
          <w:ilvl w:val="0"/>
          <w:numId w:val="25"/>
        </w:numPr>
        <w:spacing w:line="540" w:lineRule="exact"/>
        <w:ind w:left="0" w:firstLine="567"/>
        <w:rPr>
          <w:rFonts w:ascii="宋体" w:hAnsi="宋体" w:eastAsia="宋体"/>
          <w:bCs/>
          <w:sz w:val="24"/>
          <w:szCs w:val="24"/>
          <w:lang w:val="zh-CN"/>
        </w:rPr>
      </w:pPr>
      <w:r>
        <w:rPr>
          <w:rFonts w:ascii="宋体" w:hAnsi="宋体" w:eastAsia="宋体"/>
          <w:bCs/>
          <w:sz w:val="24"/>
          <w:szCs w:val="24"/>
          <w:lang w:val="zh-CN"/>
        </w:rPr>
        <w:t>根据本合同产生的全部技术成果（包括但不限于</w:t>
      </w:r>
      <w:r>
        <w:rPr>
          <w:rFonts w:ascii="宋体" w:hAnsi="宋体" w:eastAsia="宋体"/>
          <w:bCs/>
          <w:sz w:val="24"/>
          <w:szCs w:val="24"/>
        </w:rPr>
        <w:t>定制化开发软件、</w:t>
      </w:r>
      <w:r>
        <w:rPr>
          <w:rFonts w:ascii="宋体" w:hAnsi="宋体" w:eastAsia="宋体"/>
          <w:bCs/>
          <w:sz w:val="24"/>
          <w:szCs w:val="24"/>
          <w:lang w:val="zh-CN"/>
        </w:rPr>
        <w:t>项目交付作品和以此为基础研发出的其他技术成果）的知识产权归甲方所有。上述知识产权及相关权利主要包括但不限于专利申请权、版权、著作权、研究成果署名权、奖项申报申请权、获得报酬权、非专利技术所有权、商誉等，产生的全部技术成果按以下条款处理：</w:t>
      </w:r>
    </w:p>
    <w:p>
      <w:pPr>
        <w:spacing w:line="540" w:lineRule="exact"/>
        <w:ind w:firstLine="480"/>
        <w:rPr>
          <w:rFonts w:ascii="宋体" w:hAnsi="宋体" w:eastAsia="宋体"/>
          <w:bCs/>
          <w:sz w:val="24"/>
          <w:szCs w:val="24"/>
          <w:lang w:val="zh-CN"/>
        </w:rPr>
      </w:pPr>
      <w:r>
        <w:rPr>
          <w:rFonts w:ascii="宋体" w:hAnsi="宋体" w:eastAsia="宋体"/>
          <w:bCs/>
          <w:sz w:val="24"/>
          <w:szCs w:val="24"/>
        </w:rPr>
        <w:t>1、</w:t>
      </w:r>
      <w:r>
        <w:rPr>
          <w:rFonts w:ascii="宋体" w:hAnsi="宋体" w:eastAsia="宋体"/>
          <w:bCs/>
          <w:sz w:val="24"/>
          <w:szCs w:val="24"/>
          <w:lang w:val="zh-CN"/>
        </w:rPr>
        <w:t>乙方应保证所提供的全部软件产品、服务或其任何一部分均不会侵犯</w:t>
      </w:r>
      <w:r>
        <w:rPr>
          <w:rFonts w:ascii="宋体" w:hAnsi="宋体" w:eastAsia="宋体"/>
          <w:bCs/>
          <w:sz w:val="24"/>
          <w:szCs w:val="24"/>
        </w:rPr>
        <w:t>任</w:t>
      </w:r>
      <w:r>
        <w:rPr>
          <w:rFonts w:ascii="宋体" w:hAnsi="宋体" w:eastAsia="宋体"/>
          <w:bCs/>
          <w:sz w:val="24"/>
          <w:szCs w:val="24"/>
          <w:lang w:val="zh-CN"/>
        </w:rPr>
        <w:t>何第三方的知识产权。</w:t>
      </w:r>
    </w:p>
    <w:p>
      <w:pPr>
        <w:spacing w:line="540" w:lineRule="exact"/>
        <w:ind w:firstLine="480"/>
        <w:rPr>
          <w:rFonts w:ascii="宋体" w:hAnsi="宋体" w:eastAsia="宋体"/>
          <w:bCs/>
          <w:sz w:val="24"/>
          <w:szCs w:val="24"/>
          <w:lang w:val="zh-CN"/>
        </w:rPr>
      </w:pPr>
      <w:r>
        <w:rPr>
          <w:rFonts w:ascii="宋体" w:hAnsi="宋体" w:eastAsia="宋体"/>
          <w:bCs/>
          <w:sz w:val="24"/>
          <w:szCs w:val="24"/>
        </w:rPr>
        <w:t>2、</w:t>
      </w:r>
      <w:r>
        <w:rPr>
          <w:rFonts w:ascii="宋体" w:hAnsi="宋体" w:eastAsia="宋体"/>
          <w:bCs/>
          <w:sz w:val="24"/>
          <w:szCs w:val="24"/>
          <w:lang w:val="zh-CN"/>
        </w:rPr>
        <w:t>甲方拥有本项目开发成果的知识产权，</w:t>
      </w:r>
      <w:r>
        <w:rPr>
          <w:rFonts w:ascii="宋体" w:hAnsi="宋体" w:eastAsia="宋体"/>
          <w:bCs/>
          <w:sz w:val="24"/>
          <w:szCs w:val="24"/>
          <w:lang w:val="zh-CN" w:eastAsia="zh-Hans"/>
        </w:rPr>
        <w:t>但</w:t>
      </w:r>
      <w:r>
        <w:rPr>
          <w:rFonts w:ascii="宋体" w:hAnsi="宋体" w:eastAsia="宋体"/>
          <w:bCs/>
          <w:sz w:val="24"/>
          <w:szCs w:val="24"/>
          <w:lang w:val="zh-CN"/>
        </w:rPr>
        <w:t>仅限于本项目且甲方不得进行其它版本的复制，不得披露乙方技术。</w:t>
      </w:r>
    </w:p>
    <w:p>
      <w:pPr>
        <w:spacing w:line="540" w:lineRule="exact"/>
        <w:ind w:firstLine="480"/>
        <w:rPr>
          <w:rFonts w:ascii="宋体" w:hAnsi="宋体" w:eastAsia="宋体"/>
          <w:bCs/>
          <w:sz w:val="24"/>
          <w:szCs w:val="24"/>
          <w:lang w:val="zh-CN"/>
        </w:rPr>
      </w:pPr>
      <w:r>
        <w:rPr>
          <w:rFonts w:ascii="宋体" w:hAnsi="宋体" w:eastAsia="宋体"/>
          <w:bCs/>
          <w:sz w:val="24"/>
          <w:szCs w:val="24"/>
        </w:rPr>
        <w:t>3、</w:t>
      </w:r>
      <w:r>
        <w:rPr>
          <w:rFonts w:ascii="宋体" w:hAnsi="宋体" w:eastAsia="宋体"/>
          <w:bCs/>
          <w:sz w:val="24"/>
          <w:szCs w:val="24"/>
          <w:lang w:val="zh-CN"/>
        </w:rPr>
        <w:t>在本项目实施过程中，甲方利用乙方提交的技术服务工作成果所完成的新的定制技术开发成果，归甲方所有。</w:t>
      </w:r>
    </w:p>
    <w:p>
      <w:pPr>
        <w:spacing w:line="540" w:lineRule="exact"/>
        <w:ind w:firstLine="480"/>
        <w:rPr>
          <w:rFonts w:ascii="宋体" w:hAnsi="宋体" w:eastAsia="宋体"/>
          <w:bCs/>
          <w:sz w:val="24"/>
          <w:szCs w:val="24"/>
        </w:rPr>
      </w:pPr>
      <w:r>
        <w:rPr>
          <w:rFonts w:ascii="宋体" w:hAnsi="宋体" w:eastAsia="宋体"/>
          <w:bCs/>
          <w:sz w:val="24"/>
          <w:szCs w:val="24"/>
        </w:rPr>
        <w:t>4</w:t>
      </w:r>
      <w:r>
        <w:rPr>
          <w:rFonts w:ascii="宋体" w:hAnsi="宋体" w:eastAsia="宋体" w:cs="微软雅黑"/>
          <w:bCs/>
          <w:sz w:val="24"/>
          <w:szCs w:val="24"/>
        </w:rPr>
        <w:t>、</w:t>
      </w:r>
      <w:r>
        <w:rPr>
          <w:rFonts w:ascii="宋体" w:hAnsi="宋体" w:eastAsia="宋体" w:cs="微软雅黑"/>
          <w:bCs/>
          <w:sz w:val="24"/>
          <w:szCs w:val="24"/>
          <w:lang w:val="zh-CN"/>
        </w:rPr>
        <w:t>乙方应按本合同约定或甲方调整后指定的地点、方式、数量向甲方交付本合同的履行成果。</w:t>
      </w:r>
    </w:p>
    <w:p>
      <w:pPr>
        <w:spacing w:line="540" w:lineRule="exact"/>
        <w:ind w:firstLine="482"/>
        <w:rPr>
          <w:rFonts w:ascii="宋体" w:hAnsi="宋体" w:eastAsia="宋体"/>
          <w:b/>
          <w:sz w:val="24"/>
          <w:szCs w:val="24"/>
          <w:lang w:val="zh-CN"/>
        </w:rPr>
      </w:pPr>
      <w:r>
        <w:rPr>
          <w:rFonts w:ascii="宋体" w:hAnsi="宋体" w:eastAsia="宋体" w:cs="微软雅黑"/>
          <w:b/>
          <w:sz w:val="24"/>
          <w:szCs w:val="24"/>
        </w:rPr>
        <w:t>四</w:t>
      </w:r>
      <w:r>
        <w:rPr>
          <w:rFonts w:ascii="宋体" w:hAnsi="宋体" w:eastAsia="宋体"/>
          <w:b/>
          <w:sz w:val="24"/>
          <w:szCs w:val="24"/>
        </w:rPr>
        <w:t>、</w:t>
      </w:r>
      <w:r>
        <w:rPr>
          <w:rFonts w:ascii="宋体" w:hAnsi="宋体" w:eastAsia="宋体"/>
          <w:b/>
          <w:sz w:val="24"/>
          <w:szCs w:val="24"/>
          <w:lang w:val="zh-CN"/>
        </w:rPr>
        <w:t xml:space="preserve"> 双方权利、义务</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（一）甲方的权利和义务</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1、甲方有对本合同的项目进度、服务质量等情况进行监督、检查的权利，并要求乙方按照监督检查情况制定相应措施并加以整改。甲方不因行使该监督和检查权而承担任何责任，也不因此减轻或免除乙方根据本合同约定或相关法律法规规定应承担的任何义务或责任。</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2、甲方</w:t>
      </w:r>
      <w:r>
        <w:rPr>
          <w:rFonts w:ascii="宋体" w:hAnsi="宋体" w:eastAsia="宋体" w:cs="微软雅黑"/>
          <w:bCs/>
          <w:sz w:val="24"/>
          <w:szCs w:val="24"/>
          <w:lang w:val="zh-CN"/>
        </w:rPr>
        <w:t>有权根据自身需求向乙方提出建设方案的具体要求</w:t>
      </w:r>
      <w:r>
        <w:rPr>
          <w:rFonts w:ascii="宋体" w:hAnsi="宋体" w:eastAsia="宋体" w:cs="微软雅黑"/>
          <w:bCs/>
          <w:sz w:val="24"/>
          <w:szCs w:val="24"/>
          <w:lang w:val="zh-CN" w:eastAsia="zh-CN"/>
        </w:rPr>
        <w:t>，</w:t>
      </w:r>
      <w:r>
        <w:rPr>
          <w:rFonts w:ascii="宋体" w:hAnsi="宋体" w:eastAsia="宋体"/>
          <w:bCs/>
          <w:sz w:val="24"/>
          <w:szCs w:val="24"/>
          <w:lang w:val="zh-CN"/>
        </w:rPr>
        <w:t>对项目实施方案、规范标准、服务功能等进行认定的权利。</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3、甲方有组织项目验收的权利，甲方与乙方共同对项目结果进行验收，出具结论性验收报告。</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4、在项</w:t>
      </w:r>
      <w:r>
        <w:rPr>
          <w:rFonts w:ascii="宋体" w:hAnsi="宋体" w:eastAsia="宋体"/>
          <w:bCs/>
          <w:sz w:val="24"/>
          <w:szCs w:val="24"/>
        </w:rPr>
        <w:t>目</w:t>
      </w:r>
      <w:r>
        <w:rPr>
          <w:rFonts w:ascii="宋体" w:hAnsi="宋体" w:eastAsia="宋体"/>
          <w:bCs/>
          <w:sz w:val="24"/>
          <w:szCs w:val="24"/>
          <w:lang w:val="zh-CN"/>
        </w:rPr>
        <w:t>达到相关要求后，甲方应按照本合同约定的时间、金额向乙方</w:t>
      </w:r>
      <w:r>
        <w:rPr>
          <w:rFonts w:ascii="宋体" w:hAnsi="宋体" w:eastAsia="宋体"/>
          <w:bCs/>
          <w:sz w:val="24"/>
          <w:szCs w:val="24"/>
        </w:rPr>
        <w:t>支付</w:t>
      </w:r>
      <w:r>
        <w:rPr>
          <w:rFonts w:ascii="宋体" w:hAnsi="宋体" w:eastAsia="宋体"/>
          <w:bCs/>
          <w:sz w:val="24"/>
          <w:szCs w:val="24"/>
          <w:lang w:val="zh-CN"/>
        </w:rPr>
        <w:t>费用。</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5、甲方负责支持、协助、配合乙方做好项目的相关工作。</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（二）乙方的权利和义务</w:t>
      </w:r>
    </w:p>
    <w:p>
      <w:pPr>
        <w:spacing w:line="540" w:lineRule="exact"/>
        <w:ind w:firstLine="480"/>
        <w:rPr>
          <w:rFonts w:ascii="宋体" w:hAnsi="宋体" w:eastAsia="宋体"/>
          <w:bCs/>
          <w:sz w:val="24"/>
          <w:szCs w:val="24"/>
          <w:lang w:val="zh-CN"/>
        </w:rPr>
      </w:pPr>
      <w:r>
        <w:rPr>
          <w:rFonts w:hint="default" w:ascii="宋体" w:hAnsi="宋体" w:eastAsia="宋体"/>
          <w:bCs/>
          <w:sz w:val="24"/>
          <w:szCs w:val="24"/>
          <w:lang w:val="zh-CN" w:eastAsia="zh-CN"/>
        </w:rPr>
        <w:t>1</w:t>
      </w:r>
      <w:r>
        <w:rPr>
          <w:rFonts w:ascii="宋体" w:hAnsi="宋体" w:eastAsia="宋体"/>
          <w:bCs/>
          <w:sz w:val="24"/>
          <w:szCs w:val="24"/>
          <w:lang w:val="zh-CN" w:eastAsia="zh-CN"/>
        </w:rPr>
        <w:t>、</w:t>
      </w:r>
      <w:r>
        <w:rPr>
          <w:rFonts w:ascii="宋体" w:hAnsi="宋体" w:eastAsia="宋体"/>
          <w:bCs/>
          <w:sz w:val="24"/>
          <w:szCs w:val="24"/>
          <w:lang w:val="zh-CN"/>
        </w:rPr>
        <w:t>乙方应按国家及行业相关标准建设本项目，并向甲方提供合同中约定的所需</w:t>
      </w:r>
      <w:r>
        <w:rPr>
          <w:rFonts w:ascii="宋体" w:hAnsi="宋体" w:eastAsia="宋体"/>
          <w:bCs/>
          <w:sz w:val="24"/>
          <w:szCs w:val="24"/>
          <w:lang w:val="zh-CN" w:eastAsia="zh-CN"/>
        </w:rPr>
        <w:t>产品及服务</w:t>
      </w:r>
      <w:r>
        <w:rPr>
          <w:rFonts w:ascii="宋体" w:hAnsi="宋体" w:eastAsia="宋体"/>
          <w:bCs/>
          <w:sz w:val="24"/>
          <w:szCs w:val="24"/>
          <w:lang w:val="zh-CN"/>
        </w:rPr>
        <w:t>，定期向甲方通报项目的进展情况。</w:t>
      </w:r>
    </w:p>
    <w:p>
      <w:pPr>
        <w:spacing w:line="540" w:lineRule="exact"/>
        <w:ind w:firstLine="480"/>
        <w:rPr>
          <w:rFonts w:ascii="宋体" w:hAnsi="宋体" w:eastAsia="宋体"/>
          <w:bCs/>
          <w:sz w:val="24"/>
          <w:szCs w:val="24"/>
          <w:lang w:val="zh-CN"/>
        </w:rPr>
      </w:pPr>
      <w:r>
        <w:rPr>
          <w:rFonts w:hint="default" w:ascii="宋体" w:hAnsi="宋体" w:eastAsia="宋体"/>
          <w:bCs/>
          <w:sz w:val="24"/>
          <w:szCs w:val="24"/>
          <w:lang w:val="zh-CN" w:eastAsia="zh-CN"/>
        </w:rPr>
        <w:t>2</w:t>
      </w:r>
      <w:r>
        <w:rPr>
          <w:rFonts w:ascii="宋体" w:hAnsi="宋体" w:eastAsia="宋体"/>
          <w:bCs/>
          <w:sz w:val="24"/>
          <w:szCs w:val="24"/>
          <w:lang w:val="zh-CN" w:eastAsia="zh-CN"/>
        </w:rPr>
        <w:t>、</w:t>
      </w:r>
      <w:r>
        <w:rPr>
          <w:rFonts w:ascii="宋体" w:hAnsi="宋体" w:eastAsia="宋体"/>
          <w:bCs/>
          <w:sz w:val="24"/>
          <w:szCs w:val="24"/>
          <w:lang w:val="zh-CN"/>
        </w:rPr>
        <w:t>乙方保证甲方使用其服务及成果时不受第三方关于侵犯专利权、著作权等知识产权的指控。如因使用乙方提供的服务及成果而使甲方遭受任何第三方提出诉讼、索赔、指控等，乙方负责与第三方交涉。在甲方与第三方争议解决之前，乙方应作出必要的安排，保证甲方不会因此中断使用乙方的服务及其服务成果，否则甲方有权单方解除本合同，乙方除应赔偿甲方所有损失外，还应向甲方支付</w:t>
      </w:r>
      <w:r>
        <w:rPr>
          <w:rFonts w:ascii="宋体" w:hAnsi="宋体" w:eastAsia="宋体"/>
          <w:bCs/>
          <w:sz w:val="24"/>
          <w:szCs w:val="24"/>
        </w:rPr>
        <w:t>采购合同价款总额</w:t>
      </w:r>
      <w:r>
        <w:rPr>
          <w:rFonts w:ascii="宋体" w:hAnsi="宋体" w:eastAsia="宋体"/>
          <w:bCs/>
          <w:sz w:val="24"/>
          <w:szCs w:val="24"/>
          <w:lang w:val="zh-CN"/>
        </w:rPr>
        <w:t>20%的违约金。如果第三方的侵权指控成立，乙方应赔偿甲方由此产生的全部损失，并且甲方有权选择单方解除本合同。</w:t>
      </w:r>
    </w:p>
    <w:p>
      <w:pPr>
        <w:spacing w:line="540" w:lineRule="exact"/>
        <w:ind w:firstLine="480"/>
        <w:rPr>
          <w:rFonts w:ascii="宋体" w:hAnsi="宋体" w:eastAsia="宋体"/>
          <w:bCs/>
          <w:sz w:val="24"/>
          <w:szCs w:val="24"/>
          <w:lang w:val="zh-CN"/>
        </w:rPr>
      </w:pPr>
      <w:r>
        <w:rPr>
          <w:rFonts w:hint="default" w:ascii="宋体" w:hAnsi="宋体" w:eastAsia="宋体"/>
          <w:bCs/>
          <w:sz w:val="24"/>
          <w:szCs w:val="24"/>
          <w:lang w:val="zh-CN" w:eastAsia="zh-CN"/>
        </w:rPr>
        <w:t>3</w:t>
      </w:r>
      <w:r>
        <w:rPr>
          <w:rFonts w:ascii="宋体" w:hAnsi="宋体" w:eastAsia="宋体"/>
          <w:bCs/>
          <w:sz w:val="24"/>
          <w:szCs w:val="24"/>
          <w:lang w:val="zh-CN" w:eastAsia="zh-CN"/>
        </w:rPr>
        <w:t>、</w:t>
      </w:r>
      <w:r>
        <w:rPr>
          <w:rFonts w:ascii="宋体" w:hAnsi="宋体" w:eastAsia="宋体" w:cs="微软雅黑"/>
          <w:bCs/>
          <w:sz w:val="24"/>
          <w:szCs w:val="24"/>
          <w:lang w:val="zh-CN"/>
        </w:rPr>
        <w:t>乙方应严格按照本</w:t>
      </w:r>
      <w:r>
        <w:rPr>
          <w:rFonts w:ascii="宋体" w:hAnsi="宋体" w:eastAsia="宋体" w:cs="微软雅黑"/>
          <w:bCs/>
          <w:sz w:val="24"/>
          <w:szCs w:val="24"/>
          <w:lang w:val="zh-CN" w:eastAsia="zh-CN"/>
        </w:rPr>
        <w:t>合同</w:t>
      </w:r>
      <w:r>
        <w:rPr>
          <w:rFonts w:ascii="宋体" w:hAnsi="宋体" w:eastAsia="宋体" w:cs="微软雅黑"/>
          <w:bCs/>
          <w:sz w:val="24"/>
          <w:szCs w:val="24"/>
          <w:lang w:val="zh-CN"/>
        </w:rPr>
        <w:t>的约定及时完成</w:t>
      </w:r>
      <w:r>
        <w:rPr>
          <w:rFonts w:ascii="宋体" w:hAnsi="宋体" w:eastAsia="宋体" w:cs="微软雅黑"/>
          <w:bCs/>
          <w:sz w:val="24"/>
          <w:szCs w:val="24"/>
          <w:lang w:val="zh-CN" w:eastAsia="zh-CN"/>
        </w:rPr>
        <w:t>项目建设工作，</w:t>
      </w:r>
      <w:r>
        <w:rPr>
          <w:rFonts w:ascii="宋体" w:hAnsi="宋体" w:eastAsia="宋体" w:cs="微软雅黑"/>
          <w:bCs/>
          <w:sz w:val="24"/>
          <w:szCs w:val="24"/>
          <w:lang w:val="zh-CN"/>
        </w:rPr>
        <w:t>提交</w:t>
      </w:r>
      <w:r>
        <w:rPr>
          <w:rFonts w:ascii="宋体" w:hAnsi="宋体" w:eastAsia="宋体" w:cs="微软雅黑"/>
          <w:bCs/>
          <w:sz w:val="24"/>
          <w:szCs w:val="24"/>
          <w:lang w:val="zh-CN" w:eastAsia="zh-CN"/>
        </w:rPr>
        <w:t>建设</w:t>
      </w:r>
      <w:r>
        <w:rPr>
          <w:rFonts w:ascii="宋体" w:hAnsi="宋体" w:eastAsia="宋体" w:cs="微软雅黑"/>
          <w:bCs/>
          <w:sz w:val="24"/>
          <w:szCs w:val="24"/>
          <w:lang w:val="zh-CN"/>
        </w:rPr>
        <w:t>成果</w:t>
      </w:r>
      <w:r>
        <w:rPr>
          <w:rFonts w:ascii="宋体" w:hAnsi="宋体" w:eastAsia="宋体"/>
          <w:bCs/>
          <w:sz w:val="24"/>
          <w:szCs w:val="24"/>
          <w:lang w:val="zh-CN"/>
        </w:rPr>
        <w:t>。</w:t>
      </w:r>
    </w:p>
    <w:p>
      <w:pPr>
        <w:spacing w:line="540" w:lineRule="exact"/>
        <w:ind w:firstLine="480"/>
        <w:rPr>
          <w:rFonts w:ascii="宋体" w:hAnsi="宋体" w:eastAsia="宋体"/>
          <w:bCs/>
          <w:sz w:val="24"/>
          <w:szCs w:val="24"/>
          <w:lang w:val="zh-CN"/>
        </w:rPr>
      </w:pPr>
      <w:r>
        <w:rPr>
          <w:rFonts w:hint="default" w:ascii="宋体" w:hAnsi="宋体" w:eastAsia="宋体"/>
          <w:bCs/>
          <w:sz w:val="24"/>
          <w:szCs w:val="24"/>
          <w:lang w:val="zh-CN" w:eastAsia="zh-CN"/>
        </w:rPr>
        <w:t>4</w:t>
      </w:r>
      <w:r>
        <w:rPr>
          <w:rFonts w:ascii="宋体" w:hAnsi="宋体" w:eastAsia="宋体"/>
          <w:bCs/>
          <w:sz w:val="24"/>
          <w:szCs w:val="24"/>
          <w:lang w:val="zh-CN" w:eastAsia="zh-CN"/>
        </w:rPr>
        <w:t>、</w:t>
      </w:r>
      <w:r>
        <w:rPr>
          <w:rFonts w:ascii="宋体" w:hAnsi="宋体" w:eastAsia="宋体"/>
          <w:bCs/>
          <w:sz w:val="24"/>
          <w:szCs w:val="24"/>
          <w:lang w:val="zh-CN"/>
        </w:rPr>
        <w:t>乙方在甲方委托的项目范围内，对服务中出现的问题应及时调优或完善。</w:t>
      </w:r>
    </w:p>
    <w:p>
      <w:pPr>
        <w:spacing w:line="540" w:lineRule="exact"/>
        <w:ind w:firstLine="480"/>
        <w:rPr>
          <w:rFonts w:ascii="宋体" w:hAnsi="宋体" w:eastAsia="宋体"/>
          <w:bCs/>
          <w:sz w:val="24"/>
          <w:szCs w:val="24"/>
          <w:lang w:val="zh-CN"/>
        </w:rPr>
      </w:pPr>
      <w:r>
        <w:rPr>
          <w:rFonts w:hint="default" w:ascii="宋体" w:hAnsi="宋体" w:eastAsia="宋体"/>
          <w:bCs/>
          <w:sz w:val="24"/>
          <w:szCs w:val="24"/>
          <w:lang w:val="zh-CN" w:eastAsia="zh-CN"/>
        </w:rPr>
        <w:t>5</w:t>
      </w:r>
      <w:r>
        <w:rPr>
          <w:rFonts w:ascii="宋体" w:hAnsi="宋体" w:eastAsia="宋体"/>
          <w:bCs/>
          <w:sz w:val="24"/>
          <w:szCs w:val="24"/>
          <w:lang w:val="zh-CN" w:eastAsia="zh-CN"/>
        </w:rPr>
        <w:t>、</w:t>
      </w:r>
      <w:r>
        <w:rPr>
          <w:rFonts w:ascii="宋体" w:hAnsi="宋体" w:eastAsia="宋体" w:cs="宋体"/>
          <w:kern w:val="0"/>
          <w:sz w:val="24"/>
          <w:szCs w:val="24"/>
        </w:rPr>
        <w:t>乙方应保守本</w:t>
      </w:r>
      <w:r>
        <w:rPr>
          <w:rFonts w:ascii="宋体" w:hAnsi="宋体" w:eastAsia="宋体" w:cs="宋体"/>
          <w:kern w:val="0"/>
          <w:sz w:val="24"/>
          <w:szCs w:val="24"/>
          <w:lang w:eastAsia="zh-CN"/>
        </w:rPr>
        <w:t>合同</w:t>
      </w:r>
      <w:r>
        <w:rPr>
          <w:rFonts w:ascii="宋体" w:hAnsi="宋体" w:eastAsia="宋体" w:cs="宋体"/>
          <w:kern w:val="0"/>
          <w:sz w:val="24"/>
          <w:szCs w:val="24"/>
        </w:rPr>
        <w:t>履行过程中获得的与甲方相关的所有秘密信息（包括但不限于技术信息、商业信息、文件、程序、计划、技术、图表、模型、参数、数据、标准、专有技术、业务或业务运作方法和其他专有信息，本</w:t>
      </w:r>
      <w:r>
        <w:rPr>
          <w:rFonts w:ascii="宋体" w:hAnsi="宋体" w:eastAsia="宋体" w:cs="宋体"/>
          <w:kern w:val="0"/>
          <w:sz w:val="24"/>
          <w:szCs w:val="24"/>
          <w:lang w:eastAsia="zh-CN"/>
        </w:rPr>
        <w:t>合同</w:t>
      </w:r>
      <w:r>
        <w:rPr>
          <w:rFonts w:ascii="宋体" w:hAnsi="宋体" w:eastAsia="宋体" w:cs="宋体"/>
          <w:kern w:val="0"/>
          <w:sz w:val="24"/>
          <w:szCs w:val="24"/>
        </w:rPr>
        <w:t>的条款和与本</w:t>
      </w:r>
      <w:r>
        <w:rPr>
          <w:rFonts w:ascii="宋体" w:hAnsi="宋体" w:eastAsia="宋体" w:cs="宋体"/>
          <w:kern w:val="0"/>
          <w:sz w:val="24"/>
          <w:szCs w:val="24"/>
          <w:lang w:eastAsia="zh-CN"/>
        </w:rPr>
        <w:t>合同</w:t>
      </w:r>
      <w:r>
        <w:rPr>
          <w:rFonts w:ascii="宋体" w:hAnsi="宋体" w:eastAsia="宋体" w:cs="宋体"/>
          <w:kern w:val="0"/>
          <w:sz w:val="24"/>
          <w:szCs w:val="24"/>
        </w:rPr>
        <w:t>有关的其他信息，本</w:t>
      </w:r>
      <w:r>
        <w:rPr>
          <w:rFonts w:ascii="宋体" w:hAnsi="宋体" w:eastAsia="宋体" w:cs="宋体"/>
          <w:kern w:val="0"/>
          <w:sz w:val="24"/>
          <w:szCs w:val="24"/>
          <w:lang w:eastAsia="zh-CN"/>
        </w:rPr>
        <w:t>合同</w:t>
      </w:r>
      <w:r>
        <w:rPr>
          <w:rFonts w:ascii="宋体" w:hAnsi="宋体" w:eastAsia="宋体" w:cs="宋体"/>
          <w:kern w:val="0"/>
          <w:sz w:val="24"/>
          <w:szCs w:val="24"/>
        </w:rPr>
        <w:t>履行过程中形成的所有信息、数据、资料、意见、建议、阶段性工作成果和最终工作成果等），在任何情形下，本</w:t>
      </w:r>
      <w:r>
        <w:rPr>
          <w:rFonts w:ascii="宋体" w:hAnsi="宋体" w:eastAsia="宋体" w:cs="宋体"/>
          <w:kern w:val="0"/>
          <w:sz w:val="24"/>
          <w:szCs w:val="24"/>
          <w:lang w:eastAsia="zh-CN"/>
        </w:rPr>
        <w:t>合同</w:t>
      </w:r>
      <w:r>
        <w:rPr>
          <w:rFonts w:ascii="宋体" w:hAnsi="宋体" w:eastAsia="宋体" w:cs="宋体"/>
          <w:kern w:val="0"/>
          <w:sz w:val="24"/>
          <w:szCs w:val="24"/>
        </w:rPr>
        <w:t>约定的保密义务应永久持续有效</w:t>
      </w:r>
      <w:r>
        <w:rPr>
          <w:rFonts w:ascii="宋体" w:hAnsi="宋体" w:eastAsia="宋体"/>
          <w:bCs/>
          <w:sz w:val="24"/>
          <w:szCs w:val="24"/>
          <w:lang w:val="zh-CN"/>
        </w:rPr>
        <w:t>。</w:t>
      </w:r>
    </w:p>
    <w:p>
      <w:pPr>
        <w:spacing w:line="540" w:lineRule="exact"/>
        <w:ind w:firstLine="480"/>
        <w:rPr>
          <w:rFonts w:ascii="宋体" w:hAnsi="宋体" w:eastAsia="宋体"/>
          <w:bCs/>
          <w:sz w:val="24"/>
          <w:szCs w:val="24"/>
          <w:lang w:val="zh-CN"/>
        </w:rPr>
      </w:pPr>
      <w:r>
        <w:rPr>
          <w:rFonts w:hint="default" w:ascii="宋体" w:hAnsi="宋体" w:eastAsia="宋体"/>
          <w:bCs/>
          <w:sz w:val="24"/>
          <w:szCs w:val="24"/>
          <w:lang w:val="zh-CN" w:eastAsia="zh-CN"/>
        </w:rPr>
        <w:t>6</w:t>
      </w:r>
      <w:r>
        <w:rPr>
          <w:rFonts w:ascii="宋体" w:hAnsi="宋体" w:eastAsia="宋体"/>
          <w:bCs/>
          <w:sz w:val="24"/>
          <w:szCs w:val="24"/>
          <w:lang w:val="zh-CN" w:eastAsia="zh-CN"/>
        </w:rPr>
        <w:t>、</w:t>
      </w:r>
      <w:r>
        <w:rPr>
          <w:rFonts w:ascii="宋体" w:hAnsi="宋体" w:eastAsia="宋体"/>
          <w:bCs/>
          <w:sz w:val="24"/>
          <w:szCs w:val="24"/>
          <w:lang w:val="zh-CN"/>
        </w:rPr>
        <w:t>乙方应接受并配合甲方或甲方组织的对本合同履行情况的监督与检查,对于甲方指出的问题,应及时作出合理解释或予以纠正。</w:t>
      </w:r>
    </w:p>
    <w:p>
      <w:pPr>
        <w:spacing w:line="540" w:lineRule="exact"/>
        <w:ind w:firstLine="480"/>
        <w:rPr>
          <w:rFonts w:ascii="宋体" w:hAnsi="宋体" w:eastAsia="宋体"/>
          <w:b/>
          <w:sz w:val="24"/>
          <w:szCs w:val="24"/>
          <w:lang w:val="zh-CN"/>
        </w:rPr>
      </w:pPr>
      <w:r>
        <w:rPr>
          <w:rFonts w:ascii="宋体" w:hAnsi="宋体" w:eastAsia="宋体"/>
          <w:b/>
          <w:sz w:val="24"/>
          <w:szCs w:val="24"/>
        </w:rPr>
        <w:t>五、</w:t>
      </w:r>
      <w:r>
        <w:rPr>
          <w:rFonts w:ascii="宋体" w:hAnsi="宋体" w:eastAsia="宋体"/>
          <w:b/>
          <w:sz w:val="24"/>
          <w:szCs w:val="24"/>
          <w:lang w:val="zh-CN"/>
        </w:rPr>
        <w:t>项目沟通机制</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在</w:t>
      </w:r>
      <w:r>
        <w:rPr>
          <w:rFonts w:ascii="宋体" w:hAnsi="宋体" w:eastAsia="宋体"/>
          <w:bCs/>
          <w:sz w:val="24"/>
          <w:szCs w:val="24"/>
        </w:rPr>
        <w:t>合同有效</w:t>
      </w:r>
      <w:r>
        <w:rPr>
          <w:rFonts w:ascii="宋体" w:hAnsi="宋体" w:eastAsia="宋体"/>
          <w:bCs/>
          <w:sz w:val="24"/>
          <w:szCs w:val="24"/>
          <w:lang w:val="zh-CN"/>
        </w:rPr>
        <w:t>期内，为提升乙方的服务效率和运维质量，保持良好的沟通机制，</w:t>
      </w:r>
      <w:r>
        <w:rPr>
          <w:rFonts w:ascii="宋体" w:hAnsi="宋体" w:eastAsia="宋体"/>
          <w:bCs/>
          <w:sz w:val="24"/>
          <w:szCs w:val="24"/>
        </w:rPr>
        <w:t>乙方应组建项目管理组，负责项目立项、投入资源调度，进度管理，人员管理等。</w:t>
      </w:r>
      <w:r>
        <w:rPr>
          <w:rFonts w:ascii="宋体" w:hAnsi="宋体" w:eastAsia="宋体"/>
          <w:bCs/>
          <w:sz w:val="24"/>
          <w:szCs w:val="24"/>
          <w:lang w:val="zh-CN"/>
        </w:rPr>
        <w:t>甲乙双方均需确定项目</w:t>
      </w:r>
      <w:r>
        <w:rPr>
          <w:rFonts w:hint="eastAsia" w:ascii="宋体" w:hAnsi="宋体" w:eastAsia="宋体"/>
          <w:bCs/>
          <w:sz w:val="24"/>
          <w:szCs w:val="24"/>
          <w:lang w:val="zh-CN"/>
        </w:rPr>
        <w:t>负责人</w:t>
      </w:r>
      <w:r>
        <w:rPr>
          <w:rFonts w:ascii="宋体" w:hAnsi="宋体" w:eastAsia="宋体"/>
          <w:bCs/>
          <w:sz w:val="24"/>
          <w:szCs w:val="24"/>
          <w:lang w:val="zh-CN"/>
        </w:rPr>
        <w:t>1名，对</w:t>
      </w:r>
      <w:r>
        <w:rPr>
          <w:rFonts w:ascii="宋体" w:hAnsi="宋体" w:eastAsia="宋体"/>
          <w:bCs/>
          <w:sz w:val="24"/>
          <w:szCs w:val="24"/>
          <w:lang w:val="zh-CN" w:eastAsia="zh-CN"/>
        </w:rPr>
        <w:t>项目建设</w:t>
      </w:r>
      <w:r>
        <w:rPr>
          <w:rFonts w:ascii="宋体" w:hAnsi="宋体" w:eastAsia="宋体"/>
          <w:bCs/>
          <w:sz w:val="24"/>
          <w:szCs w:val="24"/>
          <w:lang w:val="zh-CN"/>
        </w:rPr>
        <w:t>、业务变更、商务沟通等方面专人衔接，主要通过电话、微信等常用方式沟通。沟通方式除纸质文件外，主要通过电话、微信等常用通讯工具。</w:t>
      </w:r>
    </w:p>
    <w:p>
      <w:pPr>
        <w:spacing w:line="540" w:lineRule="exact"/>
        <w:ind w:firstLine="480"/>
        <w:rPr>
          <w:rFonts w:ascii="宋体" w:hAnsi="宋体" w:eastAsia="宋体"/>
          <w:bCs/>
          <w:sz w:val="24"/>
          <w:szCs w:val="24"/>
        </w:rPr>
      </w:pPr>
      <w:r>
        <w:rPr>
          <w:rFonts w:ascii="宋体" w:hAnsi="宋体" w:eastAsia="宋体"/>
          <w:bCs/>
          <w:sz w:val="24"/>
          <w:szCs w:val="24"/>
          <w:lang w:val="zh-CN"/>
        </w:rPr>
        <w:t>甲方项目</w:t>
      </w:r>
      <w:r>
        <w:rPr>
          <w:rFonts w:hint="eastAsia" w:ascii="宋体" w:hAnsi="宋体" w:eastAsia="宋体"/>
          <w:bCs/>
          <w:sz w:val="24"/>
          <w:szCs w:val="24"/>
          <w:lang w:val="zh-CN"/>
        </w:rPr>
        <w:t>负责人</w:t>
      </w:r>
      <w:r>
        <w:rPr>
          <w:rFonts w:ascii="宋体" w:hAnsi="宋体" w:eastAsia="宋体"/>
          <w:bCs/>
          <w:sz w:val="24"/>
          <w:szCs w:val="24"/>
          <w:lang w:val="zh-CN"/>
        </w:rPr>
        <w:t>：</w:t>
      </w:r>
      <w:r>
        <w:rPr>
          <w:rFonts w:ascii="宋体" w:hAnsi="宋体" w:eastAsia="宋体"/>
          <w:bCs/>
          <w:sz w:val="24"/>
          <w:szCs w:val="24"/>
        </w:rPr>
        <w:t xml:space="preserve"> </w:t>
      </w:r>
    </w:p>
    <w:p>
      <w:pPr>
        <w:spacing w:line="540" w:lineRule="exact"/>
        <w:ind w:firstLine="480"/>
        <w:rPr>
          <w:rFonts w:ascii="宋体" w:hAnsi="宋体" w:eastAsia="宋体"/>
          <w:bCs/>
          <w:sz w:val="24"/>
          <w:szCs w:val="24"/>
        </w:rPr>
      </w:pPr>
      <w:r>
        <w:rPr>
          <w:rFonts w:ascii="宋体" w:hAnsi="宋体" w:eastAsia="宋体"/>
          <w:bCs/>
          <w:sz w:val="24"/>
          <w:szCs w:val="24"/>
          <w:lang w:val="zh-CN"/>
        </w:rPr>
        <w:t>电话：</w:t>
      </w:r>
      <w:r>
        <w:rPr>
          <w:rFonts w:ascii="宋体" w:hAnsi="宋体" w:eastAsia="宋体"/>
          <w:bCs/>
          <w:sz w:val="24"/>
          <w:szCs w:val="24"/>
        </w:rPr>
        <w:t xml:space="preserve"> </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乙方项目</w:t>
      </w:r>
      <w:r>
        <w:rPr>
          <w:rFonts w:hint="eastAsia" w:ascii="宋体" w:hAnsi="宋体" w:eastAsia="宋体"/>
          <w:bCs/>
          <w:sz w:val="24"/>
          <w:szCs w:val="24"/>
          <w:lang w:val="zh-CN"/>
        </w:rPr>
        <w:t>负责人</w:t>
      </w:r>
      <w:r>
        <w:rPr>
          <w:rFonts w:ascii="宋体" w:hAnsi="宋体" w:eastAsia="宋体"/>
          <w:bCs/>
          <w:sz w:val="24"/>
          <w:szCs w:val="24"/>
          <w:lang w:val="zh-CN"/>
        </w:rPr>
        <w:t xml:space="preserve">： </w:t>
      </w:r>
    </w:p>
    <w:p>
      <w:pPr>
        <w:spacing w:line="540" w:lineRule="exact"/>
        <w:ind w:firstLine="480"/>
        <w:rPr>
          <w:rFonts w:ascii="宋体" w:hAnsi="宋体" w:eastAsia="宋体"/>
          <w:sz w:val="24"/>
          <w:szCs w:val="24"/>
          <w:lang w:val="zh-CN"/>
        </w:rPr>
      </w:pPr>
      <w:r>
        <w:rPr>
          <w:rFonts w:ascii="宋体" w:hAnsi="宋体" w:eastAsia="宋体"/>
          <w:bCs/>
          <w:sz w:val="24"/>
          <w:szCs w:val="24"/>
          <w:lang w:val="zh-CN"/>
        </w:rPr>
        <w:t xml:space="preserve">电话： </w:t>
      </w:r>
    </w:p>
    <w:p>
      <w:pPr>
        <w:widowControl w:val="0"/>
        <w:numPr>
          <w:ilvl w:val="0"/>
          <w:numId w:val="26"/>
        </w:numPr>
        <w:spacing w:line="540" w:lineRule="exact"/>
        <w:ind w:left="-62" w:leftChars="0" w:firstLine="482" w:firstLineChars="0"/>
        <w:rPr>
          <w:rFonts w:ascii="宋体" w:hAnsi="宋体" w:eastAsia="宋体"/>
          <w:b/>
          <w:sz w:val="24"/>
          <w:szCs w:val="24"/>
        </w:rPr>
      </w:pPr>
      <w:r>
        <w:rPr>
          <w:rFonts w:ascii="宋体" w:hAnsi="宋体" w:eastAsia="宋体"/>
          <w:b/>
          <w:sz w:val="24"/>
          <w:szCs w:val="24"/>
        </w:rPr>
        <w:t>项目</w:t>
      </w:r>
      <w:r>
        <w:rPr>
          <w:rFonts w:ascii="宋体" w:hAnsi="宋体" w:eastAsia="宋体"/>
          <w:b/>
          <w:sz w:val="24"/>
          <w:szCs w:val="24"/>
          <w:lang w:eastAsia="zh-CN"/>
        </w:rPr>
        <w:t>工期、服务与质保期</w:t>
      </w:r>
    </w:p>
    <w:p>
      <w:pPr>
        <w:spacing w:line="540" w:lineRule="exact"/>
        <w:ind w:firstLine="480"/>
        <w:rPr>
          <w:rFonts w:ascii="宋体" w:hAnsi="宋体" w:eastAsia="PMingLiU"/>
          <w:bCs/>
          <w:sz w:val="24"/>
          <w:szCs w:val="24"/>
        </w:rPr>
      </w:pPr>
      <w:r>
        <w:rPr>
          <w:rFonts w:ascii="宋体" w:hAnsi="宋体" w:eastAsia="宋体"/>
          <w:bCs/>
          <w:sz w:val="24"/>
          <w:szCs w:val="24"/>
          <w:lang w:eastAsia="zh-CN"/>
        </w:rPr>
        <w:t>6</w:t>
      </w:r>
      <w:r>
        <w:rPr>
          <w:rFonts w:hint="default" w:ascii="宋体" w:hAnsi="宋体" w:eastAsia="PMingLiU"/>
          <w:bCs/>
          <w:sz w:val="24"/>
          <w:szCs w:val="24"/>
        </w:rPr>
        <w:t>.1</w:t>
      </w:r>
      <w:r>
        <w:rPr>
          <w:rFonts w:ascii="宋体" w:hAnsi="宋体" w:eastAsia="宋体"/>
          <w:bCs/>
          <w:sz w:val="24"/>
          <w:szCs w:val="24"/>
          <w:lang w:eastAsia="zh-CN"/>
        </w:rPr>
        <w:t>项目工期：</w:t>
      </w:r>
      <w:r>
        <w:rPr>
          <w:rFonts w:hint="default" w:ascii="宋体" w:hAnsi="宋体" w:eastAsia="宋体"/>
          <w:bCs/>
          <w:sz w:val="24"/>
          <w:szCs w:val="24"/>
        </w:rPr>
        <w:t>合同签订后40个日历日内完成本项目的集成开发及部署</w:t>
      </w:r>
      <w:r>
        <w:rPr>
          <w:rFonts w:ascii="宋体" w:hAnsi="宋体" w:eastAsia="宋体"/>
          <w:bCs/>
          <w:sz w:val="24"/>
          <w:szCs w:val="24"/>
        </w:rPr>
        <w:t>。</w:t>
      </w:r>
    </w:p>
    <w:p>
      <w:pPr>
        <w:spacing w:line="540" w:lineRule="exact"/>
        <w:ind w:firstLine="480"/>
        <w:rPr>
          <w:rFonts w:hint="default" w:ascii="宋体" w:hAnsi="宋体" w:eastAsia="宋体"/>
          <w:bCs/>
          <w:sz w:val="24"/>
          <w:szCs w:val="24"/>
        </w:rPr>
      </w:pPr>
      <w:r>
        <w:rPr>
          <w:rFonts w:hint="default" w:ascii="宋体" w:hAnsi="宋体" w:eastAsia="PMingLiU"/>
          <w:bCs/>
          <w:sz w:val="24"/>
          <w:szCs w:val="24"/>
        </w:rPr>
        <w:t>6.2</w:t>
      </w:r>
      <w:r>
        <w:rPr>
          <w:rFonts w:hint="default" w:ascii="宋体" w:hAnsi="宋体" w:eastAsia="宋体"/>
          <w:bCs/>
          <w:sz w:val="24"/>
          <w:szCs w:val="24"/>
        </w:rPr>
        <w:t xml:space="preserve"> 数据对接和功能扩展:</w:t>
      </w:r>
    </w:p>
    <w:p>
      <w:pPr>
        <w:spacing w:line="540" w:lineRule="exact"/>
        <w:ind w:firstLine="480" w:firstLineChars="200"/>
        <w:rPr>
          <w:rFonts w:hint="default" w:ascii="宋体" w:hAnsi="宋体" w:eastAsia="宋体"/>
          <w:bCs/>
          <w:sz w:val="24"/>
          <w:szCs w:val="24"/>
        </w:rPr>
      </w:pPr>
      <w:r>
        <w:rPr>
          <w:rFonts w:hint="default" w:ascii="宋体" w:hAnsi="宋体" w:eastAsia="PMingLiU"/>
          <w:bCs/>
          <w:sz w:val="24"/>
          <w:szCs w:val="24"/>
        </w:rPr>
        <w:t>6.2</w:t>
      </w:r>
      <w:r>
        <w:rPr>
          <w:rFonts w:hint="default" w:ascii="宋体" w:hAnsi="宋体" w:eastAsia="宋体"/>
          <w:bCs/>
          <w:sz w:val="24"/>
          <w:szCs w:val="24"/>
        </w:rPr>
        <w:t>.1 甲方在项目实施或免费质保期间，如需要提供外部接口或者对接其他系统平台进行数据对接或信息传递，乙方提供免费技术支持和开发服务。</w:t>
      </w:r>
    </w:p>
    <w:p>
      <w:pPr>
        <w:spacing w:line="540" w:lineRule="exact"/>
        <w:ind w:firstLine="480" w:firstLineChars="200"/>
        <w:rPr>
          <w:rFonts w:hint="default" w:ascii="宋体" w:hAnsi="宋体" w:eastAsia="宋体"/>
          <w:bCs/>
          <w:sz w:val="24"/>
          <w:szCs w:val="24"/>
        </w:rPr>
      </w:pPr>
      <w:r>
        <w:rPr>
          <w:rFonts w:ascii="宋体" w:hAnsi="宋体" w:eastAsia="等线"/>
          <w:bCs/>
          <w:sz w:val="24"/>
          <w:szCs w:val="24"/>
          <w:lang w:eastAsia="zh-CN"/>
        </w:rPr>
        <w:t>6</w:t>
      </w:r>
      <w:r>
        <w:rPr>
          <w:rFonts w:hint="default" w:ascii="宋体" w:hAnsi="宋体" w:eastAsia="PMingLiU"/>
          <w:bCs/>
          <w:sz w:val="24"/>
          <w:szCs w:val="24"/>
        </w:rPr>
        <w:t>.2.2</w:t>
      </w:r>
      <w:r>
        <w:rPr>
          <w:rFonts w:hint="default" w:ascii="宋体" w:hAnsi="宋体" w:eastAsia="宋体"/>
          <w:bCs/>
          <w:sz w:val="24"/>
          <w:szCs w:val="24"/>
        </w:rPr>
        <w:t>甲方在项目实施和免费质保期间，在全同约定的功能基础上进行的流程的优化、调整等不牵涉功能增加，免费给用户服务，且按用户最新要求流程优化最长时间不超过 30 日历天内完成;需要新增超出当前合同约定功能模块，乙方应在 15 个工作日内对新增功能需求进行评估，如可行出具开发说明书并双方协商开发费用。</w:t>
      </w:r>
    </w:p>
    <w:p>
      <w:pPr>
        <w:spacing w:line="540" w:lineRule="exact"/>
        <w:ind w:firstLine="480"/>
        <w:rPr>
          <w:rFonts w:hint="default" w:ascii="宋体" w:hAnsi="宋体" w:eastAsia="宋体"/>
          <w:bCs/>
          <w:sz w:val="24"/>
          <w:szCs w:val="24"/>
        </w:rPr>
      </w:pPr>
      <w:r>
        <w:rPr>
          <w:rFonts w:hint="default" w:ascii="宋体" w:hAnsi="宋体" w:eastAsia="PMingLiU"/>
          <w:bCs/>
          <w:sz w:val="24"/>
          <w:szCs w:val="24"/>
        </w:rPr>
        <w:t>6.3</w:t>
      </w:r>
      <w:r>
        <w:rPr>
          <w:rFonts w:hint="default" w:ascii="宋体" w:hAnsi="宋体" w:eastAsia="宋体"/>
          <w:bCs/>
          <w:sz w:val="24"/>
          <w:szCs w:val="24"/>
        </w:rPr>
        <w:t>质保期为3 年，质保期从验收合格后开始计算。在质保期内乙方对货物的硬件故障、升级提供免费原厂保修服务。</w:t>
      </w:r>
    </w:p>
    <w:p>
      <w:pPr>
        <w:spacing w:line="540" w:lineRule="exact"/>
        <w:ind w:firstLine="480"/>
        <w:rPr>
          <w:rFonts w:hint="default" w:ascii="宋体" w:hAnsi="宋体" w:eastAsia="宋体"/>
          <w:bCs/>
          <w:sz w:val="24"/>
          <w:szCs w:val="24"/>
        </w:rPr>
      </w:pPr>
      <w:r>
        <w:rPr>
          <w:rFonts w:hint="default" w:ascii="宋体" w:hAnsi="宋体" w:eastAsia="PMingLiU"/>
          <w:bCs/>
          <w:sz w:val="24"/>
          <w:szCs w:val="24"/>
        </w:rPr>
        <w:t>6.4</w:t>
      </w:r>
      <w:r>
        <w:rPr>
          <w:rFonts w:hint="default" w:ascii="宋体" w:hAnsi="宋体" w:eastAsia="宋体"/>
          <w:bCs/>
          <w:sz w:val="24"/>
          <w:szCs w:val="24"/>
        </w:rPr>
        <w:t>乙方保证向甲方提供清晰、正确、完整的技术资料。</w:t>
      </w:r>
    </w:p>
    <w:p>
      <w:pPr>
        <w:spacing w:line="540" w:lineRule="exact"/>
        <w:ind w:firstLine="480"/>
        <w:rPr>
          <w:rFonts w:ascii="宋体" w:hAnsi="宋体" w:eastAsia="宋体"/>
          <w:bCs/>
          <w:sz w:val="24"/>
          <w:szCs w:val="24"/>
        </w:rPr>
      </w:pPr>
      <w:r>
        <w:rPr>
          <w:rFonts w:hint="default" w:ascii="宋体" w:hAnsi="宋体" w:eastAsia="PMingLiU"/>
          <w:bCs/>
          <w:sz w:val="24"/>
          <w:szCs w:val="24"/>
        </w:rPr>
        <w:t>6.5</w:t>
      </w:r>
      <w:r>
        <w:rPr>
          <w:rFonts w:hint="default" w:ascii="宋体" w:hAnsi="宋体" w:eastAsia="宋体"/>
          <w:bCs/>
          <w:sz w:val="24"/>
          <w:szCs w:val="24"/>
        </w:rPr>
        <w:t>质保期后的后续服务为有偿服务，相关费</w:t>
      </w:r>
      <w:r>
        <w:rPr>
          <w:rFonts w:ascii="宋体" w:hAnsi="宋体" w:eastAsia="宋体"/>
          <w:bCs/>
          <w:sz w:val="24"/>
          <w:szCs w:val="24"/>
          <w:lang w:eastAsia="zh-CN"/>
        </w:rPr>
        <w:t>用</w:t>
      </w:r>
      <w:r>
        <w:rPr>
          <w:rFonts w:hint="default" w:ascii="宋体" w:hAnsi="宋体" w:eastAsia="宋体"/>
          <w:bCs/>
          <w:sz w:val="24"/>
          <w:szCs w:val="24"/>
        </w:rPr>
        <w:t>由</w:t>
      </w:r>
      <w:r>
        <w:rPr>
          <w:rFonts w:ascii="宋体" w:hAnsi="宋体" w:eastAsia="宋体"/>
          <w:bCs/>
          <w:sz w:val="24"/>
          <w:szCs w:val="24"/>
          <w:lang w:eastAsia="zh-CN"/>
        </w:rPr>
        <w:t>甲乙双</w:t>
      </w:r>
      <w:r>
        <w:rPr>
          <w:rFonts w:hint="default" w:ascii="宋体" w:hAnsi="宋体" w:eastAsia="宋体"/>
          <w:bCs/>
          <w:sz w:val="24"/>
          <w:szCs w:val="24"/>
        </w:rPr>
        <w:t>方</w:t>
      </w:r>
      <w:r>
        <w:rPr>
          <w:rFonts w:ascii="宋体" w:hAnsi="宋体" w:eastAsia="宋体"/>
          <w:bCs/>
          <w:sz w:val="24"/>
          <w:szCs w:val="24"/>
          <w:lang w:eastAsia="zh-CN"/>
        </w:rPr>
        <w:t>另行</w:t>
      </w:r>
      <w:r>
        <w:rPr>
          <w:rFonts w:hint="default" w:ascii="宋体" w:hAnsi="宋体" w:eastAsia="宋体"/>
          <w:bCs/>
          <w:sz w:val="24"/>
          <w:szCs w:val="24"/>
        </w:rPr>
        <w:t>协商</w:t>
      </w:r>
      <w:r>
        <w:rPr>
          <w:rFonts w:ascii="宋体" w:hAnsi="宋体" w:eastAsia="宋体"/>
          <w:bCs/>
          <w:sz w:val="24"/>
          <w:szCs w:val="24"/>
        </w:rPr>
        <w:t>。</w:t>
      </w:r>
    </w:p>
    <w:p>
      <w:pPr>
        <w:spacing w:line="540" w:lineRule="exact"/>
        <w:ind w:firstLine="482"/>
        <w:rPr>
          <w:rFonts w:ascii="宋体" w:hAnsi="宋体" w:eastAsia="PMingLiU"/>
          <w:b/>
          <w:sz w:val="24"/>
          <w:szCs w:val="24"/>
        </w:rPr>
      </w:pPr>
      <w:bookmarkStart w:id="692" w:name="_Toc502922527"/>
      <w:bookmarkStart w:id="693" w:name="_Toc11424929"/>
      <w:r>
        <w:rPr>
          <w:rFonts w:ascii="宋体" w:hAnsi="宋体" w:eastAsia="宋体"/>
          <w:b/>
          <w:sz w:val="24"/>
          <w:szCs w:val="24"/>
        </w:rPr>
        <w:t>七、</w:t>
      </w:r>
      <w:r>
        <w:rPr>
          <w:rFonts w:ascii="宋体" w:hAnsi="宋体" w:eastAsia="宋体"/>
          <w:b/>
          <w:sz w:val="24"/>
          <w:szCs w:val="24"/>
          <w:lang w:eastAsia="zh-CN"/>
        </w:rPr>
        <w:t>验收要求</w:t>
      </w:r>
    </w:p>
    <w:p>
      <w:pPr>
        <w:pStyle w:val="14"/>
        <w:spacing w:line="540" w:lineRule="exact"/>
        <w:ind w:firstLine="480"/>
        <w:rPr>
          <w:bCs/>
        </w:rPr>
      </w:pPr>
      <w:r>
        <w:rPr>
          <w:bCs/>
        </w:rPr>
        <w:t>软件上线运行三个月</w:t>
      </w:r>
      <w:r>
        <w:rPr>
          <w:rFonts w:hint="eastAsia"/>
          <w:bCs/>
          <w:lang w:val="zh-CN"/>
        </w:rPr>
        <w:t>后，乙方书面提出验收申请，</w:t>
      </w:r>
      <w:r>
        <w:rPr>
          <w:rFonts w:hint="eastAsia"/>
          <w:bCs/>
        </w:rPr>
        <w:t>由甲乙双方按本合同所列项目的内容和国家相关行业标准共同组织验收，双方确认功能完整</w:t>
      </w:r>
      <w:r>
        <w:rPr>
          <w:rFonts w:hint="eastAsia"/>
          <w:bCs/>
          <w:lang w:eastAsia="zh-CN"/>
        </w:rPr>
        <w:t>且</w:t>
      </w:r>
      <w:r>
        <w:rPr>
          <w:bCs/>
          <w:lang w:eastAsia="zh-CN"/>
        </w:rPr>
        <w:t>医院电子病历四级评审通过</w:t>
      </w:r>
      <w:r>
        <w:rPr>
          <w:rFonts w:hint="eastAsia"/>
          <w:bCs/>
          <w:lang w:eastAsia="zh-CN"/>
        </w:rPr>
        <w:t>，即</w:t>
      </w:r>
      <w:r>
        <w:rPr>
          <w:rFonts w:hint="eastAsia"/>
          <w:bCs/>
        </w:rPr>
        <w:t>视为</w:t>
      </w:r>
      <w:r>
        <w:rPr>
          <w:rFonts w:hint="eastAsia"/>
          <w:bCs/>
          <w:lang w:eastAsia="zh-CN"/>
        </w:rPr>
        <w:t>本项目</w:t>
      </w:r>
      <w:r>
        <w:rPr>
          <w:rFonts w:hint="eastAsia"/>
          <w:bCs/>
        </w:rPr>
        <w:t>验收通过，</w:t>
      </w:r>
      <w:r>
        <w:rPr>
          <w:rFonts w:hint="eastAsia"/>
          <w:bCs/>
          <w:lang w:eastAsia="zh-CN"/>
        </w:rPr>
        <w:t>出具</w:t>
      </w:r>
      <w:r>
        <w:rPr>
          <w:rFonts w:hint="eastAsia"/>
          <w:bCs/>
        </w:rPr>
        <w:t>项目验收报告</w:t>
      </w:r>
      <w:r>
        <w:rPr>
          <w:rFonts w:hint="eastAsia"/>
          <w:bCs/>
          <w:lang w:eastAsia="zh-CN"/>
        </w:rPr>
        <w:t>由</w:t>
      </w:r>
      <w:r>
        <w:rPr>
          <w:rFonts w:hint="eastAsia"/>
          <w:bCs/>
        </w:rPr>
        <w:t>双方签字盖章确认。</w:t>
      </w:r>
      <w:r>
        <w:rPr>
          <w:rFonts w:hint="eastAsia"/>
          <w:bCs/>
          <w:lang w:val="zh-CN"/>
        </w:rPr>
        <w:t>验收时，乙方向甲方递交完整的系统资料，</w:t>
      </w:r>
      <w:r>
        <w:rPr>
          <w:rFonts w:hint="eastAsia"/>
          <w:bCs/>
        </w:rPr>
        <w:t>包含但不限于实施方案、技术方案、会议纪要、测试方案、测试报告、试运行（方案、记录、报告）、培训（方案、记录、用户使用意见）、项目总结报告、售后服务承诺书。</w:t>
      </w:r>
    </w:p>
    <w:p>
      <w:pPr>
        <w:pStyle w:val="14"/>
        <w:tabs>
          <w:tab w:val="left" w:pos="312"/>
          <w:tab w:val="clear" w:pos="567"/>
        </w:tabs>
        <w:spacing w:before="0" w:line="540" w:lineRule="exact"/>
        <w:ind w:firstLine="480" w:firstLineChars="200"/>
        <w:rPr>
          <w:bCs/>
          <w:lang w:val="zh-CN"/>
        </w:rPr>
      </w:pPr>
      <w:r>
        <w:rPr>
          <w:rFonts w:hint="eastAsia"/>
          <w:bCs/>
          <w:lang w:val="zh-CN"/>
        </w:rPr>
        <w:t>系统验收</w:t>
      </w:r>
      <w:r>
        <w:rPr>
          <w:rFonts w:hint="eastAsia"/>
          <w:bCs/>
          <w:lang w:val="zh-CN" w:eastAsia="zh-CN"/>
        </w:rPr>
        <w:t>通过</w:t>
      </w:r>
      <w:r>
        <w:rPr>
          <w:rFonts w:hint="eastAsia"/>
          <w:bCs/>
          <w:lang w:val="zh-CN"/>
        </w:rPr>
        <w:t>后，进入</w:t>
      </w:r>
      <w:r>
        <w:rPr>
          <w:rFonts w:hint="eastAsia"/>
          <w:bCs/>
          <w:lang w:val="zh-CN" w:eastAsia="zh-CN"/>
        </w:rPr>
        <w:t>3年质保</w:t>
      </w:r>
      <w:r>
        <w:rPr>
          <w:rFonts w:hint="eastAsia"/>
          <w:bCs/>
        </w:rPr>
        <w:t>服务期</w:t>
      </w:r>
      <w:r>
        <w:rPr>
          <w:rFonts w:hint="eastAsia"/>
          <w:bCs/>
          <w:lang w:val="zh-CN"/>
        </w:rPr>
        <w:t>，乙方</w:t>
      </w:r>
      <w:r>
        <w:rPr>
          <w:rFonts w:hint="eastAsia"/>
          <w:bCs/>
          <w:lang w:val="zh-CN" w:eastAsia="zh-CN"/>
        </w:rPr>
        <w:t>负责</w:t>
      </w:r>
      <w:r>
        <w:rPr>
          <w:rFonts w:hint="eastAsia"/>
          <w:bCs/>
          <w:lang w:val="zh-CN"/>
        </w:rPr>
        <w:t>维护系统，使系统正常运行。</w:t>
      </w:r>
    </w:p>
    <w:p>
      <w:pPr>
        <w:spacing w:line="540" w:lineRule="exact"/>
        <w:ind w:firstLine="482"/>
        <w:rPr>
          <w:rFonts w:ascii="宋体" w:hAnsi="宋体" w:eastAsia="宋体"/>
          <w:b/>
          <w:sz w:val="24"/>
          <w:szCs w:val="24"/>
        </w:rPr>
      </w:pPr>
      <w:r>
        <w:rPr>
          <w:rFonts w:ascii="宋体" w:hAnsi="宋体" w:eastAsia="宋体"/>
          <w:b/>
          <w:sz w:val="24"/>
          <w:szCs w:val="24"/>
        </w:rPr>
        <w:t>八、项目变更</w:t>
      </w:r>
    </w:p>
    <w:p>
      <w:pPr>
        <w:spacing w:line="540" w:lineRule="exact"/>
        <w:ind w:firstLine="480"/>
        <w:rPr>
          <w:rFonts w:ascii="宋体" w:hAnsi="宋体" w:eastAsia="宋体"/>
          <w:bCs/>
          <w:sz w:val="24"/>
          <w:szCs w:val="24"/>
        </w:rPr>
      </w:pPr>
      <w:r>
        <w:rPr>
          <w:rFonts w:ascii="宋体" w:hAnsi="宋体" w:eastAsia="宋体"/>
          <w:bCs/>
          <w:sz w:val="24"/>
          <w:szCs w:val="24"/>
        </w:rPr>
        <w:t>1</w:t>
      </w:r>
      <w:r>
        <w:rPr>
          <w:rFonts w:ascii="宋体" w:hAnsi="宋体" w:eastAsia="宋体"/>
          <w:bCs/>
          <w:sz w:val="24"/>
          <w:szCs w:val="24"/>
          <w:lang w:eastAsia="zh-CN"/>
        </w:rPr>
        <w:t>、</w:t>
      </w:r>
      <w:r>
        <w:rPr>
          <w:rFonts w:ascii="宋体" w:hAnsi="宋体" w:eastAsia="宋体"/>
          <w:bCs/>
          <w:sz w:val="24"/>
          <w:szCs w:val="24"/>
        </w:rPr>
        <w:t>以兼顾各方的利益和信息系统的最优化为原则，在本项目的基本范围内，甲乙双方均有权在履行本合同的过程中适时地提出变更、扩展、替换或修改本项目的某些部分，包括但不限于增加或减少系统的相应功能、提高或提升系统的技术参数、改变交付的时间与地点。</w:t>
      </w:r>
    </w:p>
    <w:p>
      <w:pPr>
        <w:spacing w:line="540" w:lineRule="exact"/>
        <w:ind w:firstLine="480"/>
        <w:rPr>
          <w:rFonts w:ascii="宋体" w:hAnsi="宋体" w:eastAsia="宋体"/>
          <w:bCs/>
          <w:sz w:val="24"/>
          <w:szCs w:val="24"/>
        </w:rPr>
      </w:pPr>
      <w:r>
        <w:rPr>
          <w:rFonts w:ascii="宋体" w:hAnsi="宋体" w:eastAsia="宋体"/>
          <w:bCs/>
          <w:sz w:val="24"/>
          <w:szCs w:val="24"/>
        </w:rPr>
        <w:t>2</w:t>
      </w:r>
      <w:r>
        <w:rPr>
          <w:rFonts w:ascii="宋体" w:hAnsi="宋体" w:eastAsia="宋体"/>
          <w:bCs/>
          <w:sz w:val="24"/>
          <w:szCs w:val="24"/>
          <w:lang w:eastAsia="zh-CN"/>
        </w:rPr>
        <w:t>、</w:t>
      </w:r>
      <w:r>
        <w:rPr>
          <w:rFonts w:ascii="宋体" w:hAnsi="宋体" w:eastAsia="宋体"/>
          <w:bCs/>
          <w:sz w:val="24"/>
          <w:szCs w:val="24"/>
        </w:rPr>
        <w:t>若甲方提出项目的部分变更，甲方应以书面形式提交给乙方。乙方应在5个工作日内对此做出书面回应，其内容包括详细的该变更对合同价格、项目交付日期、系统性能、项目技术参数的影响和变化以及对合同条款的影响等。乙方逾期未回应的，视为对甲方提出变更要求予以默认。</w:t>
      </w:r>
    </w:p>
    <w:p>
      <w:pPr>
        <w:spacing w:line="540" w:lineRule="exact"/>
        <w:ind w:firstLine="480"/>
        <w:rPr>
          <w:rFonts w:ascii="宋体" w:hAnsi="宋体" w:eastAsia="宋体"/>
          <w:bCs/>
          <w:sz w:val="24"/>
          <w:szCs w:val="24"/>
        </w:rPr>
      </w:pPr>
      <w:r>
        <w:rPr>
          <w:rFonts w:ascii="宋体" w:hAnsi="宋体" w:eastAsia="宋体"/>
          <w:bCs/>
          <w:sz w:val="24"/>
          <w:szCs w:val="24"/>
        </w:rPr>
        <w:t>3</w:t>
      </w:r>
      <w:r>
        <w:rPr>
          <w:rFonts w:ascii="宋体" w:hAnsi="宋体" w:eastAsia="宋体"/>
          <w:bCs/>
          <w:sz w:val="24"/>
          <w:szCs w:val="24"/>
          <w:lang w:eastAsia="zh-CN"/>
        </w:rPr>
        <w:t>、</w:t>
      </w:r>
      <w:r>
        <w:rPr>
          <w:rFonts w:ascii="宋体" w:hAnsi="宋体" w:eastAsia="宋体"/>
          <w:bCs/>
          <w:sz w:val="24"/>
          <w:szCs w:val="24"/>
        </w:rPr>
        <w:t>甲方收到乙方的上述回应后，应在3个工作日内以书面方式通知乙方是否同意和接受乙方的上述回应。如果甲方接受乙方的上述回应，则双方另行对此变更签署补充协议予以确认，甲乙双方则按变更后的约定履行本合同。</w:t>
      </w:r>
    </w:p>
    <w:p>
      <w:pPr>
        <w:spacing w:line="540" w:lineRule="exact"/>
        <w:ind w:firstLine="480"/>
        <w:rPr>
          <w:rFonts w:ascii="宋体" w:hAnsi="宋体" w:eastAsia="宋体"/>
          <w:bCs/>
          <w:sz w:val="24"/>
          <w:szCs w:val="24"/>
        </w:rPr>
      </w:pPr>
      <w:r>
        <w:rPr>
          <w:rFonts w:ascii="宋体" w:hAnsi="宋体" w:eastAsia="宋体"/>
          <w:bCs/>
          <w:sz w:val="24"/>
          <w:szCs w:val="24"/>
        </w:rPr>
        <w:t>4</w:t>
      </w:r>
      <w:r>
        <w:rPr>
          <w:rFonts w:ascii="宋体" w:hAnsi="宋体" w:eastAsia="宋体"/>
          <w:bCs/>
          <w:sz w:val="24"/>
          <w:szCs w:val="24"/>
          <w:lang w:eastAsia="zh-CN"/>
        </w:rPr>
        <w:t>、</w:t>
      </w:r>
      <w:r>
        <w:rPr>
          <w:rFonts w:ascii="宋体" w:hAnsi="宋体" w:eastAsia="宋体"/>
          <w:bCs/>
          <w:sz w:val="24"/>
          <w:szCs w:val="24"/>
        </w:rPr>
        <w:t>如乙方提出项目的部分变更建议，乙方应以书面方式向甲方详细阐明该变更对合同价格、项目交付日期、系统性能、项目技术参数的影响和变化以及对合同条款的影响等，甲方应在10个工作日内对此做出书面回应。双方另行对此变更签署补充协议予以确认，甲乙双方则按变更后的约定履行本合同。</w:t>
      </w:r>
    </w:p>
    <w:p>
      <w:pPr>
        <w:spacing w:line="540" w:lineRule="exact"/>
        <w:ind w:firstLine="480"/>
        <w:rPr>
          <w:rFonts w:ascii="宋体" w:hAnsi="宋体" w:eastAsia="宋体"/>
          <w:bCs/>
          <w:sz w:val="24"/>
          <w:szCs w:val="24"/>
        </w:rPr>
      </w:pPr>
      <w:r>
        <w:rPr>
          <w:rFonts w:ascii="宋体" w:hAnsi="宋体" w:eastAsia="宋体"/>
          <w:bCs/>
          <w:sz w:val="24"/>
          <w:szCs w:val="24"/>
        </w:rPr>
        <w:t>5</w:t>
      </w:r>
      <w:r>
        <w:rPr>
          <w:rFonts w:ascii="宋体" w:hAnsi="宋体" w:eastAsia="宋体"/>
          <w:bCs/>
          <w:sz w:val="24"/>
          <w:szCs w:val="24"/>
          <w:lang w:eastAsia="zh-CN"/>
        </w:rPr>
        <w:t>、</w:t>
      </w:r>
      <w:r>
        <w:rPr>
          <w:rFonts w:ascii="宋体" w:hAnsi="宋体" w:eastAsia="宋体"/>
          <w:bCs/>
          <w:sz w:val="24"/>
          <w:szCs w:val="24"/>
        </w:rPr>
        <w:t xml:space="preserve">甲乙双方就合同变更事宜未达成一致的，双方仍按原合同执行。 </w:t>
      </w:r>
    </w:p>
    <w:p>
      <w:pPr>
        <w:spacing w:line="540" w:lineRule="exact"/>
        <w:ind w:firstLine="482"/>
        <w:rPr>
          <w:rFonts w:ascii="宋体" w:hAnsi="宋体" w:eastAsia="宋体"/>
          <w:b/>
          <w:sz w:val="24"/>
          <w:szCs w:val="24"/>
          <w:lang w:val="zh-CN"/>
        </w:rPr>
      </w:pPr>
      <w:r>
        <w:rPr>
          <w:rFonts w:ascii="宋体" w:hAnsi="宋体" w:eastAsia="宋体"/>
          <w:b/>
          <w:sz w:val="24"/>
          <w:szCs w:val="24"/>
        </w:rPr>
        <w:t>九</w:t>
      </w:r>
      <w:r>
        <w:rPr>
          <w:rFonts w:ascii="宋体" w:hAnsi="宋体" w:eastAsia="宋体"/>
          <w:b/>
          <w:sz w:val="24"/>
          <w:szCs w:val="24"/>
          <w:lang w:val="zh-CN"/>
        </w:rPr>
        <w:t>、合同款项支付</w:t>
      </w:r>
      <w:bookmarkEnd w:id="692"/>
      <w:bookmarkEnd w:id="693"/>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本合同价款总额为</w:t>
      </w:r>
      <w:r>
        <w:rPr>
          <w:rFonts w:ascii="宋体" w:hAnsi="宋体" w:eastAsia="宋体" w:cs="宋体"/>
          <w:bCs/>
          <w:sz w:val="24"/>
          <w:szCs w:val="24"/>
          <w:lang w:val="zh-CN"/>
        </w:rPr>
        <w:t>¥</w:t>
      </w:r>
      <w:r>
        <w:rPr>
          <w:rFonts w:ascii="宋体" w:hAnsi="宋体" w:eastAsia="宋体"/>
          <w:bCs/>
          <w:sz w:val="24"/>
          <w:szCs w:val="24"/>
          <w:lang w:val="zh-CN"/>
        </w:rPr>
        <w:t>：</w:t>
      </w:r>
      <w:r>
        <w:rPr>
          <w:rFonts w:ascii="宋体" w:hAnsi="宋体" w:eastAsia="宋体"/>
          <w:bCs/>
          <w:sz w:val="24"/>
          <w:szCs w:val="24"/>
          <w:u w:val="single"/>
          <w:lang w:val="zh-CN"/>
        </w:rPr>
        <w:t xml:space="preserve">      </w:t>
      </w:r>
      <w:r>
        <w:rPr>
          <w:rFonts w:ascii="宋体" w:hAnsi="宋体" w:eastAsia="宋体"/>
          <w:bCs/>
          <w:sz w:val="24"/>
          <w:szCs w:val="24"/>
          <w:lang w:val="zh-CN"/>
        </w:rPr>
        <w:t>元（大写：人民币</w:t>
      </w:r>
      <w:r>
        <w:rPr>
          <w:rFonts w:ascii="宋体" w:hAnsi="宋体" w:eastAsia="宋体"/>
          <w:bCs/>
          <w:sz w:val="24"/>
          <w:szCs w:val="24"/>
          <w:u w:val="single"/>
          <w:lang w:val="zh-CN"/>
        </w:rPr>
        <w:t xml:space="preserve">      </w:t>
      </w:r>
      <w:r>
        <w:rPr>
          <w:rFonts w:ascii="宋体" w:hAnsi="宋体" w:eastAsia="宋体"/>
          <w:bCs/>
          <w:sz w:val="24"/>
          <w:szCs w:val="24"/>
          <w:lang w:val="zh-CN"/>
        </w:rPr>
        <w:t>元整），不含税价款为</w:t>
      </w:r>
      <w:r>
        <w:rPr>
          <w:rFonts w:ascii="宋体" w:hAnsi="宋体" w:eastAsia="宋体" w:cs="宋体"/>
          <w:bCs/>
          <w:sz w:val="24"/>
          <w:szCs w:val="24"/>
          <w:lang w:val="zh-CN"/>
        </w:rPr>
        <w:t>¥</w:t>
      </w:r>
      <w:r>
        <w:rPr>
          <w:rFonts w:ascii="宋体" w:hAnsi="宋体" w:eastAsia="宋体"/>
          <w:bCs/>
          <w:sz w:val="24"/>
          <w:szCs w:val="24"/>
          <w:lang w:val="zh-CN"/>
        </w:rPr>
        <w:t>：</w:t>
      </w:r>
      <w:r>
        <w:rPr>
          <w:rFonts w:ascii="宋体" w:hAnsi="宋体" w:eastAsia="宋体"/>
          <w:bCs/>
          <w:sz w:val="24"/>
          <w:szCs w:val="24"/>
          <w:u w:val="single"/>
          <w:lang w:val="zh-CN"/>
        </w:rPr>
        <w:t xml:space="preserve">      </w:t>
      </w:r>
      <w:r>
        <w:rPr>
          <w:rFonts w:ascii="宋体" w:hAnsi="宋体" w:eastAsia="宋体"/>
          <w:bCs/>
          <w:sz w:val="24"/>
          <w:szCs w:val="24"/>
          <w:lang w:val="zh-CN"/>
        </w:rPr>
        <w:t>元（大写：人民币</w:t>
      </w:r>
      <w:r>
        <w:rPr>
          <w:rFonts w:ascii="宋体" w:hAnsi="宋体" w:eastAsia="宋体"/>
          <w:bCs/>
          <w:sz w:val="24"/>
          <w:szCs w:val="24"/>
          <w:u w:val="single"/>
          <w:lang w:val="zh-CN"/>
        </w:rPr>
        <w:t xml:space="preserve">      </w:t>
      </w:r>
      <w:r>
        <w:rPr>
          <w:rFonts w:ascii="宋体" w:hAnsi="宋体" w:eastAsia="宋体"/>
          <w:bCs/>
          <w:sz w:val="24"/>
          <w:szCs w:val="24"/>
          <w:lang w:val="zh-CN"/>
        </w:rPr>
        <w:t>元整）。</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甲乙双方确认，按以下条款进行合同款项支付：</w:t>
      </w:r>
    </w:p>
    <w:p>
      <w:pPr>
        <w:spacing w:line="540" w:lineRule="exact"/>
        <w:ind w:firstLine="480" w:firstLineChars="200"/>
        <w:rPr>
          <w:rFonts w:ascii="宋体" w:hAnsi="宋体" w:eastAsia="PMingLiU"/>
          <w:bCs/>
          <w:sz w:val="24"/>
          <w:szCs w:val="24"/>
          <w:lang w:val="zh-CN"/>
        </w:rPr>
      </w:pPr>
      <w:r>
        <w:rPr>
          <w:rFonts w:hint="default" w:ascii="宋体" w:hAnsi="宋体" w:eastAsia="宋体"/>
          <w:bCs/>
          <w:sz w:val="24"/>
          <w:szCs w:val="24"/>
          <w:lang w:val="zh-CN"/>
        </w:rPr>
        <w:t>第一阶段</w:t>
      </w:r>
      <w:r>
        <w:rPr>
          <w:rFonts w:ascii="宋体" w:hAnsi="宋体" w:eastAsia="宋体"/>
          <w:bCs/>
          <w:sz w:val="24"/>
          <w:szCs w:val="24"/>
          <w:lang w:val="zh-CN" w:eastAsia="zh-CN"/>
        </w:rPr>
        <w:t>：</w:t>
      </w:r>
      <w:r>
        <w:rPr>
          <w:rFonts w:hint="default" w:ascii="宋体" w:hAnsi="宋体" w:eastAsia="宋体"/>
          <w:bCs/>
          <w:sz w:val="24"/>
          <w:szCs w:val="24"/>
          <w:lang w:val="zh-CN"/>
        </w:rPr>
        <w:t>签订合同并开工15日历天内，甲方向乙方支付</w:t>
      </w:r>
      <w:r>
        <w:rPr>
          <w:rFonts w:ascii="宋体" w:hAnsi="宋体" w:eastAsia="宋体"/>
          <w:bCs/>
          <w:sz w:val="24"/>
          <w:szCs w:val="24"/>
          <w:lang w:val="zh-CN" w:eastAsia="zh-CN"/>
        </w:rPr>
        <w:t>合同</w:t>
      </w:r>
      <w:r>
        <w:rPr>
          <w:rFonts w:hint="default" w:ascii="宋体" w:hAnsi="宋体" w:eastAsia="宋体"/>
          <w:bCs/>
          <w:sz w:val="24"/>
          <w:szCs w:val="24"/>
          <w:lang w:val="zh-CN"/>
        </w:rPr>
        <w:t>总额的30%</w:t>
      </w:r>
      <w:r>
        <w:rPr>
          <w:rFonts w:ascii="宋体" w:hAnsi="宋体" w:eastAsia="宋体"/>
          <w:bCs/>
          <w:sz w:val="24"/>
          <w:szCs w:val="24"/>
          <w:lang w:val="zh-CN" w:eastAsia="zh-CN"/>
        </w:rPr>
        <w:t>；</w:t>
      </w:r>
    </w:p>
    <w:p>
      <w:pPr>
        <w:spacing w:line="540" w:lineRule="exact"/>
        <w:ind w:firstLine="480" w:firstLineChars="200"/>
        <w:rPr>
          <w:rFonts w:hint="default" w:ascii="宋体" w:hAnsi="宋体" w:eastAsia="宋体"/>
          <w:bCs/>
          <w:sz w:val="24"/>
          <w:szCs w:val="24"/>
          <w:lang w:val="zh-CN"/>
        </w:rPr>
      </w:pPr>
      <w:r>
        <w:rPr>
          <w:rFonts w:hint="default" w:ascii="宋体" w:hAnsi="宋体" w:eastAsia="宋体"/>
          <w:bCs/>
          <w:sz w:val="24"/>
          <w:szCs w:val="24"/>
          <w:lang w:val="zh-CN"/>
        </w:rPr>
        <w:t>第二阶段</w:t>
      </w:r>
      <w:r>
        <w:rPr>
          <w:rFonts w:ascii="宋体" w:hAnsi="宋体" w:eastAsia="宋体"/>
          <w:bCs/>
          <w:sz w:val="24"/>
          <w:szCs w:val="24"/>
          <w:lang w:val="zh-CN" w:eastAsia="zh-CN"/>
        </w:rPr>
        <w:t>：</w:t>
      </w:r>
      <w:r>
        <w:rPr>
          <w:rFonts w:hint="default" w:ascii="宋体" w:hAnsi="宋体" w:eastAsia="宋体"/>
          <w:bCs/>
          <w:sz w:val="24"/>
          <w:szCs w:val="24"/>
          <w:lang w:val="zh-CN"/>
        </w:rPr>
        <w:t>系统软硬件部署完成后15日历天内，甲方向乙方支付合同总额的30%</w:t>
      </w:r>
      <w:r>
        <w:rPr>
          <w:rFonts w:ascii="宋体" w:hAnsi="宋体" w:eastAsia="宋体"/>
          <w:bCs/>
          <w:sz w:val="24"/>
          <w:szCs w:val="24"/>
          <w:lang w:val="zh-CN" w:eastAsia="zh-CN"/>
        </w:rPr>
        <w:t>；</w:t>
      </w:r>
    </w:p>
    <w:p>
      <w:pPr>
        <w:spacing w:line="540" w:lineRule="exact"/>
        <w:ind w:firstLine="480" w:firstLineChars="200"/>
        <w:rPr>
          <w:rFonts w:hint="default" w:ascii="宋体" w:hAnsi="宋体" w:eastAsia="宋体"/>
          <w:bCs/>
          <w:sz w:val="24"/>
          <w:szCs w:val="24"/>
          <w:lang w:val="zh-CN"/>
        </w:rPr>
      </w:pPr>
      <w:r>
        <w:rPr>
          <w:rFonts w:hint="default" w:ascii="宋体" w:hAnsi="宋体" w:eastAsia="宋体"/>
          <w:bCs/>
          <w:sz w:val="24"/>
          <w:szCs w:val="24"/>
          <w:lang w:val="zh-CN"/>
        </w:rPr>
        <w:t>第三阶段</w:t>
      </w:r>
      <w:r>
        <w:rPr>
          <w:rFonts w:ascii="宋体" w:hAnsi="宋体" w:eastAsia="宋体"/>
          <w:bCs/>
          <w:sz w:val="24"/>
          <w:szCs w:val="24"/>
          <w:lang w:val="zh-CN" w:eastAsia="zh-CN"/>
        </w:rPr>
        <w:t>：</w:t>
      </w:r>
      <w:r>
        <w:rPr>
          <w:rFonts w:hint="default" w:ascii="宋体" w:hAnsi="宋体" w:eastAsia="宋体"/>
          <w:bCs/>
          <w:sz w:val="24"/>
          <w:szCs w:val="24"/>
          <w:lang w:val="zh-CN"/>
        </w:rPr>
        <w:t>项目验收合格15日历天内，甲方向乙方支付合同总额的40%。</w:t>
      </w:r>
    </w:p>
    <w:p>
      <w:pPr>
        <w:spacing w:line="540" w:lineRule="exact"/>
        <w:ind w:firstLine="480"/>
        <w:rPr>
          <w:rFonts w:ascii="宋体" w:hAnsi="宋体" w:eastAsia="宋体"/>
          <w:bCs/>
          <w:sz w:val="24"/>
          <w:szCs w:val="24"/>
          <w:lang w:val="zh-CN"/>
        </w:rPr>
      </w:pPr>
      <w:r>
        <w:rPr>
          <w:rFonts w:hint="default" w:ascii="宋体" w:hAnsi="宋体" w:eastAsia="宋体"/>
          <w:bCs/>
          <w:sz w:val="24"/>
          <w:szCs w:val="24"/>
          <w:lang w:val="zh-CN"/>
        </w:rPr>
        <w:t>备注:系统软硬件部署完成是指本系统采购除定制开发外的软硬件设备全部部署完成</w:t>
      </w:r>
      <w:r>
        <w:rPr>
          <w:rFonts w:ascii="宋体" w:hAnsi="宋体" w:eastAsia="宋体"/>
          <w:bCs/>
          <w:sz w:val="24"/>
          <w:szCs w:val="24"/>
          <w:lang w:val="zh-CN" w:eastAsia="zh-CN"/>
        </w:rPr>
        <w:t>；</w:t>
      </w:r>
      <w:r>
        <w:rPr>
          <w:rFonts w:hint="default" w:ascii="宋体" w:hAnsi="宋体" w:eastAsia="宋体"/>
          <w:bCs/>
          <w:sz w:val="24"/>
          <w:szCs w:val="24"/>
          <w:lang w:val="zh-CN"/>
        </w:rPr>
        <w:t>项目验收合格是指软件上线运行三个月以上且医院电子病历四级评审通过</w:t>
      </w:r>
      <w:r>
        <w:rPr>
          <w:rFonts w:ascii="宋体" w:hAnsi="宋体" w:eastAsia="宋体"/>
          <w:bCs/>
          <w:sz w:val="24"/>
          <w:szCs w:val="24"/>
          <w:lang w:val="zh-CN" w:eastAsia="zh-CN"/>
        </w:rPr>
        <w:t>；</w:t>
      </w:r>
      <w:r>
        <w:rPr>
          <w:rFonts w:hint="default" w:ascii="宋体" w:hAnsi="宋体" w:eastAsia="宋体"/>
          <w:bCs/>
          <w:sz w:val="24"/>
          <w:szCs w:val="24"/>
          <w:lang w:val="zh-CN"/>
        </w:rPr>
        <w:t>在每次支付费用前，乙方需提前7个日历天向甲方提供发票，否则甲方有权拒绝或延迟付款而不承担违约责任</w:t>
      </w:r>
      <w:r>
        <w:rPr>
          <w:rFonts w:ascii="宋体" w:hAnsi="宋体" w:eastAsia="宋体"/>
          <w:bCs/>
          <w:sz w:val="24"/>
          <w:szCs w:val="24"/>
          <w:lang w:val="zh-CN"/>
        </w:rPr>
        <w:t>。</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以上“乙方票据”是指增值税专用发票在内的提请付款的票据。</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付款前乙方需提供付款申请及满足甲方要求的等额合法合规增值税专用发票，否则甲方有权拒绝付款，且不视为违约。</w:t>
      </w:r>
    </w:p>
    <w:p>
      <w:pPr>
        <w:pStyle w:val="346"/>
        <w:spacing w:line="540" w:lineRule="exact"/>
        <w:ind w:firstLine="480"/>
        <w:rPr>
          <w:bCs/>
          <w:szCs w:val="24"/>
          <w:lang w:val="zh-CN"/>
        </w:rPr>
      </w:pPr>
      <w:r>
        <w:rPr>
          <w:rFonts w:hint="eastAsia"/>
          <w:bCs/>
          <w:szCs w:val="24"/>
          <w:lang w:val="zh-CN"/>
        </w:rPr>
        <w:t>双方确认，甲方通过银行转账方式向乙方以下指定账户支付本合同约定价款。</w:t>
      </w:r>
    </w:p>
    <w:p>
      <w:pPr>
        <w:spacing w:line="540" w:lineRule="exact"/>
        <w:ind w:firstLine="480"/>
        <w:rPr>
          <w:rFonts w:ascii="宋体" w:hAnsi="宋体" w:eastAsia="宋体"/>
          <w:bCs/>
          <w:sz w:val="24"/>
          <w:szCs w:val="24"/>
          <w:lang w:val="zh-CN"/>
        </w:rPr>
      </w:pPr>
      <w:r>
        <w:rPr>
          <w:rFonts w:ascii="宋体" w:hAnsi="宋体" w:eastAsia="宋体"/>
          <w:bCs/>
          <w:sz w:val="24"/>
          <w:szCs w:val="24"/>
        </w:rPr>
        <w:t>公司名称</w:t>
      </w:r>
      <w:r>
        <w:rPr>
          <w:rFonts w:ascii="宋体" w:hAnsi="宋体" w:eastAsia="宋体"/>
          <w:bCs/>
          <w:sz w:val="24"/>
          <w:szCs w:val="24"/>
          <w:lang w:val="zh-CN"/>
        </w:rPr>
        <w:t xml:space="preserve">： </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 xml:space="preserve">纳税人识别号： </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 xml:space="preserve">地址电话： </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 xml:space="preserve">开户行： </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 xml:space="preserve">账  号： </w:t>
      </w:r>
    </w:p>
    <w:p>
      <w:pPr>
        <w:pStyle w:val="346"/>
        <w:spacing w:line="540" w:lineRule="exact"/>
        <w:ind w:firstLine="480"/>
        <w:rPr>
          <w:bCs/>
          <w:szCs w:val="24"/>
          <w:lang w:val="zh-CN"/>
        </w:rPr>
      </w:pPr>
      <w:r>
        <w:rPr>
          <w:rFonts w:hint="eastAsia"/>
          <w:bCs/>
          <w:szCs w:val="24"/>
          <w:lang w:val="zh-CN"/>
        </w:rPr>
        <w:t>甲方将合同款项付至前述账号，即视为甲方已履行付款义务。由于乙方原因造成延迟付款等问题的，一切后果由乙方承担。</w:t>
      </w:r>
    </w:p>
    <w:p>
      <w:pPr>
        <w:pStyle w:val="346"/>
        <w:spacing w:line="540" w:lineRule="exact"/>
        <w:ind w:firstLine="480"/>
        <w:rPr>
          <w:bCs/>
          <w:szCs w:val="24"/>
        </w:rPr>
      </w:pPr>
      <w:r>
        <w:rPr>
          <w:rFonts w:hint="eastAsia"/>
          <w:bCs/>
          <w:szCs w:val="24"/>
        </w:rPr>
        <w:t>甲方开票信息：</w:t>
      </w:r>
    </w:p>
    <w:p>
      <w:pPr>
        <w:pStyle w:val="346"/>
        <w:spacing w:line="540" w:lineRule="exact"/>
        <w:ind w:firstLine="480"/>
        <w:rPr>
          <w:bCs/>
          <w:szCs w:val="24"/>
          <w:lang w:val="zh-CN"/>
        </w:rPr>
      </w:pPr>
      <w:r>
        <w:rPr>
          <w:rFonts w:hint="eastAsia"/>
          <w:bCs/>
          <w:szCs w:val="24"/>
          <w:lang w:val="zh-CN"/>
        </w:rPr>
        <w:t xml:space="preserve">公司名称： </w:t>
      </w:r>
    </w:p>
    <w:p>
      <w:pPr>
        <w:pStyle w:val="346"/>
        <w:spacing w:line="540" w:lineRule="exact"/>
        <w:ind w:firstLine="480"/>
        <w:rPr>
          <w:bCs/>
          <w:szCs w:val="24"/>
          <w:lang w:val="zh-CN"/>
        </w:rPr>
      </w:pPr>
      <w:r>
        <w:rPr>
          <w:rFonts w:hint="eastAsia"/>
          <w:bCs/>
          <w:szCs w:val="24"/>
          <w:lang w:val="zh-CN"/>
        </w:rPr>
        <w:t>社会统一信用代码：</w:t>
      </w:r>
      <w:r>
        <w:rPr>
          <w:bCs/>
          <w:szCs w:val="24"/>
          <w:lang w:val="zh-CN"/>
        </w:rPr>
        <w:t xml:space="preserve"> </w:t>
      </w:r>
      <w:r>
        <w:rPr>
          <w:rFonts w:hint="eastAsia"/>
          <w:bCs/>
          <w:szCs w:val="24"/>
          <w:lang w:val="zh-CN"/>
        </w:rPr>
        <w:t xml:space="preserve">  </w:t>
      </w:r>
    </w:p>
    <w:p>
      <w:pPr>
        <w:pStyle w:val="346"/>
        <w:spacing w:line="540" w:lineRule="exact"/>
        <w:ind w:firstLine="480"/>
        <w:rPr>
          <w:bCs/>
          <w:szCs w:val="24"/>
          <w:lang w:val="zh-CN"/>
        </w:rPr>
      </w:pPr>
      <w:r>
        <w:rPr>
          <w:rFonts w:hint="eastAsia"/>
          <w:bCs/>
          <w:szCs w:val="24"/>
          <w:lang w:val="zh-CN"/>
        </w:rPr>
        <w:t xml:space="preserve">地址：    </w:t>
      </w:r>
    </w:p>
    <w:p>
      <w:pPr>
        <w:pStyle w:val="346"/>
        <w:spacing w:line="540" w:lineRule="exact"/>
        <w:ind w:firstLine="480"/>
        <w:rPr>
          <w:bCs/>
          <w:szCs w:val="24"/>
          <w:lang w:val="zh-CN"/>
        </w:rPr>
      </w:pPr>
      <w:r>
        <w:rPr>
          <w:rFonts w:hint="eastAsia"/>
          <w:bCs/>
          <w:szCs w:val="24"/>
          <w:lang w:val="zh-CN"/>
        </w:rPr>
        <w:t>电话：</w:t>
      </w:r>
      <w:r>
        <w:rPr>
          <w:bCs/>
          <w:szCs w:val="24"/>
          <w:lang w:val="zh-CN"/>
        </w:rPr>
        <w:t xml:space="preserve"> </w:t>
      </w:r>
    </w:p>
    <w:p>
      <w:pPr>
        <w:pStyle w:val="346"/>
        <w:spacing w:line="540" w:lineRule="exact"/>
        <w:ind w:firstLine="480"/>
        <w:rPr>
          <w:bCs/>
          <w:szCs w:val="24"/>
          <w:lang w:val="zh-CN"/>
        </w:rPr>
      </w:pPr>
      <w:r>
        <w:rPr>
          <w:rFonts w:hint="eastAsia"/>
          <w:bCs/>
          <w:szCs w:val="24"/>
          <w:lang w:val="zh-CN"/>
        </w:rPr>
        <w:t xml:space="preserve">开户行：     </w:t>
      </w:r>
    </w:p>
    <w:p>
      <w:pPr>
        <w:pStyle w:val="346"/>
        <w:spacing w:line="540" w:lineRule="exact"/>
        <w:ind w:firstLine="480"/>
        <w:rPr>
          <w:bCs/>
          <w:szCs w:val="24"/>
          <w:lang w:val="zh-CN"/>
        </w:rPr>
      </w:pPr>
      <w:r>
        <w:rPr>
          <w:rFonts w:hint="eastAsia"/>
          <w:bCs/>
          <w:szCs w:val="24"/>
          <w:lang w:val="zh-CN"/>
        </w:rPr>
        <w:t>账号：</w:t>
      </w:r>
      <w:r>
        <w:rPr>
          <w:bCs/>
          <w:szCs w:val="24"/>
          <w:lang w:val="zh-CN"/>
        </w:rPr>
        <w:t xml:space="preserve"> </w:t>
      </w:r>
    </w:p>
    <w:p>
      <w:pPr>
        <w:spacing w:line="540" w:lineRule="exact"/>
        <w:ind w:firstLine="482"/>
        <w:rPr>
          <w:rFonts w:ascii="宋体" w:hAnsi="宋体" w:eastAsia="宋体"/>
          <w:b/>
          <w:sz w:val="24"/>
          <w:szCs w:val="24"/>
          <w:lang w:val="zh-CN"/>
        </w:rPr>
      </w:pPr>
      <w:bookmarkStart w:id="694" w:name="_Toc502922529"/>
      <w:bookmarkStart w:id="695" w:name="_Toc11424931"/>
      <w:r>
        <w:rPr>
          <w:rFonts w:ascii="宋体" w:hAnsi="宋体" w:eastAsia="宋体"/>
          <w:b/>
          <w:sz w:val="24"/>
          <w:szCs w:val="24"/>
        </w:rPr>
        <w:t>十</w:t>
      </w:r>
      <w:r>
        <w:rPr>
          <w:rFonts w:ascii="宋体" w:hAnsi="宋体" w:eastAsia="宋体"/>
          <w:b/>
          <w:sz w:val="24"/>
          <w:szCs w:val="24"/>
          <w:lang w:val="zh-CN"/>
        </w:rPr>
        <w:t>、质量保证及售后服务</w:t>
      </w:r>
      <w:bookmarkEnd w:id="694"/>
      <w:bookmarkEnd w:id="695"/>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1</w:t>
      </w:r>
      <w:r>
        <w:rPr>
          <w:rFonts w:ascii="宋体" w:hAnsi="宋体" w:eastAsia="宋体"/>
          <w:bCs/>
          <w:sz w:val="24"/>
          <w:szCs w:val="24"/>
          <w:lang w:val="zh-CN" w:eastAsia="zh-CN"/>
        </w:rPr>
        <w:t>、</w:t>
      </w:r>
      <w:r>
        <w:rPr>
          <w:rFonts w:ascii="宋体" w:hAnsi="宋体" w:eastAsia="宋体"/>
          <w:bCs/>
          <w:sz w:val="24"/>
          <w:szCs w:val="24"/>
          <w:lang w:val="zh-CN"/>
        </w:rPr>
        <w:t>乙方保证本合同中所供应的产品（软件和服务）是符合国家相关标准规范的合格产品。如发生所供产品与合同不符，甲方有权拒收，由此产生的一切责任和后果由乙方承担。</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2</w:t>
      </w:r>
      <w:r>
        <w:rPr>
          <w:rFonts w:ascii="宋体" w:hAnsi="宋体" w:eastAsia="宋体"/>
          <w:bCs/>
          <w:sz w:val="24"/>
          <w:szCs w:val="24"/>
          <w:lang w:val="zh-CN" w:eastAsia="zh-CN"/>
        </w:rPr>
        <w:t>、</w:t>
      </w:r>
      <w:r>
        <w:rPr>
          <w:rFonts w:ascii="宋体" w:hAnsi="宋体" w:eastAsia="宋体"/>
          <w:bCs/>
          <w:sz w:val="24"/>
          <w:szCs w:val="24"/>
          <w:lang w:val="zh-CN"/>
        </w:rPr>
        <w:t>乙方提供的产品（软件和服务）在维保期内因产品本身的质量问题发生故障，乙方应负责免费更新。对达不到技术要求者，根据实际情况，经双方协商，可按以下办法处理：</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（1）开发更新：由乙方承担所发生的全部费用。</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（2）贬值处理：由甲乙双方合议定价。</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（3）拒收处理：乙方应退还甲方支付的合同款，同时应承担该产品的直接费用（保险、检验、款项利息及银行手续费等）。</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3</w:t>
      </w:r>
      <w:r>
        <w:rPr>
          <w:rFonts w:ascii="宋体" w:hAnsi="宋体" w:eastAsia="宋体"/>
          <w:bCs/>
          <w:sz w:val="24"/>
          <w:szCs w:val="24"/>
          <w:lang w:val="zh-CN" w:eastAsia="zh-CN"/>
        </w:rPr>
        <w:t>、</w:t>
      </w:r>
      <w:r>
        <w:rPr>
          <w:rFonts w:ascii="宋体" w:hAnsi="宋体" w:eastAsia="宋体"/>
          <w:bCs/>
          <w:sz w:val="24"/>
          <w:szCs w:val="24"/>
          <w:lang w:val="zh-CN"/>
        </w:rPr>
        <w:t>在</w:t>
      </w:r>
      <w:r>
        <w:rPr>
          <w:rFonts w:ascii="宋体" w:hAnsi="宋体" w:eastAsia="宋体"/>
          <w:bCs/>
          <w:sz w:val="24"/>
          <w:szCs w:val="24"/>
        </w:rPr>
        <w:t>合同有效</w:t>
      </w:r>
      <w:r>
        <w:rPr>
          <w:rFonts w:ascii="宋体" w:hAnsi="宋体" w:eastAsia="宋体"/>
          <w:bCs/>
          <w:sz w:val="24"/>
          <w:szCs w:val="24"/>
          <w:lang w:val="zh-CN"/>
        </w:rPr>
        <w:t>期内，乙方应对产品（软件和服务）出现的质量及安全问题负责处理解决。</w:t>
      </w:r>
    </w:p>
    <w:p>
      <w:pPr>
        <w:tabs>
          <w:tab w:val="left" w:pos="210"/>
        </w:tabs>
        <w:spacing w:line="540" w:lineRule="exact"/>
        <w:ind w:firstLine="480"/>
        <w:rPr>
          <w:rFonts w:ascii="宋体" w:hAnsi="宋体" w:eastAsia="宋体"/>
          <w:bCs/>
          <w:sz w:val="24"/>
          <w:szCs w:val="24"/>
          <w:lang w:val="zh-CN"/>
        </w:rPr>
      </w:pPr>
      <w:r>
        <w:rPr>
          <w:rFonts w:ascii="宋体" w:hAnsi="宋体" w:eastAsia="宋体"/>
          <w:bCs/>
          <w:sz w:val="24"/>
          <w:szCs w:val="24"/>
        </w:rPr>
        <w:t>4</w:t>
      </w:r>
      <w:r>
        <w:rPr>
          <w:rFonts w:ascii="宋体" w:hAnsi="宋体" w:eastAsia="宋体"/>
          <w:bCs/>
          <w:sz w:val="24"/>
          <w:szCs w:val="24"/>
          <w:lang w:eastAsia="zh-CN"/>
        </w:rPr>
        <w:t>、</w:t>
      </w:r>
      <w:r>
        <w:rPr>
          <w:rFonts w:ascii="宋体" w:hAnsi="宋体" w:eastAsia="宋体"/>
          <w:bCs/>
          <w:sz w:val="24"/>
          <w:szCs w:val="24"/>
          <w:lang w:val="zh-CN"/>
        </w:rPr>
        <w:t>对于因第三方提供的设备或软件造成的故障不在乙方维护范围内，需要时乙方提供相应的配合。</w:t>
      </w:r>
    </w:p>
    <w:p>
      <w:pPr>
        <w:tabs>
          <w:tab w:val="left" w:pos="210"/>
        </w:tabs>
        <w:spacing w:line="540" w:lineRule="exact"/>
        <w:ind w:firstLine="480"/>
        <w:rPr>
          <w:rFonts w:ascii="宋体" w:hAnsi="宋体" w:eastAsia="宋体"/>
          <w:bCs/>
          <w:sz w:val="24"/>
          <w:szCs w:val="24"/>
          <w:lang w:val="zh-CN"/>
        </w:rPr>
      </w:pPr>
      <w:r>
        <w:rPr>
          <w:rFonts w:ascii="宋体" w:hAnsi="宋体" w:eastAsia="宋体"/>
          <w:bCs/>
          <w:sz w:val="24"/>
          <w:szCs w:val="24"/>
        </w:rPr>
        <w:t>5</w:t>
      </w:r>
      <w:r>
        <w:rPr>
          <w:rFonts w:ascii="宋体" w:hAnsi="宋体" w:eastAsia="宋体"/>
          <w:bCs/>
          <w:sz w:val="24"/>
          <w:szCs w:val="24"/>
          <w:lang w:eastAsia="zh-CN"/>
        </w:rPr>
        <w:t>、</w:t>
      </w:r>
      <w:r>
        <w:rPr>
          <w:rFonts w:ascii="宋体" w:hAnsi="宋体" w:eastAsia="宋体"/>
          <w:bCs/>
          <w:sz w:val="24"/>
          <w:szCs w:val="24"/>
          <w:lang w:val="zh-CN"/>
        </w:rPr>
        <w:t>免费维护期满后，乙方收取维护费，具体甲乙双方另行协商签订维护协议。</w:t>
      </w:r>
    </w:p>
    <w:p>
      <w:pPr>
        <w:spacing w:line="540" w:lineRule="exact"/>
        <w:ind w:firstLine="482"/>
        <w:rPr>
          <w:rFonts w:ascii="宋体" w:hAnsi="宋体" w:eastAsia="宋体"/>
          <w:b/>
          <w:sz w:val="24"/>
          <w:szCs w:val="24"/>
        </w:rPr>
      </w:pPr>
      <w:r>
        <w:rPr>
          <w:rFonts w:ascii="宋体" w:hAnsi="宋体" w:eastAsia="宋体"/>
          <w:b/>
          <w:sz w:val="24"/>
          <w:szCs w:val="24"/>
        </w:rPr>
        <w:t>十一、保密条款</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1</w:t>
      </w:r>
      <w:r>
        <w:rPr>
          <w:rFonts w:ascii="宋体" w:hAnsi="宋体" w:eastAsia="宋体"/>
          <w:bCs/>
          <w:sz w:val="24"/>
          <w:szCs w:val="24"/>
          <w:lang w:val="zh-CN" w:eastAsia="zh-CN"/>
        </w:rPr>
        <w:t>、</w:t>
      </w:r>
      <w:r>
        <w:rPr>
          <w:rFonts w:ascii="宋体" w:hAnsi="宋体" w:eastAsia="宋体"/>
          <w:bCs/>
          <w:sz w:val="24"/>
          <w:szCs w:val="24"/>
          <w:lang w:val="zh-CN"/>
        </w:rPr>
        <w:t>乙方对本合同的内容及执行本合同过程中知悉的甲方商业信息、技术信息、客户信息等负有保密责任，未经甲方书面同意，乙方不得公开或向第三人透露上述甲方资料，否则，造成甲方损失的，乙方应向甲方承担损失赔偿责任。</w:t>
      </w:r>
    </w:p>
    <w:p>
      <w:pPr>
        <w:tabs>
          <w:tab w:val="left" w:pos="210"/>
        </w:tabs>
        <w:spacing w:line="540" w:lineRule="exact"/>
        <w:ind w:firstLine="480"/>
        <w:rPr>
          <w:rFonts w:ascii="宋体" w:hAnsi="宋体" w:eastAsia="宋体"/>
          <w:bCs/>
          <w:sz w:val="24"/>
          <w:szCs w:val="24"/>
          <w:lang w:val="zh-CN"/>
        </w:rPr>
      </w:pPr>
      <w:r>
        <w:rPr>
          <w:rFonts w:ascii="宋体" w:hAnsi="宋体" w:eastAsia="宋体"/>
          <w:bCs/>
          <w:sz w:val="24"/>
          <w:szCs w:val="24"/>
          <w:lang w:val="zh-CN"/>
        </w:rPr>
        <w:t>2</w:t>
      </w:r>
      <w:r>
        <w:rPr>
          <w:rFonts w:ascii="宋体" w:hAnsi="宋体" w:eastAsia="宋体"/>
          <w:bCs/>
          <w:sz w:val="24"/>
          <w:szCs w:val="24"/>
          <w:lang w:val="zh-CN" w:eastAsia="zh-CN"/>
        </w:rPr>
        <w:t>、</w:t>
      </w:r>
      <w:r>
        <w:rPr>
          <w:rFonts w:ascii="宋体" w:hAnsi="宋体" w:eastAsia="宋体"/>
          <w:bCs/>
          <w:sz w:val="24"/>
          <w:szCs w:val="24"/>
          <w:lang w:val="zh-CN"/>
        </w:rPr>
        <w:t>乙方应遵守《中华人民共和国保守国家秘密法》实施条例及甲方相关客户保密管理规章制度，对本项目中涉及到的平台敏感数据履行保密义务。</w:t>
      </w:r>
    </w:p>
    <w:p>
      <w:pPr>
        <w:tabs>
          <w:tab w:val="left" w:pos="210"/>
        </w:tabs>
        <w:spacing w:line="540" w:lineRule="exact"/>
        <w:ind w:firstLine="480"/>
        <w:rPr>
          <w:rFonts w:ascii="宋体" w:hAnsi="宋体" w:eastAsia="宋体"/>
          <w:sz w:val="24"/>
          <w:szCs w:val="24"/>
        </w:rPr>
      </w:pPr>
      <w:r>
        <w:rPr>
          <w:rFonts w:ascii="宋体" w:hAnsi="宋体" w:eastAsia="宋体"/>
          <w:bCs/>
          <w:sz w:val="24"/>
          <w:szCs w:val="24"/>
          <w:lang w:val="zh-CN"/>
        </w:rPr>
        <w:t>3</w:t>
      </w:r>
      <w:r>
        <w:rPr>
          <w:rFonts w:ascii="宋体" w:hAnsi="宋体" w:eastAsia="宋体"/>
          <w:bCs/>
          <w:sz w:val="24"/>
          <w:szCs w:val="24"/>
          <w:lang w:val="zh-CN" w:eastAsia="zh-CN"/>
        </w:rPr>
        <w:t>、</w:t>
      </w:r>
      <w:r>
        <w:rPr>
          <w:rFonts w:ascii="宋体" w:hAnsi="宋体" w:eastAsia="宋体"/>
          <w:bCs/>
          <w:sz w:val="24"/>
          <w:szCs w:val="24"/>
          <w:lang w:val="zh-CN"/>
        </w:rPr>
        <w:t>保密条款具有独立性，长期有效，不受本合同终止、中止、解除的影响。</w:t>
      </w:r>
    </w:p>
    <w:p>
      <w:pPr>
        <w:spacing w:line="540" w:lineRule="exact"/>
        <w:ind w:firstLine="482"/>
        <w:rPr>
          <w:rFonts w:ascii="宋体" w:hAnsi="宋体" w:eastAsia="宋体"/>
          <w:b/>
          <w:sz w:val="24"/>
          <w:szCs w:val="24"/>
          <w:lang w:val="zh-CN"/>
        </w:rPr>
      </w:pPr>
      <w:bookmarkStart w:id="696" w:name="_Toc502922531"/>
      <w:bookmarkStart w:id="697" w:name="_Toc11424933"/>
      <w:r>
        <w:rPr>
          <w:rFonts w:ascii="宋体" w:hAnsi="宋体" w:eastAsia="宋体"/>
          <w:b/>
          <w:sz w:val="24"/>
          <w:szCs w:val="24"/>
          <w:lang w:val="zh-CN"/>
        </w:rPr>
        <w:t>十</w:t>
      </w:r>
      <w:r>
        <w:rPr>
          <w:rFonts w:ascii="宋体" w:hAnsi="宋体" w:eastAsia="宋体"/>
          <w:b/>
          <w:sz w:val="24"/>
          <w:szCs w:val="24"/>
        </w:rPr>
        <w:t>二</w:t>
      </w:r>
      <w:r>
        <w:rPr>
          <w:rFonts w:ascii="宋体" w:hAnsi="宋体" w:eastAsia="宋体"/>
          <w:b/>
          <w:sz w:val="24"/>
          <w:szCs w:val="24"/>
          <w:lang w:val="zh-CN"/>
        </w:rPr>
        <w:t>、违约责任</w:t>
      </w:r>
      <w:bookmarkEnd w:id="696"/>
      <w:bookmarkEnd w:id="697"/>
    </w:p>
    <w:p>
      <w:pPr>
        <w:widowControl w:val="0"/>
        <w:spacing w:line="540" w:lineRule="exact"/>
        <w:ind w:firstLine="480" w:firstLineChars="200"/>
        <w:rPr>
          <w:rFonts w:hint="default" w:ascii="宋体" w:hAnsi="宋体" w:eastAsia="PMingLiU" w:cs="宋体"/>
          <w:kern w:val="0"/>
          <w:sz w:val="24"/>
          <w:szCs w:val="24"/>
        </w:rPr>
      </w:pPr>
      <w:r>
        <w:rPr>
          <w:rFonts w:hint="default" w:ascii="宋体" w:hAnsi="宋体" w:eastAsia="PMingLiU" w:cs="宋体"/>
          <w:kern w:val="0"/>
          <w:sz w:val="24"/>
          <w:szCs w:val="24"/>
        </w:rPr>
        <w:t>1</w:t>
      </w:r>
      <w:r>
        <w:rPr>
          <w:rFonts w:ascii="等线" w:hAnsi="等线" w:eastAsia="等线" w:cs="宋体"/>
          <w:kern w:val="0"/>
          <w:sz w:val="24"/>
          <w:szCs w:val="24"/>
          <w:lang w:eastAsia="zh-CN"/>
        </w:rPr>
        <w:t>、</w:t>
      </w:r>
      <w:r>
        <w:rPr>
          <w:rFonts w:ascii="宋体" w:hAnsi="宋体" w:eastAsia="宋体" w:cs="宋体"/>
          <w:kern w:val="0"/>
          <w:sz w:val="24"/>
          <w:szCs w:val="24"/>
        </w:rPr>
        <w:t>任何一方不履行本</w:t>
      </w:r>
      <w:r>
        <w:rPr>
          <w:rFonts w:ascii="宋体" w:hAnsi="宋体" w:eastAsia="宋体" w:cs="宋体"/>
          <w:kern w:val="0"/>
          <w:sz w:val="24"/>
          <w:szCs w:val="24"/>
          <w:lang w:eastAsia="zh-CN"/>
        </w:rPr>
        <w:t>合同</w:t>
      </w:r>
      <w:r>
        <w:rPr>
          <w:rFonts w:ascii="宋体" w:hAnsi="宋体" w:eastAsia="宋体" w:cs="宋体"/>
          <w:kern w:val="0"/>
          <w:sz w:val="24"/>
          <w:szCs w:val="24"/>
        </w:rPr>
        <w:t>约定的义务或履行义务不符合本</w:t>
      </w:r>
      <w:r>
        <w:rPr>
          <w:rFonts w:ascii="宋体" w:hAnsi="宋体" w:eastAsia="宋体" w:cs="宋体"/>
          <w:kern w:val="0"/>
          <w:sz w:val="24"/>
          <w:szCs w:val="24"/>
          <w:lang w:eastAsia="zh-CN"/>
        </w:rPr>
        <w:t>合同</w:t>
      </w:r>
      <w:r>
        <w:rPr>
          <w:rFonts w:ascii="宋体" w:hAnsi="宋体" w:eastAsia="宋体" w:cs="宋体"/>
          <w:kern w:val="0"/>
          <w:sz w:val="24"/>
          <w:szCs w:val="24"/>
        </w:rPr>
        <w:t>约定的，视为违约，应立即停止违约行为，并按守约方要求承担继续履行、采取补救措施和赔偿损失等违约责任。</w:t>
      </w:r>
    </w:p>
    <w:p>
      <w:pPr>
        <w:widowControl w:val="0"/>
        <w:spacing w:line="540" w:lineRule="exact"/>
        <w:ind w:firstLine="480" w:firstLineChars="200"/>
        <w:rPr>
          <w:rFonts w:ascii="宋体" w:hAnsi="宋体" w:eastAsia="宋体" w:cs="宋体"/>
          <w:kern w:val="0"/>
          <w:sz w:val="24"/>
          <w:szCs w:val="24"/>
        </w:rPr>
      </w:pPr>
      <w:r>
        <w:rPr>
          <w:rFonts w:ascii="宋体" w:hAnsi="宋体" w:eastAsia="宋体" w:cs="宋体"/>
          <w:kern w:val="0"/>
          <w:sz w:val="24"/>
          <w:szCs w:val="24"/>
        </w:rPr>
        <w:t>任何一方在履行本</w:t>
      </w:r>
      <w:r>
        <w:rPr>
          <w:rFonts w:ascii="宋体" w:hAnsi="宋体" w:eastAsia="宋体" w:cs="宋体"/>
          <w:kern w:val="0"/>
          <w:sz w:val="24"/>
          <w:szCs w:val="24"/>
          <w:lang w:eastAsia="zh-CN"/>
        </w:rPr>
        <w:t>合同</w:t>
      </w:r>
      <w:r>
        <w:rPr>
          <w:rFonts w:ascii="宋体" w:hAnsi="宋体" w:eastAsia="宋体" w:cs="宋体"/>
          <w:kern w:val="0"/>
          <w:sz w:val="24"/>
          <w:szCs w:val="24"/>
        </w:rPr>
        <w:t>过程中由于自身原因给对方或第三方造成损失的，应负责处理并承担赔偿责任。</w:t>
      </w:r>
    </w:p>
    <w:p>
      <w:pPr>
        <w:widowControl w:val="0"/>
        <w:spacing w:line="540" w:lineRule="exact"/>
        <w:ind w:firstLine="480" w:firstLineChars="200"/>
        <w:rPr>
          <w:rFonts w:ascii="宋体" w:hAnsi="宋体" w:eastAsia="宋体" w:cs="宋体"/>
          <w:kern w:val="0"/>
          <w:sz w:val="24"/>
          <w:szCs w:val="24"/>
        </w:rPr>
      </w:pPr>
      <w:r>
        <w:rPr>
          <w:rFonts w:hint="default" w:ascii="宋体" w:hAnsi="宋体" w:eastAsia="PMingLiU" w:cs="宋体"/>
          <w:kern w:val="0"/>
          <w:sz w:val="24"/>
          <w:szCs w:val="24"/>
        </w:rPr>
        <w:t>2</w:t>
      </w:r>
      <w:r>
        <w:rPr>
          <w:rFonts w:ascii="等线" w:hAnsi="等线" w:eastAsia="等线" w:cs="宋体"/>
          <w:kern w:val="0"/>
          <w:sz w:val="24"/>
          <w:szCs w:val="24"/>
          <w:lang w:eastAsia="zh-CN"/>
        </w:rPr>
        <w:t>、</w:t>
      </w:r>
      <w:r>
        <w:rPr>
          <w:rFonts w:ascii="宋体" w:hAnsi="宋体" w:eastAsia="宋体" w:cs="宋体"/>
          <w:kern w:val="0"/>
          <w:sz w:val="24"/>
          <w:szCs w:val="24"/>
        </w:rPr>
        <w:t>乙方不按照本</w:t>
      </w:r>
      <w:r>
        <w:rPr>
          <w:rFonts w:ascii="宋体" w:hAnsi="宋体" w:eastAsia="宋体" w:cs="宋体"/>
          <w:kern w:val="0"/>
          <w:sz w:val="24"/>
          <w:szCs w:val="24"/>
          <w:lang w:eastAsia="zh-CN"/>
        </w:rPr>
        <w:t>合同</w:t>
      </w:r>
      <w:r>
        <w:rPr>
          <w:rFonts w:ascii="宋体" w:hAnsi="宋体" w:eastAsia="宋体" w:cs="宋体"/>
          <w:kern w:val="0"/>
          <w:sz w:val="24"/>
          <w:szCs w:val="24"/>
        </w:rPr>
        <w:t>约定提交符合甲方要求的受托服务成果的，每逾期1日，应向甲方支付</w:t>
      </w:r>
      <w:r>
        <w:rPr>
          <w:rFonts w:ascii="宋体" w:hAnsi="宋体" w:eastAsia="宋体" w:cs="宋体"/>
          <w:kern w:val="0"/>
          <w:sz w:val="24"/>
          <w:szCs w:val="24"/>
          <w:lang w:eastAsia="zh-CN"/>
        </w:rPr>
        <w:t>合同</w:t>
      </w:r>
      <w:r>
        <w:rPr>
          <w:rFonts w:ascii="宋体" w:hAnsi="宋体" w:eastAsia="宋体" w:cs="宋体"/>
          <w:kern w:val="0"/>
          <w:sz w:val="24"/>
          <w:szCs w:val="24"/>
        </w:rPr>
        <w:t>总额的万分之五作为违约金。</w:t>
      </w:r>
    </w:p>
    <w:p>
      <w:pPr>
        <w:widowControl w:val="0"/>
        <w:spacing w:line="540" w:lineRule="exact"/>
        <w:ind w:firstLine="480" w:firstLineChars="200"/>
        <w:rPr>
          <w:rFonts w:ascii="宋体" w:hAnsi="宋体" w:eastAsia="宋体" w:cs="宋体"/>
          <w:kern w:val="0"/>
          <w:sz w:val="24"/>
          <w:szCs w:val="24"/>
        </w:rPr>
      </w:pPr>
      <w:r>
        <w:rPr>
          <w:rFonts w:ascii="宋体" w:hAnsi="宋体" w:eastAsia="等线" w:cs="宋体"/>
          <w:kern w:val="0"/>
          <w:sz w:val="24"/>
          <w:szCs w:val="24"/>
          <w:lang w:eastAsia="zh-CN"/>
        </w:rPr>
        <w:t>3、</w:t>
      </w:r>
      <w:r>
        <w:rPr>
          <w:rFonts w:ascii="宋体" w:hAnsi="宋体" w:eastAsia="宋体" w:cs="宋体"/>
          <w:kern w:val="0"/>
          <w:sz w:val="24"/>
          <w:szCs w:val="24"/>
        </w:rPr>
        <w:t>乙方无正当理由逾期提交符合甲方要求的受托服务成果达到10日（含本数）或以上的，甲方有权解除本</w:t>
      </w:r>
      <w:r>
        <w:rPr>
          <w:rFonts w:ascii="宋体" w:hAnsi="宋体" w:eastAsia="宋体" w:cs="宋体"/>
          <w:kern w:val="0"/>
          <w:sz w:val="24"/>
          <w:szCs w:val="24"/>
          <w:lang w:eastAsia="zh-CN"/>
        </w:rPr>
        <w:t>合同</w:t>
      </w:r>
      <w:r>
        <w:rPr>
          <w:rFonts w:ascii="宋体" w:hAnsi="宋体" w:eastAsia="宋体" w:cs="宋体"/>
          <w:kern w:val="0"/>
          <w:sz w:val="24"/>
          <w:szCs w:val="24"/>
        </w:rPr>
        <w:t>。乙方应在甲方解除</w:t>
      </w:r>
      <w:r>
        <w:rPr>
          <w:rFonts w:ascii="宋体" w:hAnsi="宋体" w:eastAsia="宋体" w:cs="宋体"/>
          <w:kern w:val="0"/>
          <w:sz w:val="24"/>
          <w:szCs w:val="24"/>
          <w:lang w:eastAsia="zh-CN"/>
        </w:rPr>
        <w:t>合同</w:t>
      </w:r>
      <w:r>
        <w:rPr>
          <w:rFonts w:ascii="宋体" w:hAnsi="宋体" w:eastAsia="宋体" w:cs="宋体"/>
          <w:kern w:val="0"/>
          <w:sz w:val="24"/>
          <w:szCs w:val="24"/>
        </w:rPr>
        <w:t>的书面通知送达之日起5日内全额退还甲方已支付的</w:t>
      </w:r>
      <w:r>
        <w:rPr>
          <w:rFonts w:ascii="宋体" w:hAnsi="宋体" w:eastAsia="宋体" w:cs="宋体"/>
          <w:kern w:val="0"/>
          <w:sz w:val="24"/>
          <w:szCs w:val="24"/>
          <w:lang w:eastAsia="zh-CN"/>
        </w:rPr>
        <w:t>合同</w:t>
      </w:r>
      <w:r>
        <w:rPr>
          <w:rFonts w:ascii="宋体" w:hAnsi="宋体" w:eastAsia="宋体" w:cs="宋体"/>
          <w:kern w:val="0"/>
          <w:sz w:val="24"/>
          <w:szCs w:val="24"/>
        </w:rPr>
        <w:t>款项，并向甲方支付</w:t>
      </w:r>
      <w:r>
        <w:rPr>
          <w:rFonts w:ascii="宋体" w:hAnsi="宋体" w:eastAsia="宋体" w:cs="宋体"/>
          <w:kern w:val="0"/>
          <w:sz w:val="24"/>
          <w:szCs w:val="24"/>
          <w:lang w:eastAsia="zh-CN"/>
        </w:rPr>
        <w:t>合同</w:t>
      </w:r>
      <w:r>
        <w:rPr>
          <w:rFonts w:ascii="宋体" w:hAnsi="宋体" w:eastAsia="宋体" w:cs="宋体"/>
          <w:kern w:val="0"/>
          <w:sz w:val="24"/>
          <w:szCs w:val="24"/>
        </w:rPr>
        <w:t>总额的百分之二十作为违约金。</w:t>
      </w:r>
    </w:p>
    <w:p>
      <w:pPr>
        <w:widowControl w:val="0"/>
        <w:spacing w:line="540" w:lineRule="exact"/>
        <w:ind w:firstLine="480" w:firstLineChars="200"/>
        <w:rPr>
          <w:rFonts w:ascii="宋体" w:hAnsi="宋体" w:eastAsia="宋体" w:cs="宋体"/>
          <w:kern w:val="0"/>
          <w:sz w:val="24"/>
          <w:szCs w:val="24"/>
        </w:rPr>
      </w:pPr>
      <w:r>
        <w:rPr>
          <w:rFonts w:hint="default" w:ascii="宋体" w:hAnsi="宋体" w:eastAsia="PMingLiU" w:cs="宋体"/>
          <w:kern w:val="0"/>
          <w:sz w:val="24"/>
          <w:szCs w:val="24"/>
        </w:rPr>
        <w:t>4</w:t>
      </w:r>
      <w:r>
        <w:rPr>
          <w:rFonts w:ascii="等线" w:hAnsi="等线" w:eastAsia="等线" w:cs="宋体"/>
          <w:kern w:val="0"/>
          <w:sz w:val="24"/>
          <w:szCs w:val="24"/>
          <w:lang w:eastAsia="zh-CN"/>
        </w:rPr>
        <w:t>、</w:t>
      </w:r>
      <w:r>
        <w:rPr>
          <w:rFonts w:ascii="宋体" w:hAnsi="宋体" w:eastAsia="宋体" w:cs="宋体"/>
          <w:kern w:val="0"/>
          <w:sz w:val="24"/>
          <w:szCs w:val="24"/>
        </w:rPr>
        <w:t>乙方提交的受托服务成果未能通过甲方验收的，甲方有权要求乙方更换、修改或者重做，或者减少相应价款后接受乙方所提交的受托服务成果。乙方提交的受托服务成果经叁次修改仍无法通过甲方验收的，甲方有权解除本</w:t>
      </w:r>
      <w:r>
        <w:rPr>
          <w:rFonts w:ascii="宋体" w:hAnsi="宋体" w:eastAsia="宋体" w:cs="宋体"/>
          <w:kern w:val="0"/>
          <w:sz w:val="24"/>
          <w:szCs w:val="24"/>
          <w:lang w:eastAsia="zh-CN"/>
        </w:rPr>
        <w:t>合同</w:t>
      </w:r>
      <w:r>
        <w:rPr>
          <w:rFonts w:ascii="宋体" w:hAnsi="宋体" w:eastAsia="宋体" w:cs="宋体"/>
          <w:kern w:val="0"/>
          <w:sz w:val="24"/>
          <w:szCs w:val="24"/>
        </w:rPr>
        <w:t>协议。乙方应在甲方解除</w:t>
      </w:r>
      <w:r>
        <w:rPr>
          <w:rFonts w:ascii="宋体" w:hAnsi="宋体" w:eastAsia="宋体" w:cs="宋体"/>
          <w:kern w:val="0"/>
          <w:sz w:val="24"/>
          <w:szCs w:val="24"/>
          <w:lang w:eastAsia="zh-CN"/>
        </w:rPr>
        <w:t>合同</w:t>
      </w:r>
      <w:r>
        <w:rPr>
          <w:rFonts w:ascii="宋体" w:hAnsi="宋体" w:eastAsia="宋体" w:cs="宋体"/>
          <w:kern w:val="0"/>
          <w:sz w:val="24"/>
          <w:szCs w:val="24"/>
        </w:rPr>
        <w:t>的书面通知送达之日起5日内全额退还甲方已支付的</w:t>
      </w:r>
      <w:r>
        <w:rPr>
          <w:rFonts w:ascii="宋体" w:hAnsi="宋体" w:eastAsia="宋体" w:cs="宋体"/>
          <w:kern w:val="0"/>
          <w:sz w:val="24"/>
          <w:szCs w:val="24"/>
          <w:lang w:eastAsia="zh-CN"/>
        </w:rPr>
        <w:t>合同</w:t>
      </w:r>
      <w:r>
        <w:rPr>
          <w:rFonts w:ascii="宋体" w:hAnsi="宋体" w:eastAsia="宋体" w:cs="宋体"/>
          <w:kern w:val="0"/>
          <w:sz w:val="24"/>
          <w:szCs w:val="24"/>
        </w:rPr>
        <w:t>款项，并向甲方支付</w:t>
      </w:r>
      <w:r>
        <w:rPr>
          <w:rFonts w:ascii="宋体" w:hAnsi="宋体" w:eastAsia="宋体" w:cs="宋体"/>
          <w:kern w:val="0"/>
          <w:sz w:val="24"/>
          <w:szCs w:val="24"/>
          <w:lang w:eastAsia="zh-CN"/>
        </w:rPr>
        <w:t>合同</w:t>
      </w:r>
      <w:r>
        <w:rPr>
          <w:rFonts w:ascii="宋体" w:hAnsi="宋体" w:eastAsia="宋体" w:cs="宋体"/>
          <w:kern w:val="0"/>
          <w:sz w:val="24"/>
          <w:szCs w:val="24"/>
        </w:rPr>
        <w:t>总额的百分之二十作为违约金。</w:t>
      </w:r>
    </w:p>
    <w:p>
      <w:pPr>
        <w:spacing w:line="540" w:lineRule="exact"/>
        <w:ind w:firstLine="480"/>
        <w:rPr>
          <w:rFonts w:ascii="宋体" w:hAnsi="宋体" w:eastAsia="宋体"/>
          <w:sz w:val="24"/>
          <w:szCs w:val="24"/>
        </w:rPr>
      </w:pPr>
      <w:r>
        <w:rPr>
          <w:rFonts w:hint="default" w:ascii="宋体" w:hAnsi="宋体" w:eastAsia="宋体" w:cs="宋体"/>
          <w:kern w:val="0"/>
          <w:sz w:val="24"/>
          <w:szCs w:val="24"/>
          <w:lang w:eastAsia="zh-CN"/>
        </w:rPr>
        <w:t>5</w:t>
      </w:r>
      <w:r>
        <w:rPr>
          <w:rFonts w:ascii="宋体" w:hAnsi="宋体" w:eastAsia="宋体" w:cs="宋体"/>
          <w:kern w:val="0"/>
          <w:sz w:val="24"/>
          <w:szCs w:val="24"/>
          <w:lang w:eastAsia="zh-CN"/>
        </w:rPr>
        <w:t>、甲方无正当</w:t>
      </w:r>
      <w:r>
        <w:rPr>
          <w:rFonts w:ascii="宋体" w:hAnsi="宋体" w:eastAsia="宋体" w:cs="宋体"/>
          <w:kern w:val="0"/>
          <w:sz w:val="24"/>
          <w:szCs w:val="24"/>
        </w:rPr>
        <w:t>理由逾期</w:t>
      </w:r>
      <w:r>
        <w:rPr>
          <w:rFonts w:ascii="宋体" w:hAnsi="宋体" w:eastAsia="宋体" w:cs="宋体"/>
          <w:kern w:val="0"/>
          <w:sz w:val="24"/>
          <w:szCs w:val="24"/>
          <w:lang w:eastAsia="zh-CN"/>
        </w:rPr>
        <w:t>向乙方支付合同款项的，每逾期1日，甲方需向乙方支付合同总金额的万分之五作为违约金；甲方逾期向乙方支付合同款项</w:t>
      </w:r>
      <w:r>
        <w:rPr>
          <w:rFonts w:ascii="宋体" w:hAnsi="宋体" w:eastAsia="宋体" w:cs="宋体"/>
          <w:kern w:val="0"/>
          <w:sz w:val="24"/>
          <w:szCs w:val="24"/>
        </w:rPr>
        <w:t>达到</w:t>
      </w:r>
      <w:r>
        <w:rPr>
          <w:rFonts w:hint="default" w:ascii="宋体" w:hAnsi="宋体" w:eastAsia="PMingLiU" w:cs="宋体"/>
          <w:kern w:val="0"/>
          <w:sz w:val="24"/>
          <w:szCs w:val="24"/>
        </w:rPr>
        <w:t>45</w:t>
      </w:r>
      <w:r>
        <w:rPr>
          <w:rFonts w:ascii="宋体" w:hAnsi="宋体" w:eastAsia="宋体" w:cs="宋体"/>
          <w:kern w:val="0"/>
          <w:sz w:val="24"/>
          <w:szCs w:val="24"/>
        </w:rPr>
        <w:t>日（含本数）或以上的，</w:t>
      </w:r>
      <w:r>
        <w:rPr>
          <w:rFonts w:ascii="宋体" w:hAnsi="宋体" w:eastAsia="宋体" w:cs="宋体"/>
          <w:kern w:val="0"/>
          <w:sz w:val="24"/>
          <w:szCs w:val="24"/>
          <w:lang w:eastAsia="zh-CN"/>
        </w:rPr>
        <w:t>乙方</w:t>
      </w:r>
      <w:r>
        <w:rPr>
          <w:rFonts w:ascii="宋体" w:hAnsi="宋体" w:eastAsia="宋体" w:cs="宋体"/>
          <w:kern w:val="0"/>
          <w:sz w:val="24"/>
          <w:szCs w:val="24"/>
        </w:rPr>
        <w:t>有权解除本</w:t>
      </w:r>
      <w:r>
        <w:rPr>
          <w:rFonts w:ascii="宋体" w:hAnsi="宋体" w:eastAsia="宋体" w:cs="宋体"/>
          <w:kern w:val="0"/>
          <w:sz w:val="24"/>
          <w:szCs w:val="24"/>
          <w:lang w:eastAsia="zh-CN"/>
        </w:rPr>
        <w:t>合同</w:t>
      </w:r>
      <w:r>
        <w:rPr>
          <w:rFonts w:ascii="宋体" w:hAnsi="宋体" w:eastAsia="宋体" w:cs="宋体"/>
          <w:kern w:val="0"/>
          <w:sz w:val="24"/>
          <w:szCs w:val="24"/>
        </w:rPr>
        <w:t>。</w:t>
      </w:r>
      <w:r>
        <w:rPr>
          <w:rFonts w:ascii="宋体" w:hAnsi="宋体" w:eastAsia="宋体" w:cs="宋体"/>
          <w:kern w:val="0"/>
          <w:sz w:val="24"/>
          <w:szCs w:val="24"/>
          <w:lang w:eastAsia="zh-CN"/>
        </w:rPr>
        <w:t>甲方</w:t>
      </w:r>
      <w:r>
        <w:rPr>
          <w:rFonts w:ascii="宋体" w:hAnsi="宋体" w:eastAsia="宋体" w:cs="宋体"/>
          <w:kern w:val="0"/>
          <w:sz w:val="24"/>
          <w:szCs w:val="24"/>
        </w:rPr>
        <w:t>应在</w:t>
      </w:r>
      <w:r>
        <w:rPr>
          <w:rFonts w:ascii="宋体" w:hAnsi="宋体" w:eastAsia="宋体" w:cs="宋体"/>
          <w:kern w:val="0"/>
          <w:sz w:val="24"/>
          <w:szCs w:val="24"/>
          <w:lang w:eastAsia="zh-CN"/>
        </w:rPr>
        <w:t>乙方</w:t>
      </w:r>
      <w:r>
        <w:rPr>
          <w:rFonts w:ascii="宋体" w:hAnsi="宋体" w:eastAsia="宋体" w:cs="宋体"/>
          <w:kern w:val="0"/>
          <w:sz w:val="24"/>
          <w:szCs w:val="24"/>
        </w:rPr>
        <w:t>解除</w:t>
      </w:r>
      <w:r>
        <w:rPr>
          <w:rFonts w:ascii="宋体" w:hAnsi="宋体" w:eastAsia="宋体" w:cs="宋体"/>
          <w:kern w:val="0"/>
          <w:sz w:val="24"/>
          <w:szCs w:val="24"/>
          <w:lang w:eastAsia="zh-CN"/>
        </w:rPr>
        <w:t>合同</w:t>
      </w:r>
      <w:r>
        <w:rPr>
          <w:rFonts w:ascii="宋体" w:hAnsi="宋体" w:eastAsia="宋体" w:cs="宋体"/>
          <w:kern w:val="0"/>
          <w:sz w:val="24"/>
          <w:szCs w:val="24"/>
        </w:rPr>
        <w:t>的书面通知送达之日起5日内全额</w:t>
      </w:r>
      <w:r>
        <w:rPr>
          <w:rFonts w:ascii="宋体" w:hAnsi="宋体" w:eastAsia="宋体" w:cs="宋体"/>
          <w:kern w:val="0"/>
          <w:sz w:val="24"/>
          <w:szCs w:val="24"/>
          <w:lang w:eastAsia="zh-CN"/>
        </w:rPr>
        <w:t>支付乙方</w:t>
      </w:r>
      <w:r>
        <w:rPr>
          <w:rFonts w:ascii="宋体" w:hAnsi="宋体" w:eastAsia="宋体" w:cs="宋体"/>
          <w:kern w:val="0"/>
          <w:sz w:val="24"/>
          <w:szCs w:val="24"/>
        </w:rPr>
        <w:t>已</w:t>
      </w:r>
      <w:r>
        <w:rPr>
          <w:rFonts w:ascii="宋体" w:hAnsi="宋体" w:eastAsia="宋体" w:cs="宋体"/>
          <w:kern w:val="0"/>
          <w:sz w:val="24"/>
          <w:szCs w:val="24"/>
          <w:lang w:eastAsia="zh-CN"/>
        </w:rPr>
        <w:t>完成工作量对应的合同</w:t>
      </w:r>
      <w:r>
        <w:rPr>
          <w:rFonts w:ascii="宋体" w:hAnsi="宋体" w:eastAsia="宋体" w:cs="宋体"/>
          <w:kern w:val="0"/>
          <w:sz w:val="24"/>
          <w:szCs w:val="24"/>
        </w:rPr>
        <w:t>款项</w:t>
      </w:r>
      <w:r>
        <w:rPr>
          <w:rFonts w:ascii="宋体" w:hAnsi="宋体" w:eastAsia="宋体" w:cs="宋体"/>
          <w:kern w:val="0"/>
          <w:sz w:val="24"/>
          <w:szCs w:val="24"/>
          <w:lang w:eastAsia="zh-CN"/>
        </w:rPr>
        <w:t>，</w:t>
      </w:r>
      <w:r>
        <w:rPr>
          <w:rFonts w:ascii="宋体" w:hAnsi="宋体" w:eastAsia="宋体" w:cs="宋体"/>
          <w:kern w:val="0"/>
          <w:sz w:val="24"/>
          <w:szCs w:val="24"/>
        </w:rPr>
        <w:t>并向</w:t>
      </w:r>
      <w:r>
        <w:rPr>
          <w:rFonts w:ascii="宋体" w:hAnsi="宋体" w:eastAsia="宋体" w:cs="宋体"/>
          <w:kern w:val="0"/>
          <w:sz w:val="24"/>
          <w:szCs w:val="24"/>
          <w:lang w:eastAsia="zh-CN"/>
        </w:rPr>
        <w:t>乙方</w:t>
      </w:r>
      <w:r>
        <w:rPr>
          <w:rFonts w:ascii="宋体" w:hAnsi="宋体" w:eastAsia="宋体" w:cs="宋体"/>
          <w:kern w:val="0"/>
          <w:sz w:val="24"/>
          <w:szCs w:val="24"/>
        </w:rPr>
        <w:t>支付</w:t>
      </w:r>
      <w:r>
        <w:rPr>
          <w:rFonts w:ascii="宋体" w:hAnsi="宋体" w:eastAsia="宋体" w:cs="宋体"/>
          <w:kern w:val="0"/>
          <w:sz w:val="24"/>
          <w:szCs w:val="24"/>
          <w:lang w:eastAsia="zh-CN"/>
        </w:rPr>
        <w:t>合同</w:t>
      </w:r>
      <w:r>
        <w:rPr>
          <w:rFonts w:ascii="宋体" w:hAnsi="宋体" w:eastAsia="宋体" w:cs="宋体"/>
          <w:kern w:val="0"/>
          <w:sz w:val="24"/>
          <w:szCs w:val="24"/>
        </w:rPr>
        <w:t>总额的百分之二十作为违约金</w:t>
      </w:r>
      <w:r>
        <w:rPr>
          <w:rFonts w:ascii="宋体" w:hAnsi="宋体" w:eastAsia="宋体"/>
          <w:bCs/>
          <w:sz w:val="24"/>
          <w:szCs w:val="24"/>
        </w:rPr>
        <w:t>。</w:t>
      </w:r>
    </w:p>
    <w:p>
      <w:pPr>
        <w:spacing w:line="540" w:lineRule="exact"/>
        <w:ind w:firstLine="482"/>
        <w:rPr>
          <w:rFonts w:ascii="宋体" w:hAnsi="宋体" w:eastAsia="宋体"/>
          <w:b/>
          <w:sz w:val="24"/>
          <w:szCs w:val="24"/>
          <w:lang w:val="zh-CN"/>
        </w:rPr>
      </w:pPr>
      <w:bookmarkStart w:id="698" w:name="_Toc11424934"/>
      <w:bookmarkStart w:id="699" w:name="_Toc502922532"/>
      <w:r>
        <w:rPr>
          <w:rFonts w:ascii="宋体" w:hAnsi="宋体" w:eastAsia="宋体"/>
          <w:b/>
          <w:sz w:val="24"/>
          <w:szCs w:val="24"/>
          <w:lang w:val="zh-CN"/>
        </w:rPr>
        <w:t>十</w:t>
      </w:r>
      <w:r>
        <w:rPr>
          <w:rFonts w:ascii="宋体" w:hAnsi="宋体" w:eastAsia="宋体"/>
          <w:b/>
          <w:sz w:val="24"/>
          <w:szCs w:val="24"/>
        </w:rPr>
        <w:t>三</w:t>
      </w:r>
      <w:r>
        <w:rPr>
          <w:rFonts w:ascii="宋体" w:hAnsi="宋体" w:eastAsia="宋体"/>
          <w:b/>
          <w:sz w:val="24"/>
          <w:szCs w:val="24"/>
          <w:lang w:val="zh-CN"/>
        </w:rPr>
        <w:t>、不可抗力事件处理</w:t>
      </w:r>
      <w:bookmarkEnd w:id="698"/>
      <w:bookmarkEnd w:id="699"/>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1</w:t>
      </w:r>
      <w:r>
        <w:rPr>
          <w:rFonts w:ascii="宋体" w:hAnsi="宋体" w:eastAsia="宋体"/>
          <w:bCs/>
          <w:sz w:val="24"/>
          <w:szCs w:val="24"/>
          <w:lang w:val="zh-CN" w:eastAsia="zh-CN"/>
        </w:rPr>
        <w:t>、</w:t>
      </w:r>
      <w:r>
        <w:rPr>
          <w:rFonts w:hint="default" w:ascii="宋体" w:hAnsi="宋体" w:eastAsia="宋体"/>
          <w:bCs/>
          <w:sz w:val="24"/>
          <w:szCs w:val="24"/>
          <w:lang w:val="zh-CN"/>
        </w:rPr>
        <w:t>“不可抗力”，是指不能预见、不能避免并不能克服的客观情况</w:t>
      </w:r>
      <w:r>
        <w:rPr>
          <w:rFonts w:ascii="宋体" w:hAnsi="宋体" w:eastAsia="宋体"/>
          <w:bCs/>
          <w:sz w:val="24"/>
          <w:szCs w:val="24"/>
          <w:lang w:val="zh-CN" w:eastAsia="zh-CN"/>
        </w:rPr>
        <w:t>。</w:t>
      </w:r>
      <w:r>
        <w:rPr>
          <w:rFonts w:ascii="宋体" w:hAnsi="宋体" w:eastAsia="宋体"/>
          <w:bCs/>
          <w:sz w:val="24"/>
          <w:szCs w:val="24"/>
          <w:lang w:val="zh-CN"/>
        </w:rPr>
        <w:t>在合同有效期内，任何一方因不可抗力事件导致不能履行合同，则合同履行期可经双方协商后延长，其延长期与不可抗力影响期相同。</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2</w:t>
      </w:r>
      <w:r>
        <w:rPr>
          <w:rFonts w:ascii="宋体" w:hAnsi="宋体" w:eastAsia="宋体"/>
          <w:bCs/>
          <w:sz w:val="24"/>
          <w:szCs w:val="24"/>
          <w:lang w:val="zh-CN" w:eastAsia="zh-CN"/>
        </w:rPr>
        <w:t>、</w:t>
      </w:r>
      <w:r>
        <w:rPr>
          <w:rFonts w:hint="default" w:ascii="宋体" w:hAnsi="宋体" w:eastAsia="宋体"/>
          <w:bCs/>
          <w:sz w:val="24"/>
          <w:szCs w:val="24"/>
          <w:lang w:val="zh-CN"/>
        </w:rPr>
        <w:t>受不可抗力影响不能按时、全部履行</w:t>
      </w:r>
      <w:r>
        <w:rPr>
          <w:rFonts w:ascii="宋体" w:hAnsi="宋体" w:eastAsia="宋体"/>
          <w:bCs/>
          <w:sz w:val="24"/>
          <w:szCs w:val="24"/>
          <w:lang w:val="zh-CN" w:eastAsia="zh-CN"/>
        </w:rPr>
        <w:t>合同</w:t>
      </w:r>
      <w:r>
        <w:rPr>
          <w:rFonts w:hint="default" w:ascii="宋体" w:hAnsi="宋体" w:eastAsia="宋体"/>
          <w:bCs/>
          <w:sz w:val="24"/>
          <w:szCs w:val="24"/>
          <w:lang w:val="zh-CN"/>
        </w:rPr>
        <w:t>的一方，在不可抗力发生后应立即通知另一方，并且在不可抗力发生后的10日内向另一方提供有关该不可抗力的权威证明文件和书面说明，该书面说明中应包括对迟延或部分履行本</w:t>
      </w:r>
      <w:r>
        <w:rPr>
          <w:rFonts w:ascii="宋体" w:hAnsi="宋体" w:eastAsia="宋体"/>
          <w:bCs/>
          <w:sz w:val="24"/>
          <w:szCs w:val="24"/>
          <w:lang w:val="zh-CN" w:eastAsia="zh-CN"/>
        </w:rPr>
        <w:t>合同</w:t>
      </w:r>
      <w:r>
        <w:rPr>
          <w:rFonts w:hint="default" w:ascii="宋体" w:hAnsi="宋体" w:eastAsia="宋体"/>
          <w:bCs/>
          <w:sz w:val="24"/>
          <w:szCs w:val="24"/>
          <w:lang w:val="zh-CN"/>
        </w:rPr>
        <w:t>的原因的说明。另一方接到通知后有权选择待不可抗力事件结束后继续履行本</w:t>
      </w:r>
      <w:r>
        <w:rPr>
          <w:rFonts w:ascii="宋体" w:hAnsi="宋体" w:eastAsia="宋体"/>
          <w:bCs/>
          <w:sz w:val="24"/>
          <w:szCs w:val="24"/>
          <w:lang w:val="zh-CN" w:eastAsia="zh-CN"/>
        </w:rPr>
        <w:t>合同</w:t>
      </w:r>
      <w:r>
        <w:rPr>
          <w:rFonts w:hint="default" w:ascii="宋体" w:hAnsi="宋体" w:eastAsia="宋体"/>
          <w:bCs/>
          <w:sz w:val="24"/>
          <w:szCs w:val="24"/>
          <w:lang w:val="zh-CN"/>
        </w:rPr>
        <w:t>或终止本</w:t>
      </w:r>
      <w:r>
        <w:rPr>
          <w:rFonts w:ascii="宋体" w:hAnsi="宋体" w:eastAsia="宋体"/>
          <w:bCs/>
          <w:sz w:val="24"/>
          <w:szCs w:val="24"/>
          <w:lang w:val="zh-CN" w:eastAsia="zh-CN"/>
        </w:rPr>
        <w:t>合同</w:t>
      </w:r>
      <w:r>
        <w:rPr>
          <w:rFonts w:hint="default" w:ascii="宋体" w:hAnsi="宋体" w:eastAsia="宋体"/>
          <w:bCs/>
          <w:sz w:val="24"/>
          <w:szCs w:val="24"/>
          <w:lang w:val="zh-CN"/>
        </w:rPr>
        <w:t>，并将结果书面通知对方。另一方同意待不可抗力事件结束后继续履行的，不可抗力终止后，受阻方应继续履行本</w:t>
      </w:r>
      <w:r>
        <w:rPr>
          <w:rFonts w:ascii="宋体" w:hAnsi="宋体" w:eastAsia="宋体"/>
          <w:bCs/>
          <w:sz w:val="24"/>
          <w:szCs w:val="24"/>
          <w:lang w:val="zh-CN" w:eastAsia="zh-CN"/>
        </w:rPr>
        <w:t>合同</w:t>
      </w:r>
      <w:r>
        <w:rPr>
          <w:rFonts w:hint="default" w:ascii="宋体" w:hAnsi="宋体" w:eastAsia="宋体"/>
          <w:bCs/>
          <w:sz w:val="24"/>
          <w:szCs w:val="24"/>
          <w:lang w:val="zh-CN"/>
        </w:rPr>
        <w:t>并尽快通知另一方。受阻方应可延长履行本</w:t>
      </w:r>
      <w:r>
        <w:rPr>
          <w:rFonts w:ascii="宋体" w:hAnsi="宋体" w:eastAsia="宋体"/>
          <w:bCs/>
          <w:sz w:val="24"/>
          <w:szCs w:val="24"/>
          <w:lang w:val="zh-CN" w:eastAsia="zh-CN"/>
        </w:rPr>
        <w:t>合同</w:t>
      </w:r>
      <w:r>
        <w:rPr>
          <w:rFonts w:hint="default" w:ascii="宋体" w:hAnsi="宋体" w:eastAsia="宋体"/>
          <w:bCs/>
          <w:sz w:val="24"/>
          <w:szCs w:val="24"/>
          <w:lang w:val="zh-CN"/>
        </w:rPr>
        <w:t>，延长的时间应相当于不可抗力实际造成延误的时间</w:t>
      </w:r>
      <w:r>
        <w:rPr>
          <w:rFonts w:ascii="宋体" w:hAnsi="宋体" w:eastAsia="宋体"/>
          <w:bCs/>
          <w:sz w:val="24"/>
          <w:szCs w:val="24"/>
          <w:lang w:val="zh-CN"/>
        </w:rPr>
        <w:t>。</w:t>
      </w:r>
    </w:p>
    <w:p>
      <w:pPr>
        <w:spacing w:line="540" w:lineRule="exact"/>
        <w:ind w:firstLine="480"/>
        <w:rPr>
          <w:rFonts w:ascii="宋体" w:hAnsi="宋体" w:eastAsia="宋体"/>
          <w:szCs w:val="24"/>
          <w:lang w:val="zh-CN"/>
        </w:rPr>
      </w:pPr>
      <w:r>
        <w:rPr>
          <w:rFonts w:ascii="宋体" w:hAnsi="宋体" w:eastAsia="宋体"/>
          <w:bCs/>
          <w:sz w:val="24"/>
          <w:szCs w:val="24"/>
          <w:lang w:val="zh-CN"/>
        </w:rPr>
        <w:t>3</w:t>
      </w:r>
      <w:r>
        <w:rPr>
          <w:rFonts w:ascii="宋体" w:hAnsi="宋体" w:eastAsia="宋体"/>
          <w:bCs/>
          <w:sz w:val="24"/>
          <w:szCs w:val="24"/>
          <w:lang w:val="zh-CN" w:eastAsia="zh-CN"/>
        </w:rPr>
        <w:t>、</w:t>
      </w:r>
      <w:r>
        <w:rPr>
          <w:rFonts w:hint="default" w:ascii="宋体" w:hAnsi="宋体" w:eastAsia="宋体"/>
          <w:bCs/>
          <w:sz w:val="24"/>
          <w:szCs w:val="24"/>
          <w:lang w:val="zh-CN"/>
        </w:rPr>
        <w:t>不可抗力或其影响持续达90日或以上的，双方应根据该不可抗力对履行本协议的影响程度，协商变更或终止本</w:t>
      </w:r>
      <w:r>
        <w:rPr>
          <w:rFonts w:ascii="宋体" w:hAnsi="宋体" w:eastAsia="宋体"/>
          <w:bCs/>
          <w:sz w:val="24"/>
          <w:szCs w:val="24"/>
          <w:lang w:val="zh-CN" w:eastAsia="zh-CN"/>
        </w:rPr>
        <w:t>合同</w:t>
      </w:r>
      <w:r>
        <w:rPr>
          <w:rFonts w:ascii="宋体" w:hAnsi="宋体" w:eastAsia="宋体"/>
          <w:szCs w:val="24"/>
          <w:lang w:val="zh-CN"/>
        </w:rPr>
        <w:t>。</w:t>
      </w:r>
    </w:p>
    <w:p>
      <w:pPr>
        <w:spacing w:line="540" w:lineRule="exact"/>
        <w:ind w:firstLine="482"/>
        <w:rPr>
          <w:rFonts w:ascii="宋体" w:hAnsi="宋体" w:eastAsia="宋体"/>
          <w:b/>
          <w:sz w:val="24"/>
          <w:szCs w:val="24"/>
          <w:lang w:val="zh-CN"/>
        </w:rPr>
      </w:pPr>
      <w:bookmarkStart w:id="700" w:name="_Toc11424935"/>
      <w:bookmarkStart w:id="701" w:name="_Toc502922533"/>
      <w:r>
        <w:rPr>
          <w:rFonts w:ascii="宋体" w:hAnsi="宋体" w:eastAsia="宋体"/>
          <w:b/>
          <w:sz w:val="24"/>
          <w:szCs w:val="24"/>
          <w:lang w:val="zh-CN"/>
        </w:rPr>
        <w:t>十</w:t>
      </w:r>
      <w:r>
        <w:rPr>
          <w:rFonts w:ascii="宋体" w:hAnsi="宋体" w:eastAsia="宋体"/>
          <w:b/>
          <w:sz w:val="24"/>
          <w:szCs w:val="24"/>
        </w:rPr>
        <w:t>四</w:t>
      </w:r>
      <w:r>
        <w:rPr>
          <w:rFonts w:ascii="宋体" w:hAnsi="宋体" w:eastAsia="宋体"/>
          <w:b/>
          <w:sz w:val="24"/>
          <w:szCs w:val="24"/>
          <w:lang w:val="zh-CN"/>
        </w:rPr>
        <w:t>、诉讼</w:t>
      </w:r>
      <w:bookmarkEnd w:id="700"/>
      <w:bookmarkEnd w:id="701"/>
    </w:p>
    <w:p>
      <w:pPr>
        <w:spacing w:line="540" w:lineRule="exact"/>
        <w:ind w:firstLine="480"/>
        <w:rPr>
          <w:rFonts w:hint="default" w:ascii="宋体" w:hAnsi="宋体" w:eastAsia="宋体"/>
          <w:bCs/>
          <w:sz w:val="24"/>
          <w:szCs w:val="24"/>
          <w:lang w:val="zh-CN"/>
        </w:rPr>
      </w:pPr>
      <w:r>
        <w:rPr>
          <w:rFonts w:hint="default" w:ascii="宋体" w:hAnsi="宋体" w:eastAsia="宋体"/>
          <w:bCs/>
          <w:sz w:val="24"/>
          <w:szCs w:val="24"/>
          <w:lang w:val="zh-CN"/>
        </w:rPr>
        <w:t>本</w:t>
      </w:r>
      <w:r>
        <w:rPr>
          <w:rFonts w:ascii="宋体" w:hAnsi="宋体" w:eastAsia="宋体"/>
          <w:bCs/>
          <w:sz w:val="24"/>
          <w:szCs w:val="24"/>
          <w:lang w:val="zh-CN" w:eastAsia="zh-CN"/>
        </w:rPr>
        <w:t>合同</w:t>
      </w:r>
      <w:r>
        <w:rPr>
          <w:rFonts w:hint="default" w:ascii="宋体" w:hAnsi="宋体" w:eastAsia="宋体"/>
          <w:bCs/>
          <w:sz w:val="24"/>
          <w:szCs w:val="24"/>
          <w:lang w:val="zh-CN"/>
        </w:rPr>
        <w:t>的成立、签订、效力、解释、履行、变更、终止和争议解决均适用中华人民共和国法律。</w:t>
      </w:r>
    </w:p>
    <w:p>
      <w:pPr>
        <w:spacing w:line="540" w:lineRule="exact"/>
        <w:ind w:firstLine="480"/>
        <w:rPr>
          <w:rFonts w:hint="default" w:ascii="宋体" w:hAnsi="宋体" w:eastAsia="宋体"/>
          <w:bCs/>
          <w:sz w:val="24"/>
          <w:szCs w:val="24"/>
          <w:lang w:val="zh-CN"/>
        </w:rPr>
      </w:pPr>
      <w:r>
        <w:rPr>
          <w:rFonts w:hint="default" w:ascii="宋体" w:hAnsi="宋体" w:eastAsia="宋体"/>
          <w:bCs/>
          <w:sz w:val="24"/>
          <w:szCs w:val="24"/>
          <w:lang w:val="zh-CN"/>
        </w:rPr>
        <w:t>因本</w:t>
      </w:r>
      <w:r>
        <w:rPr>
          <w:rFonts w:ascii="宋体" w:hAnsi="宋体" w:eastAsia="宋体"/>
          <w:bCs/>
          <w:sz w:val="24"/>
          <w:szCs w:val="24"/>
          <w:lang w:val="zh-CN" w:eastAsia="zh-CN"/>
        </w:rPr>
        <w:t>合同</w:t>
      </w:r>
      <w:r>
        <w:rPr>
          <w:rFonts w:hint="default" w:ascii="宋体" w:hAnsi="宋体" w:eastAsia="宋体"/>
          <w:bCs/>
          <w:sz w:val="24"/>
          <w:szCs w:val="24"/>
          <w:lang w:val="zh-CN"/>
        </w:rPr>
        <w:t>履行过程中引起的或与本</w:t>
      </w:r>
      <w:r>
        <w:rPr>
          <w:rFonts w:ascii="宋体" w:hAnsi="宋体" w:eastAsia="宋体"/>
          <w:bCs/>
          <w:sz w:val="24"/>
          <w:szCs w:val="24"/>
          <w:lang w:val="zh-CN" w:eastAsia="zh-CN"/>
        </w:rPr>
        <w:t>合同</w:t>
      </w:r>
      <w:r>
        <w:rPr>
          <w:rFonts w:hint="default" w:ascii="宋体" w:hAnsi="宋体" w:eastAsia="宋体"/>
          <w:bCs/>
          <w:sz w:val="24"/>
          <w:szCs w:val="24"/>
          <w:lang w:val="zh-CN"/>
        </w:rPr>
        <w:t>相关的任何争议，双方应争取以友好协商的方式迅速解决；若经协商仍未能解决，任何一方均可将有关争议提交甲方所在地有管辖权的法院。</w:t>
      </w:r>
    </w:p>
    <w:p>
      <w:pPr>
        <w:spacing w:line="540" w:lineRule="exact"/>
        <w:ind w:firstLine="480"/>
        <w:rPr>
          <w:rFonts w:ascii="宋体" w:hAnsi="宋体" w:eastAsia="宋体"/>
          <w:bCs/>
          <w:sz w:val="24"/>
          <w:szCs w:val="24"/>
          <w:lang w:val="zh-CN"/>
        </w:rPr>
      </w:pPr>
      <w:r>
        <w:rPr>
          <w:rFonts w:hint="default" w:ascii="宋体" w:hAnsi="宋体" w:eastAsia="宋体"/>
          <w:bCs/>
          <w:sz w:val="24"/>
          <w:szCs w:val="24"/>
          <w:lang w:val="zh-CN"/>
        </w:rPr>
        <w:t>诉讼进行过程中，除双方有争议的部分外，本</w:t>
      </w:r>
      <w:r>
        <w:rPr>
          <w:rFonts w:ascii="宋体" w:hAnsi="宋体" w:eastAsia="宋体"/>
          <w:bCs/>
          <w:sz w:val="24"/>
          <w:szCs w:val="24"/>
          <w:lang w:val="zh-CN" w:eastAsia="zh-CN"/>
        </w:rPr>
        <w:t>合同</w:t>
      </w:r>
      <w:r>
        <w:rPr>
          <w:rFonts w:hint="default" w:ascii="宋体" w:hAnsi="宋体" w:eastAsia="宋体"/>
          <w:bCs/>
          <w:sz w:val="24"/>
          <w:szCs w:val="24"/>
          <w:lang w:val="zh-CN"/>
        </w:rPr>
        <w:t>其他部分仍然有效，各方应继续履行</w:t>
      </w:r>
      <w:r>
        <w:rPr>
          <w:rFonts w:ascii="宋体" w:hAnsi="宋体" w:eastAsia="宋体"/>
          <w:bCs/>
          <w:sz w:val="24"/>
          <w:szCs w:val="24"/>
          <w:lang w:val="zh-CN"/>
        </w:rPr>
        <w:t>。</w:t>
      </w:r>
    </w:p>
    <w:p>
      <w:pPr>
        <w:pStyle w:val="138"/>
        <w:spacing w:line="540" w:lineRule="exact"/>
        <w:ind w:firstLine="480"/>
        <w:rPr>
          <w:rFonts w:ascii="宋体" w:hAnsi="宋体" w:eastAsia="宋体"/>
          <w:szCs w:val="24"/>
          <w:lang w:val="zh-CN"/>
        </w:rPr>
      </w:pPr>
      <w:r>
        <w:rPr>
          <w:rFonts w:ascii="宋体" w:hAnsi="宋体" w:eastAsia="宋体"/>
          <w:szCs w:val="24"/>
          <w:lang w:val="zh-CN"/>
        </w:rPr>
        <w:t>乙方应提供确保通知可以送达的通讯地址和联系方式：</w:t>
      </w:r>
    </w:p>
    <w:p>
      <w:pPr>
        <w:pStyle w:val="138"/>
        <w:spacing w:line="540" w:lineRule="exact"/>
        <w:ind w:firstLine="480"/>
        <w:rPr>
          <w:rFonts w:ascii="宋体" w:hAnsi="宋体" w:eastAsia="宋体"/>
          <w:szCs w:val="24"/>
          <w:lang w:val="zh-CN"/>
        </w:rPr>
      </w:pPr>
      <w:r>
        <w:rPr>
          <w:rFonts w:ascii="宋体" w:hAnsi="宋体" w:eastAsia="宋体"/>
          <w:szCs w:val="24"/>
          <w:lang w:val="zh-CN"/>
        </w:rPr>
        <w:t xml:space="preserve">地址： </w:t>
      </w:r>
    </w:p>
    <w:p>
      <w:pPr>
        <w:pStyle w:val="138"/>
        <w:spacing w:line="540" w:lineRule="exact"/>
        <w:ind w:firstLine="480"/>
        <w:rPr>
          <w:rFonts w:ascii="宋体" w:hAnsi="宋体" w:eastAsia="宋体"/>
          <w:szCs w:val="24"/>
          <w:lang w:val="zh-CN"/>
        </w:rPr>
      </w:pPr>
      <w:r>
        <w:rPr>
          <w:rFonts w:ascii="宋体" w:hAnsi="宋体" w:eastAsia="宋体"/>
          <w:szCs w:val="24"/>
          <w:lang w:val="zh-CN"/>
        </w:rPr>
        <w:t xml:space="preserve">邮  编： </w:t>
      </w:r>
    </w:p>
    <w:p>
      <w:pPr>
        <w:pStyle w:val="138"/>
        <w:spacing w:line="540" w:lineRule="exact"/>
        <w:ind w:firstLine="480"/>
        <w:rPr>
          <w:rFonts w:ascii="宋体" w:hAnsi="宋体" w:eastAsia="宋体"/>
          <w:szCs w:val="24"/>
          <w:lang w:val="zh-CN"/>
        </w:rPr>
      </w:pPr>
      <w:r>
        <w:rPr>
          <w:rFonts w:ascii="宋体" w:hAnsi="宋体" w:eastAsia="宋体"/>
          <w:szCs w:val="24"/>
          <w:lang w:val="zh-CN"/>
        </w:rPr>
        <w:t xml:space="preserve">电子邮箱：                          </w:t>
      </w:r>
    </w:p>
    <w:p>
      <w:pPr>
        <w:pStyle w:val="138"/>
        <w:spacing w:line="540" w:lineRule="exact"/>
        <w:ind w:firstLine="480"/>
        <w:rPr>
          <w:rFonts w:ascii="宋体" w:hAnsi="宋体" w:eastAsia="宋体"/>
          <w:szCs w:val="24"/>
          <w:lang w:val="zh-CN"/>
        </w:rPr>
      </w:pPr>
      <w:r>
        <w:rPr>
          <w:rFonts w:ascii="宋体" w:hAnsi="宋体" w:eastAsia="宋体"/>
          <w:szCs w:val="24"/>
          <w:lang w:val="zh-CN"/>
        </w:rPr>
        <w:t xml:space="preserve">联系人：                                         </w:t>
      </w:r>
    </w:p>
    <w:p>
      <w:pPr>
        <w:pStyle w:val="138"/>
        <w:spacing w:line="540" w:lineRule="exact"/>
        <w:ind w:firstLine="480"/>
        <w:rPr>
          <w:rFonts w:ascii="宋体" w:hAnsi="宋体" w:eastAsia="宋体"/>
          <w:szCs w:val="24"/>
          <w:lang w:val="zh-CN"/>
        </w:rPr>
      </w:pPr>
      <w:r>
        <w:rPr>
          <w:rFonts w:ascii="宋体" w:hAnsi="宋体" w:eastAsia="宋体"/>
          <w:szCs w:val="24"/>
          <w:lang w:val="zh-CN"/>
        </w:rPr>
        <w:t xml:space="preserve">固定电话：    </w:t>
      </w:r>
      <w:r>
        <w:rPr>
          <w:rFonts w:ascii="宋体" w:hAnsi="宋体" w:eastAsia="宋体"/>
          <w:szCs w:val="24"/>
        </w:rPr>
        <w:t xml:space="preserve">   </w:t>
      </w:r>
      <w:r>
        <w:rPr>
          <w:rFonts w:hint="eastAsia" w:ascii="宋体" w:hAnsi="宋体" w:eastAsia="宋体"/>
          <w:szCs w:val="24"/>
          <w:lang w:val="en-US" w:eastAsia="zh-CN"/>
        </w:rPr>
        <w:t xml:space="preserve">       </w:t>
      </w:r>
      <w:r>
        <w:rPr>
          <w:rFonts w:ascii="宋体" w:hAnsi="宋体" w:eastAsia="宋体"/>
          <w:szCs w:val="24"/>
          <w:lang w:val="zh-CN"/>
        </w:rPr>
        <w:t xml:space="preserve">   移动电话：                            </w:t>
      </w:r>
    </w:p>
    <w:p>
      <w:pPr>
        <w:pStyle w:val="138"/>
        <w:spacing w:line="540" w:lineRule="exact"/>
        <w:ind w:firstLine="480"/>
        <w:rPr>
          <w:rFonts w:ascii="宋体" w:hAnsi="宋体" w:eastAsia="宋体"/>
          <w:szCs w:val="24"/>
          <w:lang w:val="zh-CN"/>
        </w:rPr>
      </w:pPr>
      <w:r>
        <w:rPr>
          <w:rFonts w:ascii="宋体" w:hAnsi="宋体" w:eastAsia="宋体"/>
          <w:szCs w:val="24"/>
          <w:lang w:val="zh-CN"/>
        </w:rPr>
        <w:t>甲方向乙方发出的任何通知，应以专人送达、邮寄或电子邮件方式发出。通知如以专人送达，以乙方法定代表人、联系人或其他工作人员签收之日为送达之日；以邮寄发出的通知，无论乙方是否签收，交邮后第3日即视为送达之日；使用电子邮件方式送达通知的，电子邮件在发信通知服务器上所记录的发出时间视为送达时间。除此之外，甲方还可采用电话、短信等方式向乙方发出通知。</w:t>
      </w:r>
    </w:p>
    <w:p>
      <w:pPr>
        <w:pStyle w:val="138"/>
        <w:spacing w:line="540" w:lineRule="exact"/>
        <w:ind w:firstLine="480"/>
        <w:rPr>
          <w:rFonts w:ascii="宋体" w:hAnsi="宋体" w:eastAsia="宋体"/>
          <w:szCs w:val="24"/>
          <w:lang w:val="zh-CN"/>
        </w:rPr>
      </w:pPr>
      <w:r>
        <w:rPr>
          <w:rFonts w:ascii="宋体" w:hAnsi="宋体" w:eastAsia="宋体"/>
          <w:szCs w:val="24"/>
          <w:lang w:val="zh-CN"/>
        </w:rPr>
        <w:t>上述送达地址、电子邮箱、联系人、联系电话等若有变动，乙方应在变更前三天内以书面形式通知甲方。若因本合同上注明的乙方地址及联系方式等不准确或变更前未通知甲方而导致通知不能送达的，视为甲方已送达，乙方承担因此产生的一切后果和责任，同时视为甲方已履行通知义务。</w:t>
      </w:r>
    </w:p>
    <w:p>
      <w:pPr>
        <w:pStyle w:val="138"/>
        <w:spacing w:line="540" w:lineRule="exact"/>
        <w:ind w:firstLine="480"/>
        <w:rPr>
          <w:rFonts w:ascii="宋体" w:hAnsi="宋体" w:eastAsia="宋体"/>
          <w:szCs w:val="24"/>
          <w:lang w:val="zh-CN"/>
        </w:rPr>
      </w:pPr>
      <w:r>
        <w:rPr>
          <w:rFonts w:ascii="宋体" w:hAnsi="宋体" w:eastAsia="宋体"/>
          <w:szCs w:val="24"/>
          <w:lang w:val="zh-CN"/>
        </w:rPr>
        <w:t>乙方确认，本合同中约定的上述送达地址适用范围包括双方非诉时各类通知、协议等文件以及就本合同发生纠纷时相关文件和法律文书的送达，同时包括在争议进入仲裁、民事诉讼程序后的一审、二审、再审和执行等程序。</w:t>
      </w:r>
    </w:p>
    <w:p>
      <w:pPr>
        <w:spacing w:line="540" w:lineRule="exact"/>
        <w:ind w:firstLine="482"/>
        <w:rPr>
          <w:rFonts w:ascii="宋体" w:hAnsi="宋体" w:eastAsia="宋体"/>
          <w:b/>
          <w:sz w:val="24"/>
          <w:szCs w:val="24"/>
          <w:lang w:val="zh-CN"/>
        </w:rPr>
      </w:pPr>
      <w:bookmarkStart w:id="702" w:name="_Toc11424936"/>
      <w:bookmarkStart w:id="703" w:name="_Toc502922534"/>
      <w:r>
        <w:rPr>
          <w:rFonts w:ascii="宋体" w:hAnsi="宋体" w:eastAsia="宋体"/>
          <w:b/>
          <w:sz w:val="24"/>
          <w:szCs w:val="24"/>
          <w:lang w:val="zh-CN"/>
        </w:rPr>
        <w:t>十</w:t>
      </w:r>
      <w:r>
        <w:rPr>
          <w:rFonts w:ascii="宋体" w:hAnsi="宋体" w:eastAsia="宋体"/>
          <w:b/>
          <w:sz w:val="24"/>
          <w:szCs w:val="24"/>
        </w:rPr>
        <w:t>五</w:t>
      </w:r>
      <w:r>
        <w:rPr>
          <w:rFonts w:ascii="宋体" w:hAnsi="宋体" w:eastAsia="宋体"/>
          <w:b/>
          <w:sz w:val="24"/>
          <w:szCs w:val="24"/>
          <w:lang w:val="zh-CN"/>
        </w:rPr>
        <w:t>、合同生效及其它</w:t>
      </w:r>
      <w:bookmarkEnd w:id="702"/>
      <w:bookmarkEnd w:id="703"/>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1.合同经甲、乙双方法定代表人（或授权代表）签字（签名章）并加盖各自合同专用章后生效。</w:t>
      </w:r>
    </w:p>
    <w:p>
      <w:pPr>
        <w:spacing w:line="540" w:lineRule="exact"/>
        <w:ind w:firstLine="480"/>
        <w:rPr>
          <w:rFonts w:hint="default" w:ascii="宋体" w:hAnsi="宋体" w:eastAsia="宋体"/>
          <w:bCs/>
          <w:sz w:val="24"/>
          <w:szCs w:val="24"/>
          <w:lang w:val="zh-CN"/>
        </w:rPr>
      </w:pPr>
      <w:r>
        <w:rPr>
          <w:rFonts w:ascii="宋体" w:hAnsi="宋体" w:eastAsia="宋体"/>
          <w:bCs/>
          <w:sz w:val="24"/>
          <w:szCs w:val="24"/>
          <w:lang w:val="zh-CN"/>
        </w:rPr>
        <w:t>2.</w:t>
      </w:r>
      <w:r>
        <w:rPr>
          <w:rFonts w:hint="default" w:ascii="宋体" w:hAnsi="宋体" w:eastAsia="宋体"/>
          <w:bCs/>
          <w:sz w:val="24"/>
          <w:szCs w:val="24"/>
          <w:lang w:val="zh-CN"/>
        </w:rPr>
        <w:t>本</w:t>
      </w:r>
      <w:r>
        <w:rPr>
          <w:rFonts w:ascii="宋体" w:hAnsi="宋体" w:eastAsia="宋体"/>
          <w:bCs/>
          <w:sz w:val="24"/>
          <w:szCs w:val="24"/>
          <w:lang w:val="zh-CN" w:eastAsia="zh-CN"/>
        </w:rPr>
        <w:t>合同</w:t>
      </w:r>
      <w:r>
        <w:rPr>
          <w:rFonts w:hint="default" w:ascii="宋体" w:hAnsi="宋体" w:eastAsia="宋体"/>
          <w:bCs/>
          <w:sz w:val="24"/>
          <w:szCs w:val="24"/>
          <w:lang w:val="zh-CN"/>
        </w:rPr>
        <w:t>及其附件构成双方就本</w:t>
      </w:r>
      <w:r>
        <w:rPr>
          <w:rFonts w:ascii="宋体" w:hAnsi="宋体" w:eastAsia="宋体"/>
          <w:bCs/>
          <w:sz w:val="24"/>
          <w:szCs w:val="24"/>
          <w:lang w:val="zh-CN" w:eastAsia="zh-CN"/>
        </w:rPr>
        <w:t>合同</w:t>
      </w:r>
      <w:r>
        <w:rPr>
          <w:rFonts w:hint="default" w:ascii="宋体" w:hAnsi="宋体" w:eastAsia="宋体"/>
          <w:bCs/>
          <w:sz w:val="24"/>
          <w:szCs w:val="24"/>
          <w:lang w:val="zh-CN"/>
        </w:rPr>
        <w:t>标的达成的完整</w:t>
      </w:r>
      <w:r>
        <w:rPr>
          <w:rFonts w:ascii="宋体" w:hAnsi="宋体" w:eastAsia="宋体"/>
          <w:bCs/>
          <w:sz w:val="24"/>
          <w:szCs w:val="24"/>
          <w:lang w:val="zh-CN" w:eastAsia="zh-CN"/>
        </w:rPr>
        <w:t>合同，</w:t>
      </w:r>
      <w:r>
        <w:rPr>
          <w:rFonts w:hint="default" w:ascii="宋体" w:hAnsi="宋体" w:eastAsia="宋体"/>
          <w:bCs/>
          <w:sz w:val="24"/>
          <w:szCs w:val="24"/>
          <w:lang w:val="zh-CN"/>
        </w:rPr>
        <w:t>取代双方之前达成的所有口头或书面的协议、协商、意向书和其他协议及文件。</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eastAsia="zh-CN"/>
        </w:rPr>
        <w:t>本项目合同的招标文件、投标文件以及</w:t>
      </w:r>
      <w:r>
        <w:rPr>
          <w:rFonts w:ascii="宋体" w:hAnsi="宋体" w:eastAsia="宋体"/>
          <w:bCs/>
          <w:sz w:val="24"/>
          <w:szCs w:val="24"/>
        </w:rPr>
        <w:t>本合同履行期内</w:t>
      </w:r>
      <w:r>
        <w:rPr>
          <w:rFonts w:ascii="宋体" w:hAnsi="宋体" w:eastAsia="宋体"/>
          <w:bCs/>
          <w:sz w:val="24"/>
          <w:szCs w:val="24"/>
          <w:lang w:val="zh-CN"/>
        </w:rPr>
        <w:t>的双方书面协议、附件文件</w:t>
      </w:r>
      <w:r>
        <w:rPr>
          <w:rFonts w:ascii="宋体" w:hAnsi="宋体" w:eastAsia="宋体"/>
          <w:bCs/>
          <w:sz w:val="24"/>
          <w:szCs w:val="24"/>
          <w:lang w:val="zh-CN" w:eastAsia="zh-CN"/>
        </w:rPr>
        <w:t>均</w:t>
      </w:r>
      <w:r>
        <w:rPr>
          <w:rFonts w:hint="default" w:ascii="宋体" w:hAnsi="宋体" w:eastAsia="宋体"/>
          <w:bCs/>
          <w:sz w:val="24"/>
          <w:szCs w:val="24"/>
          <w:lang w:val="zh-CN"/>
        </w:rPr>
        <w:t>为</w:t>
      </w:r>
      <w:r>
        <w:rPr>
          <w:rFonts w:ascii="宋体" w:hAnsi="宋体" w:eastAsia="宋体"/>
          <w:bCs/>
          <w:sz w:val="24"/>
          <w:szCs w:val="24"/>
          <w:lang w:val="zh-CN" w:eastAsia="zh-CN"/>
        </w:rPr>
        <w:t>合同</w:t>
      </w:r>
      <w:r>
        <w:rPr>
          <w:rFonts w:hint="default" w:ascii="宋体" w:hAnsi="宋体" w:eastAsia="宋体"/>
          <w:bCs/>
          <w:sz w:val="24"/>
          <w:szCs w:val="24"/>
          <w:lang w:val="zh-CN"/>
        </w:rPr>
        <w:t>不可分割的组成部分，与</w:t>
      </w:r>
      <w:r>
        <w:rPr>
          <w:rFonts w:ascii="宋体" w:hAnsi="宋体" w:eastAsia="宋体"/>
          <w:bCs/>
          <w:sz w:val="24"/>
          <w:szCs w:val="24"/>
          <w:lang w:val="zh-CN" w:eastAsia="zh-CN"/>
        </w:rPr>
        <w:t>合同</w:t>
      </w:r>
      <w:r>
        <w:rPr>
          <w:rFonts w:hint="default" w:ascii="宋体" w:hAnsi="宋体" w:eastAsia="宋体"/>
          <w:bCs/>
          <w:sz w:val="24"/>
          <w:szCs w:val="24"/>
          <w:lang w:val="zh-CN"/>
        </w:rPr>
        <w:t>正文具有同等法律效力。本</w:t>
      </w:r>
      <w:r>
        <w:rPr>
          <w:rFonts w:ascii="宋体" w:hAnsi="宋体" w:eastAsia="宋体"/>
          <w:bCs/>
          <w:sz w:val="24"/>
          <w:szCs w:val="24"/>
          <w:lang w:val="zh-CN" w:eastAsia="zh-CN"/>
        </w:rPr>
        <w:t>合同</w:t>
      </w:r>
      <w:r>
        <w:rPr>
          <w:rFonts w:hint="default" w:ascii="宋体" w:hAnsi="宋体" w:eastAsia="宋体"/>
          <w:bCs/>
          <w:sz w:val="24"/>
          <w:szCs w:val="24"/>
          <w:lang w:val="zh-CN" w:eastAsia="zh-CN"/>
        </w:rPr>
        <w:t>相关</w:t>
      </w:r>
      <w:r>
        <w:rPr>
          <w:rFonts w:hint="default" w:ascii="宋体" w:hAnsi="宋体" w:eastAsia="宋体"/>
          <w:bCs/>
          <w:sz w:val="24"/>
          <w:szCs w:val="24"/>
          <w:lang w:val="zh-CN"/>
        </w:rPr>
        <w:t>附件与正文冲突的，以正文为准</w:t>
      </w:r>
      <w:r>
        <w:rPr>
          <w:rFonts w:ascii="宋体" w:hAnsi="宋体" w:eastAsia="宋体"/>
          <w:bCs/>
          <w:sz w:val="24"/>
          <w:szCs w:val="24"/>
          <w:lang w:val="zh-CN"/>
        </w:rPr>
        <w:t>。</w:t>
      </w:r>
    </w:p>
    <w:p>
      <w:pPr>
        <w:spacing w:line="540" w:lineRule="exact"/>
        <w:ind w:firstLine="480"/>
        <w:rPr>
          <w:rFonts w:ascii="宋体" w:hAnsi="宋体" w:eastAsia="宋体"/>
          <w:bCs/>
          <w:sz w:val="24"/>
          <w:szCs w:val="24"/>
          <w:lang w:val="zh-CN"/>
        </w:rPr>
      </w:pPr>
      <w:r>
        <w:rPr>
          <w:rFonts w:ascii="宋体" w:hAnsi="宋体" w:eastAsia="宋体"/>
          <w:bCs/>
          <w:sz w:val="24"/>
          <w:szCs w:val="24"/>
          <w:lang w:val="zh-CN"/>
        </w:rPr>
        <w:t>3.本合同未尽事宜，遵照《民法典》有关条文执行。</w:t>
      </w:r>
    </w:p>
    <w:p>
      <w:pPr>
        <w:spacing w:line="540" w:lineRule="exact"/>
        <w:ind w:firstLine="480"/>
        <w:rPr>
          <w:rFonts w:ascii="宋体" w:hAnsi="宋体" w:eastAsia="宋体"/>
          <w:b/>
          <w:sz w:val="24"/>
          <w:szCs w:val="24"/>
          <w:lang w:val="zh-CN"/>
        </w:rPr>
      </w:pPr>
      <w:r>
        <w:rPr>
          <w:rFonts w:ascii="宋体" w:hAnsi="宋体" w:eastAsia="宋体"/>
          <w:bCs/>
          <w:sz w:val="24"/>
          <w:szCs w:val="24"/>
          <w:lang w:val="zh-CN"/>
        </w:rPr>
        <w:t>4.本合同一式</w:t>
      </w:r>
      <w:r>
        <w:rPr>
          <w:rFonts w:ascii="宋体" w:hAnsi="宋体" w:eastAsia="宋体"/>
          <w:bCs/>
          <w:sz w:val="24"/>
          <w:szCs w:val="24"/>
        </w:rPr>
        <w:t>陆</w:t>
      </w:r>
      <w:r>
        <w:rPr>
          <w:rFonts w:ascii="宋体" w:hAnsi="宋体" w:eastAsia="宋体"/>
          <w:bCs/>
          <w:sz w:val="24"/>
          <w:szCs w:val="24"/>
          <w:lang w:val="zh-CN"/>
        </w:rPr>
        <w:t>份，双方各执</w:t>
      </w:r>
      <w:r>
        <w:rPr>
          <w:rFonts w:ascii="宋体" w:hAnsi="宋体" w:eastAsia="宋体"/>
          <w:bCs/>
          <w:sz w:val="24"/>
          <w:szCs w:val="24"/>
        </w:rPr>
        <w:t>叁</w:t>
      </w:r>
      <w:r>
        <w:rPr>
          <w:rFonts w:ascii="宋体" w:hAnsi="宋体" w:eastAsia="宋体"/>
          <w:bCs/>
          <w:sz w:val="24"/>
          <w:szCs w:val="24"/>
          <w:lang w:val="zh-CN"/>
        </w:rPr>
        <w:t>份，具有同等法律效力。</w:t>
      </w:r>
    </w:p>
    <w:p>
      <w:pPr>
        <w:pStyle w:val="138"/>
        <w:spacing w:line="540" w:lineRule="exact"/>
        <w:rPr>
          <w:rFonts w:ascii="宋体" w:hAnsi="宋体" w:eastAsia="宋体"/>
          <w:bCs/>
          <w:szCs w:val="24"/>
        </w:rPr>
      </w:pPr>
    </w:p>
    <w:tbl>
      <w:tblPr>
        <w:tblStyle w:val="51"/>
        <w:tblpPr w:leftFromText="180" w:rightFromText="180" w:vertAnchor="text" w:horzAnchor="page" w:tblpX="1253" w:tblpY="523"/>
        <w:tblOverlap w:val="never"/>
        <w:tblW w:w="10065" w:type="dxa"/>
        <w:tblInd w:w="0" w:type="dxa"/>
        <w:tblLayout w:type="fixed"/>
        <w:tblCellMar>
          <w:top w:w="0" w:type="dxa"/>
          <w:left w:w="108" w:type="dxa"/>
          <w:bottom w:w="0" w:type="dxa"/>
          <w:right w:w="108" w:type="dxa"/>
        </w:tblCellMar>
      </w:tblPr>
      <w:tblGrid>
        <w:gridCol w:w="4996"/>
        <w:gridCol w:w="5069"/>
      </w:tblGrid>
      <w:tr>
        <w:tblPrEx>
          <w:tblCellMar>
            <w:top w:w="0" w:type="dxa"/>
            <w:left w:w="108" w:type="dxa"/>
            <w:bottom w:w="0" w:type="dxa"/>
            <w:right w:w="108" w:type="dxa"/>
          </w:tblCellMar>
        </w:tblPrEx>
        <w:trPr>
          <w:trHeight w:val="1" w:hRule="atLeast"/>
        </w:trPr>
        <w:tc>
          <w:tcPr>
            <w:tcW w:w="4996" w:type="dxa"/>
            <w:tcBorders>
              <w:top w:val="nil"/>
              <w:left w:val="nil"/>
              <w:bottom w:val="nil"/>
              <w:right w:val="nil"/>
            </w:tcBorders>
            <w:noWrap w:val="0"/>
            <w:vAlign w:val="top"/>
          </w:tcPr>
          <w:p>
            <w:pPr>
              <w:spacing w:line="540" w:lineRule="exact"/>
              <w:rPr>
                <w:rFonts w:ascii="宋体" w:hAnsi="宋体" w:eastAsia="宋体"/>
                <w:bCs/>
                <w:sz w:val="24"/>
                <w:szCs w:val="24"/>
                <w:lang w:val="zh-CN"/>
              </w:rPr>
            </w:pPr>
            <w:r>
              <w:rPr>
                <w:rFonts w:ascii="宋体" w:hAnsi="宋体" w:eastAsia="宋体"/>
                <w:bCs/>
                <w:sz w:val="24"/>
                <w:szCs w:val="24"/>
                <w:lang w:val="zh-CN"/>
              </w:rPr>
              <w:t>甲方（盖章）：</w:t>
            </w:r>
            <w:r>
              <w:rPr>
                <w:rFonts w:ascii="宋体" w:hAnsi="宋体" w:eastAsia="宋体"/>
                <w:bCs/>
                <w:sz w:val="24"/>
                <w:szCs w:val="24"/>
              </w:rPr>
              <w:t xml:space="preserve"> </w:t>
            </w:r>
          </w:p>
          <w:p>
            <w:pPr>
              <w:spacing w:line="540" w:lineRule="exact"/>
              <w:rPr>
                <w:rFonts w:ascii="宋体" w:hAnsi="宋体" w:eastAsia="宋体"/>
                <w:bCs/>
                <w:sz w:val="24"/>
                <w:szCs w:val="24"/>
                <w:lang w:val="zh-CN"/>
              </w:rPr>
            </w:pPr>
            <w:r>
              <w:rPr>
                <w:rFonts w:ascii="宋体" w:hAnsi="宋体" w:eastAsia="宋体"/>
                <w:bCs/>
                <w:sz w:val="24"/>
                <w:szCs w:val="24"/>
                <w:lang w:val="zh-CN"/>
              </w:rPr>
              <w:t xml:space="preserve"> </w:t>
            </w:r>
          </w:p>
          <w:p>
            <w:pPr>
              <w:spacing w:line="540" w:lineRule="exact"/>
              <w:rPr>
                <w:rFonts w:ascii="宋体" w:hAnsi="宋体" w:eastAsia="宋体"/>
                <w:kern w:val="0"/>
                <w:sz w:val="24"/>
                <w:szCs w:val="24"/>
                <w:lang w:val="zh-CN"/>
              </w:rPr>
            </w:pPr>
            <w:r>
              <w:rPr>
                <w:rFonts w:ascii="宋体" w:hAnsi="宋体" w:eastAsia="宋体"/>
                <w:bCs/>
                <w:sz w:val="24"/>
                <w:szCs w:val="24"/>
                <w:lang w:val="zh-CN"/>
              </w:rPr>
              <w:t>法定代表人（或授权代表）：</w:t>
            </w:r>
          </w:p>
        </w:tc>
        <w:tc>
          <w:tcPr>
            <w:tcW w:w="5069" w:type="dxa"/>
            <w:tcBorders>
              <w:top w:val="nil"/>
              <w:left w:val="nil"/>
              <w:bottom w:val="nil"/>
              <w:right w:val="nil"/>
            </w:tcBorders>
            <w:noWrap w:val="0"/>
            <w:vAlign w:val="top"/>
          </w:tcPr>
          <w:p>
            <w:pPr>
              <w:spacing w:line="540" w:lineRule="exact"/>
              <w:rPr>
                <w:rFonts w:ascii="宋体" w:hAnsi="宋体" w:eastAsia="宋体"/>
                <w:bCs/>
                <w:sz w:val="24"/>
                <w:szCs w:val="24"/>
                <w:lang w:val="zh-CN"/>
              </w:rPr>
            </w:pPr>
            <w:r>
              <w:rPr>
                <w:rFonts w:ascii="宋体" w:hAnsi="宋体" w:eastAsia="宋体"/>
                <w:bCs/>
                <w:sz w:val="24"/>
                <w:szCs w:val="24"/>
                <w:lang w:val="zh-CN"/>
              </w:rPr>
              <w:t>乙方（盖章）：</w:t>
            </w:r>
            <w:r>
              <w:rPr>
                <w:rFonts w:ascii="宋体" w:hAnsi="宋体" w:eastAsia="宋体"/>
                <w:bCs/>
                <w:sz w:val="24"/>
                <w:szCs w:val="24"/>
              </w:rPr>
              <w:t xml:space="preserve"> </w:t>
            </w:r>
          </w:p>
          <w:p>
            <w:pPr>
              <w:spacing w:line="540" w:lineRule="exact"/>
              <w:rPr>
                <w:rFonts w:ascii="宋体" w:hAnsi="宋体" w:eastAsia="宋体"/>
                <w:bCs/>
                <w:sz w:val="24"/>
                <w:szCs w:val="24"/>
              </w:rPr>
            </w:pPr>
            <w:r>
              <w:rPr>
                <w:rFonts w:ascii="宋体" w:hAnsi="宋体" w:eastAsia="宋体"/>
                <w:bCs/>
                <w:sz w:val="24"/>
                <w:szCs w:val="24"/>
              </w:rPr>
              <w:t xml:space="preserve"> </w:t>
            </w:r>
          </w:p>
          <w:p>
            <w:pPr>
              <w:spacing w:line="540" w:lineRule="exact"/>
              <w:rPr>
                <w:rFonts w:ascii="宋体" w:hAnsi="宋体" w:eastAsia="宋体"/>
                <w:sz w:val="24"/>
                <w:szCs w:val="24"/>
                <w:lang w:val="zh-CN"/>
              </w:rPr>
            </w:pPr>
            <w:r>
              <w:rPr>
                <w:rFonts w:ascii="宋体" w:hAnsi="宋体" w:eastAsia="宋体"/>
                <w:bCs/>
                <w:sz w:val="24"/>
                <w:szCs w:val="24"/>
                <w:lang w:val="zh-CN"/>
              </w:rPr>
              <w:t>法定代表人（或授权代表）：</w:t>
            </w:r>
          </w:p>
        </w:tc>
      </w:tr>
    </w:tbl>
    <w:p>
      <w:pPr>
        <w:autoSpaceDE w:val="0"/>
        <w:autoSpaceDN w:val="0"/>
        <w:spacing w:line="540" w:lineRule="exact"/>
        <w:ind w:firstLine="480"/>
        <w:rPr>
          <w:rFonts w:ascii="宋体" w:hAnsi="宋体" w:eastAsia="宋体"/>
          <w:kern w:val="0"/>
          <w:sz w:val="24"/>
          <w:szCs w:val="24"/>
        </w:rPr>
      </w:pPr>
    </w:p>
    <w:p>
      <w:pPr>
        <w:spacing w:line="540" w:lineRule="exact"/>
        <w:jc w:val="right"/>
        <w:rPr>
          <w:rFonts w:ascii="宋体" w:hAnsi="宋体" w:eastAsia="宋体"/>
          <w:b/>
          <w:bCs/>
          <w:sz w:val="24"/>
          <w:szCs w:val="24"/>
        </w:rPr>
      </w:pPr>
    </w:p>
    <w:p>
      <w:pPr>
        <w:spacing w:line="540" w:lineRule="exact"/>
        <w:jc w:val="center"/>
        <w:rPr>
          <w:rFonts w:ascii="宋体" w:hAnsi="宋体" w:eastAsia="宋体"/>
          <w:b/>
          <w:bCs/>
          <w:sz w:val="24"/>
          <w:szCs w:val="24"/>
        </w:rPr>
      </w:pPr>
      <w:r>
        <w:rPr>
          <w:rFonts w:ascii="宋体" w:hAnsi="宋体" w:eastAsia="宋体"/>
          <w:b/>
          <w:bCs/>
          <w:sz w:val="24"/>
          <w:szCs w:val="24"/>
        </w:rPr>
        <w:t>本合同于</w:t>
      </w:r>
      <w:r>
        <w:rPr>
          <w:rFonts w:ascii="宋体" w:hAnsi="宋体" w:eastAsia="宋体"/>
          <w:b/>
          <w:bCs/>
          <w:sz w:val="24"/>
          <w:szCs w:val="24"/>
          <w:u w:val="single"/>
        </w:rPr>
        <w:t xml:space="preserve">      </w:t>
      </w:r>
      <w:r>
        <w:rPr>
          <w:rFonts w:ascii="宋体" w:hAnsi="宋体" w:eastAsia="宋体"/>
          <w:b/>
          <w:bCs/>
          <w:sz w:val="24"/>
          <w:szCs w:val="24"/>
        </w:rPr>
        <w:t>年</w:t>
      </w:r>
      <w:r>
        <w:rPr>
          <w:rFonts w:ascii="宋体" w:hAnsi="宋体" w:eastAsia="宋体"/>
          <w:b/>
          <w:bCs/>
          <w:sz w:val="24"/>
          <w:szCs w:val="24"/>
          <w:u w:val="single"/>
        </w:rPr>
        <w:t xml:space="preserve">     </w:t>
      </w:r>
      <w:r>
        <w:rPr>
          <w:rFonts w:ascii="宋体" w:hAnsi="宋体" w:eastAsia="宋体"/>
          <w:b/>
          <w:bCs/>
          <w:sz w:val="24"/>
          <w:szCs w:val="24"/>
        </w:rPr>
        <w:t>月</w:t>
      </w:r>
      <w:r>
        <w:rPr>
          <w:rFonts w:ascii="宋体" w:hAnsi="宋体" w:eastAsia="宋体"/>
          <w:b/>
          <w:bCs/>
          <w:sz w:val="24"/>
          <w:szCs w:val="24"/>
          <w:u w:val="single"/>
        </w:rPr>
        <w:t xml:space="preserve">    </w:t>
      </w:r>
      <w:r>
        <w:rPr>
          <w:rFonts w:ascii="宋体" w:hAnsi="宋体" w:eastAsia="宋体"/>
          <w:b/>
          <w:bCs/>
          <w:sz w:val="24"/>
          <w:szCs w:val="24"/>
        </w:rPr>
        <w:t>日签订</w:t>
      </w:r>
    </w:p>
    <w:p>
      <w:pPr>
        <w:pStyle w:val="87"/>
        <w:rPr>
          <w:highlight w:val="none"/>
        </w:rPr>
      </w:pPr>
    </w:p>
    <w:p>
      <w:pPr>
        <w:snapToGrid w:val="0"/>
        <w:spacing w:line="360" w:lineRule="auto"/>
        <w:rPr>
          <w:rFonts w:ascii="宋体"/>
          <w:b/>
          <w:bCs/>
          <w:sz w:val="28"/>
          <w:szCs w:val="28"/>
          <w:highlight w:val="none"/>
        </w:rPr>
      </w:pPr>
    </w:p>
    <w:p>
      <w:pPr>
        <w:snapToGrid w:val="0"/>
        <w:spacing w:line="360" w:lineRule="auto"/>
        <w:jc w:val="center"/>
        <w:rPr>
          <w:rFonts w:hint="eastAsia" w:ascii="宋体" w:hAnsi="宋体" w:cs="宋体"/>
          <w:b/>
          <w:bCs/>
          <w:sz w:val="36"/>
          <w:szCs w:val="36"/>
          <w:highlight w:val="none"/>
        </w:rPr>
      </w:pPr>
    </w:p>
    <w:p>
      <w:pPr>
        <w:pStyle w:val="87"/>
        <w:rPr>
          <w:rFonts w:hint="eastAsia" w:hAnsi="宋体" w:cs="宋体"/>
          <w:b/>
          <w:bCs/>
          <w:sz w:val="36"/>
          <w:szCs w:val="36"/>
          <w:highlight w:val="none"/>
        </w:rPr>
      </w:pPr>
    </w:p>
    <w:p>
      <w:pPr>
        <w:keepNext w:val="0"/>
        <w:keepLines w:val="0"/>
        <w:pageBreakBefore w:val="0"/>
        <w:widowControl w:val="0"/>
        <w:kinsoku/>
        <w:wordWrap/>
        <w:overflowPunct/>
        <w:topLinePunct w:val="0"/>
        <w:autoSpaceDE/>
        <w:autoSpaceDN/>
        <w:bidi w:val="0"/>
        <w:adjustRightInd/>
        <w:snapToGrid/>
        <w:spacing w:before="240" w:after="60"/>
        <w:jc w:val="center"/>
        <w:textAlignment w:val="auto"/>
        <w:outlineLvl w:val="0"/>
        <w:rPr>
          <w:rFonts w:hint="eastAsia" w:ascii="仿宋_GB2312" w:hAnsi="仿宋_GB2312" w:eastAsia="仿宋_GB2312" w:cs="仿宋_GB2312"/>
          <w:b/>
          <w:bCs/>
          <w:color w:val="auto"/>
          <w:kern w:val="44"/>
          <w:sz w:val="28"/>
          <w:szCs w:val="28"/>
          <w:lang w:val="en-US" w:eastAsia="zh-CN" w:bidi="ar-SA"/>
        </w:rPr>
      </w:pPr>
      <w:r>
        <w:rPr>
          <w:rFonts w:hint="eastAsia" w:ascii="仿宋_GB2312" w:hAnsi="仿宋_GB2312" w:eastAsia="仿宋_GB2312" w:cs="仿宋_GB2312"/>
          <w:b/>
          <w:bCs/>
          <w:color w:val="auto"/>
          <w:kern w:val="44"/>
          <w:sz w:val="36"/>
          <w:szCs w:val="36"/>
          <w:lang w:val="en-US"/>
        </w:rPr>
        <w:br w:type="page"/>
      </w:r>
      <w:r>
        <w:rPr>
          <w:rFonts w:hint="eastAsia" w:ascii="仿宋_GB2312" w:hAnsi="仿宋_GB2312" w:eastAsia="仿宋_GB2312" w:cs="仿宋_GB2312"/>
          <w:b/>
          <w:bCs/>
          <w:color w:val="auto"/>
          <w:kern w:val="44"/>
          <w:sz w:val="28"/>
          <w:szCs w:val="28"/>
          <w:lang w:val="en-US" w:eastAsia="zh-CN" w:bidi="ar-SA"/>
        </w:rPr>
        <w:t>第九章 附件</w:t>
      </w:r>
      <w:bookmarkEnd w:id="653"/>
      <w:bookmarkEnd w:id="654"/>
      <w:bookmarkEnd w:id="655"/>
      <w:bookmarkEnd w:id="656"/>
      <w:bookmarkEnd w:id="657"/>
    </w:p>
    <w:p>
      <w:pPr>
        <w:keepNext/>
        <w:keepLines/>
        <w:widowControl w:val="0"/>
        <w:autoSpaceDE w:val="0"/>
        <w:autoSpaceDN w:val="0"/>
        <w:adjustRightInd w:val="0"/>
        <w:spacing w:line="360" w:lineRule="auto"/>
        <w:outlineLvl w:val="1"/>
        <w:rPr>
          <w:rFonts w:hint="eastAsia" w:ascii="仿宋_GB2312" w:hAnsi="仿宋_GB2312" w:eastAsia="仿宋_GB2312" w:cs="仿宋_GB2312"/>
          <w:bCs/>
          <w:color w:val="auto"/>
          <w:kern w:val="0"/>
          <w:sz w:val="28"/>
          <w:szCs w:val="28"/>
          <w:lang w:val="en-US" w:eastAsia="zh-CN"/>
        </w:rPr>
      </w:pPr>
      <w:bookmarkStart w:id="704" w:name="_Toc1250555939_WPSOffice_Level1"/>
      <w:bookmarkStart w:id="705" w:name="_Toc1681897155"/>
      <w:r>
        <w:rPr>
          <w:rFonts w:hint="eastAsia" w:ascii="仿宋_GB2312" w:hAnsi="仿宋_GB2312" w:eastAsia="仿宋_GB2312" w:cs="仿宋_GB2312"/>
          <w:bCs/>
          <w:color w:val="auto"/>
          <w:kern w:val="0"/>
          <w:sz w:val="28"/>
          <w:szCs w:val="28"/>
          <w:lang w:val="en-US" w:eastAsia="zh-CN"/>
        </w:rPr>
        <w:t>附件1：河南省政府采购合同融资政策告知函</w:t>
      </w:r>
      <w:bookmarkEnd w:id="658"/>
      <w:bookmarkEnd w:id="659"/>
      <w:bookmarkEnd w:id="660"/>
      <w:bookmarkEnd w:id="661"/>
      <w:bookmarkEnd w:id="662"/>
      <w:bookmarkEnd w:id="663"/>
      <w:bookmarkEnd w:id="664"/>
      <w:bookmarkEnd w:id="665"/>
      <w:bookmarkEnd w:id="666"/>
      <w:bookmarkEnd w:id="667"/>
      <w:bookmarkEnd w:id="668"/>
      <w:bookmarkEnd w:id="669"/>
      <w:bookmarkEnd w:id="704"/>
      <w:bookmarkEnd w:id="705"/>
    </w:p>
    <w:p>
      <w:pPr>
        <w:widowControl w:val="0"/>
        <w:spacing w:before="240" w:after="60"/>
        <w:jc w:val="left"/>
        <w:rPr>
          <w:rFonts w:hint="eastAsia" w:ascii="仿宋_GB2312" w:hAnsi="仿宋_GB2312" w:eastAsia="仿宋_GB2312" w:cs="仿宋_GB2312"/>
          <w:b/>
          <w:bCs/>
          <w:color w:val="auto"/>
          <w:sz w:val="28"/>
          <w:szCs w:val="28"/>
          <w:lang w:val="en-US" w:eastAsia="zh-CN"/>
        </w:rPr>
      </w:pPr>
    </w:p>
    <w:p>
      <w:pPr>
        <w:jc w:val="center"/>
        <w:rPr>
          <w:rFonts w:hint="eastAsia" w:ascii="仿宋_GB2312" w:hAnsi="仿宋_GB2312" w:eastAsia="仿宋_GB2312" w:cs="仿宋_GB2312"/>
          <w:b/>
          <w:bCs/>
          <w:color w:val="auto"/>
          <w:sz w:val="28"/>
          <w:szCs w:val="28"/>
          <w:lang w:val="en-US" w:eastAsia="zh-CN"/>
        </w:rPr>
      </w:pPr>
      <w:bookmarkStart w:id="706" w:name="_Toc587059936_WPSOffice_Level2"/>
      <w:bookmarkStart w:id="707" w:name="_Toc1740618990_WPSOffice_Level1"/>
      <w:bookmarkStart w:id="708" w:name="_Toc495162933_WPSOffice_Level2"/>
      <w:bookmarkStart w:id="709" w:name="_Toc285380293_WPSOffice_Level1"/>
      <w:bookmarkStart w:id="710" w:name="_Toc1775221587_WPSOffice_Level1"/>
      <w:r>
        <w:rPr>
          <w:rFonts w:hint="eastAsia" w:ascii="仿宋_GB2312" w:hAnsi="仿宋_GB2312" w:eastAsia="仿宋_GB2312" w:cs="仿宋_GB2312"/>
          <w:b/>
          <w:bCs/>
          <w:color w:val="auto"/>
          <w:sz w:val="28"/>
          <w:szCs w:val="28"/>
          <w:lang w:val="en-US" w:eastAsia="zh-CN"/>
        </w:rPr>
        <w:t>河南省政府采购合同融资政策告知函</w:t>
      </w:r>
      <w:bookmarkEnd w:id="706"/>
      <w:bookmarkEnd w:id="707"/>
      <w:bookmarkEnd w:id="708"/>
      <w:bookmarkEnd w:id="709"/>
      <w:bookmarkEnd w:id="710"/>
    </w:p>
    <w:p>
      <w:pPr>
        <w:widowControl w:val="0"/>
        <w:rPr>
          <w:rFonts w:hint="eastAsia" w:ascii="仿宋_GB2312" w:hAnsi="仿宋_GB2312" w:eastAsia="仿宋_GB2312" w:cs="仿宋_GB2312"/>
          <w:color w:val="auto"/>
          <w:sz w:val="28"/>
          <w:szCs w:val="28"/>
          <w:lang w:val="en-US" w:eastAsia="zh-CN"/>
        </w:rPr>
      </w:pPr>
    </w:p>
    <w:p>
      <w:pPr>
        <w:widowControl w:val="0"/>
        <w:spacing w:line="360"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各投标人：</w:t>
      </w:r>
    </w:p>
    <w:p>
      <w:pPr>
        <w:widowControl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欢迎贵公司参与河南省政府采购活动！</w:t>
      </w:r>
    </w:p>
    <w:p>
      <w:pPr>
        <w:widowControl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人，可持政府采购合同向金融机构申请贷款，无需抵押、担保，融资机构将根据《河南省政府采购合同融资工作实施方案》（豫财购[2017]10号），按照双方自愿的原则提供便捷、优惠的贷款服务。</w:t>
      </w:r>
    </w:p>
    <w:p>
      <w:pPr>
        <w:pStyle w:val="45"/>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贷款渠道和提供贷款的金融机构，可在河南省政府采购网“河南省政府采购合同融资平台”查询联系。</w:t>
      </w:r>
    </w:p>
    <w:sectPr>
      <w:headerReference r:id="rId9" w:type="default"/>
      <w:footerReference r:id="rId10"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00"/>
    <w:family w:val="roman"/>
    <w:pitch w:val="default"/>
    <w:sig w:usb0="00000000" w:usb1="00000000" w:usb2="00000000" w:usb3="00000000" w:csb0="0000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微软雅黑">
    <w:altName w:val="黑体"/>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楷体-GB2312">
    <w:panose1 w:val="02000500000000000000"/>
    <w:charset w:val="86"/>
    <w:family w:val="auto"/>
    <w:pitch w:val="default"/>
    <w:sig w:usb0="800002BF" w:usb1="184F6CF8" w:usb2="00000012" w:usb3="00000000" w:csb0="0004000F"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Malgun Gothic Semilight">
    <w:altName w:val="Droid Sans Fallback"/>
    <w:panose1 w:val="020B0502040204020203"/>
    <w:charset w:val="00"/>
    <w:family w:val="swiss"/>
    <w:pitch w:val="default"/>
    <w:sig w:usb0="00000000" w:usb1="00000000" w:usb2="00000012" w:usb3="00000000" w:csb0="203E01BD" w:csb1="D7FF0000"/>
  </w:font>
  <w:font w:name="Droid Sans Fallback">
    <w:panose1 w:val="020B0502000000000001"/>
    <w:charset w:val="86"/>
    <w:family w:val="auto"/>
    <w:pitch w:val="default"/>
    <w:sig w:usb0="910002FF" w:usb1="2BDFFCFB" w:usb2="00000036" w:usb3="00000000" w:csb0="203F01FF" w:csb1="D7FF0000"/>
  </w:font>
  <w:font w:name="PMingLiU">
    <w:altName w:val="Droid Sans Fallback"/>
    <w:panose1 w:val="02010601000101010101"/>
    <w:charset w:val="00"/>
    <w:family w:val="auto"/>
    <w:pitch w:val="default"/>
    <w:sig w:usb0="00000000" w:usb1="00000000" w:usb2="00000010" w:usb3="00000000" w:csb0="00100000"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pPr>
                            <w:pStyle w:val="3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1.65pt;width:4.55pt;mso-position-horizontal:right;mso-position-horizontal-relative:margin;mso-wrap-style:none;z-index:251659264;mso-width-relative:page;mso-height-relative:page;" filled="f" stroked="f" coordsize="21600,21600" o:gfxdata="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OfLHALRAAAAAgEA&#10;AA8AAAAAAAAAAQAgAAAAOAAAAGRycy9kb3ducmV2LnhtbFBLAQIUABQAAAAIAIdO4kACAhEK0gEA&#10;AKQDAAAOAAAAAAAAAAEAIAAAADYBAABkcnMvZTJvRG9jLnhtbFBLBQYAAAAABgAGAFkBAAB6BQAA&#10;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47955"/>
              <wp:effectExtent l="0" t="0" r="0" b="0"/>
              <wp:wrapNone/>
              <wp:docPr id="4"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pPr>
                            <w:pStyle w:val="30"/>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1.65pt;width:9.05pt;mso-position-horizontal:right;mso-position-horizontal-relative:margin;mso-wrap-style:none;z-index:251660288;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6W/D9EAAAAD&#10;AQAADwAAAAAAAAABACAAAAA4AAAAZHJzL2Rvd25yZXYueG1sUEsBAhQAFAAAAAgAh07iQGCxD03U&#10;AQAApQMAAA4AAAAAAAAAAQAgAAAANgEAAGRycy9lMm9Eb2MueG1sUEsFBgAAAAAGAAYAWQEAAHwF&#10;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4935" cy="147955"/>
              <wp:effectExtent l="0" t="0" r="0" b="0"/>
              <wp:wrapNone/>
              <wp:docPr id="5" name="文本框 7"/>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pPr>
                            <w:pStyle w:val="30"/>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1.65pt;width:9.05pt;mso-position-horizontal:right;mso-position-horizontal-relative:margin;mso-wrap-style:none;z-index:251661312;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rpb8P0QAAAAMB&#10;AAAPAAAAAAAAAAEAIAAAADgAAABkcnMvZG93bnJldi54bWxQSwECFAAUAAAACACHTuJAgVjYTNMB&#10;AAClAwAADgAAAAAAAAABACAAAAA2AQAAZHJzL2Uyb0RvYy54bWxQSwUGAAAAAAYABgBZAQAAewUA&#10;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72085"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72085" cy="147955"/>
                      </a:xfrm>
                      <a:prstGeom prst="rect">
                        <a:avLst/>
                      </a:prstGeom>
                      <a:noFill/>
                      <a:ln>
                        <a:noFill/>
                      </a:ln>
                      <a:effectLst/>
                    </wps:spPr>
                    <wps:txbx>
                      <w:txbxContent>
                        <w:p>
                          <w:pPr>
                            <w:pStyle w:val="30"/>
                          </w:pPr>
                          <w:r>
                            <w:fldChar w:fldCharType="begin"/>
                          </w:r>
                          <w:r>
                            <w:instrText xml:space="preserve"> PAGE  \* MERGEFORMAT </w:instrText>
                          </w:r>
                          <w:r>
                            <w:fldChar w:fldCharType="separate"/>
                          </w:r>
                          <w:r>
                            <w:t>134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13.55pt;mso-position-horizontal:right;mso-position-horizontal-relative:margin;mso-wrap-style:none;z-index:251663360;mso-width-relative:page;mso-height-relative:page;" filled="f" stroked="f" coordsize="21600,21600" o:gfxdata="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zVEaPRAAAAAwEA&#10;AA8AAAAAAAAAAQAgAAAAOAAAAGRycy9kb3ducmV2LnhtbFBLAQIUABQAAAAIAIdO4kDQIJip0gEA&#10;AKUDAAAOAAAAAAAAAAEAIAAAADYBAABkcnMvZTJvRG9jLnhtbFBLBQYAAAAABgAGAFkBAAB6BQAA&#10;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134</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DvPFCm0gAAAAMBAAAPAAAAAAAAAAEAIAAAADgA&#10;AABkcnMvZG93bnJldi54bWxQSwECFAAUAAAACACHTuJAvW1mVTICAABjBAAADgAAAAAAAAABACAA&#10;AAA3AQAAZHJzL2Uyb0RvYy54bWxQSwUGAAAAAAYABgBZAQAA2wU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ACBBB"/>
    <w:multiLevelType w:val="singleLevel"/>
    <w:tmpl w:val="FBFACBBB"/>
    <w:lvl w:ilvl="0" w:tentative="0">
      <w:start w:val="6"/>
      <w:numFmt w:val="chineseCounting"/>
      <w:suff w:val="space"/>
      <w:lvlText w:val="第%1章"/>
      <w:lvlJc w:val="left"/>
      <w:rPr>
        <w:rFonts w:hint="eastAsia"/>
      </w:rPr>
    </w:lvl>
  </w:abstractNum>
  <w:abstractNum w:abstractNumId="1">
    <w:nsid w:val="0E9A68CB"/>
    <w:multiLevelType w:val="multilevel"/>
    <w:tmpl w:val="0E9A68C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BC4B42E"/>
    <w:multiLevelType w:val="singleLevel"/>
    <w:tmpl w:val="2BC4B42E"/>
    <w:lvl w:ilvl="0" w:tentative="0">
      <w:start w:val="6"/>
      <w:numFmt w:val="chineseCounting"/>
      <w:suff w:val="nothing"/>
      <w:lvlText w:val="%1、"/>
      <w:lvlJc w:val="left"/>
      <w:pPr>
        <w:ind w:left="-62"/>
      </w:pPr>
      <w:rPr>
        <w:rFonts w:hint="eastAsia"/>
      </w:rPr>
    </w:lvl>
  </w:abstractNum>
  <w:abstractNum w:abstractNumId="3">
    <w:nsid w:val="35827967"/>
    <w:multiLevelType w:val="multilevel"/>
    <w:tmpl w:val="358279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505FEC"/>
    <w:multiLevelType w:val="multilevel"/>
    <w:tmpl w:val="3A505FEC"/>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0" w:firstLine="0"/>
      </w:pPr>
      <w:rPr>
        <w:rFonts w:hint="default" w:ascii="Cambria" w:hAnsi="Cambria" w:cs="Cambr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3BAF7812"/>
    <w:multiLevelType w:val="multilevel"/>
    <w:tmpl w:val="3BAF7812"/>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3BC10E56"/>
    <w:multiLevelType w:val="multilevel"/>
    <w:tmpl w:val="3BC10E56"/>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0" w:firstLine="0"/>
      </w:pPr>
      <w:rPr>
        <w:rFonts w:hint="default" w:ascii="Cambria" w:hAnsi="Cambria" w:cs="Cambr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3F457A95"/>
    <w:multiLevelType w:val="multilevel"/>
    <w:tmpl w:val="3F457A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8C8291F"/>
    <w:multiLevelType w:val="singleLevel"/>
    <w:tmpl w:val="48C8291F"/>
    <w:lvl w:ilvl="0" w:tentative="0">
      <w:start w:val="1"/>
      <w:numFmt w:val="chineseCounting"/>
      <w:suff w:val="nothing"/>
      <w:lvlText w:val="%1、"/>
      <w:lvlJc w:val="left"/>
      <w:rPr>
        <w:rFonts w:hint="eastAsia"/>
      </w:rPr>
    </w:lvl>
  </w:abstractNum>
  <w:abstractNum w:abstractNumId="9">
    <w:nsid w:val="4B787F07"/>
    <w:multiLevelType w:val="multilevel"/>
    <w:tmpl w:val="4B787F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0A019E"/>
    <w:multiLevelType w:val="multilevel"/>
    <w:tmpl w:val="520A019E"/>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3.%3."/>
      <w:lvlJc w:val="left"/>
      <w:pPr>
        <w:ind w:left="0" w:firstLine="0"/>
      </w:pPr>
      <w:rPr>
        <w:rFonts w:hint="default" w:ascii="Cambria" w:hAnsi="Cambria" w:cs="Cambr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5954701B"/>
    <w:multiLevelType w:val="singleLevel"/>
    <w:tmpl w:val="5954701B"/>
    <w:lvl w:ilvl="0" w:tentative="0">
      <w:start w:val="1"/>
      <w:numFmt w:val="lowerLetter"/>
      <w:suff w:val="nothing"/>
      <w:lvlText w:val="%1."/>
      <w:lvlJc w:val="left"/>
    </w:lvl>
  </w:abstractNum>
  <w:abstractNum w:abstractNumId="12">
    <w:nsid w:val="59AE84B5"/>
    <w:multiLevelType w:val="singleLevel"/>
    <w:tmpl w:val="59AE84B5"/>
    <w:lvl w:ilvl="0" w:tentative="0">
      <w:start w:val="1"/>
      <w:numFmt w:val="decimal"/>
      <w:suff w:val="nothing"/>
      <w:lvlText w:val="（%1）"/>
      <w:lvlJc w:val="left"/>
    </w:lvl>
  </w:abstractNum>
  <w:abstractNum w:abstractNumId="13">
    <w:nsid w:val="59AE8570"/>
    <w:multiLevelType w:val="singleLevel"/>
    <w:tmpl w:val="59AE8570"/>
    <w:lvl w:ilvl="0" w:tentative="0">
      <w:start w:val="1"/>
      <w:numFmt w:val="decimal"/>
      <w:suff w:val="nothing"/>
      <w:lvlText w:val="（%1）"/>
      <w:lvlJc w:val="left"/>
    </w:lvl>
  </w:abstractNum>
  <w:abstractNum w:abstractNumId="14">
    <w:nsid w:val="59AE85BC"/>
    <w:multiLevelType w:val="singleLevel"/>
    <w:tmpl w:val="59AE85BC"/>
    <w:lvl w:ilvl="0" w:tentative="0">
      <w:start w:val="1"/>
      <w:numFmt w:val="decimal"/>
      <w:suff w:val="nothing"/>
      <w:lvlText w:val="（%1）"/>
      <w:lvlJc w:val="left"/>
    </w:lvl>
  </w:abstractNum>
  <w:abstractNum w:abstractNumId="15">
    <w:nsid w:val="59AE85DC"/>
    <w:multiLevelType w:val="singleLevel"/>
    <w:tmpl w:val="59AE85DC"/>
    <w:lvl w:ilvl="0" w:tentative="0">
      <w:start w:val="1"/>
      <w:numFmt w:val="decimal"/>
      <w:suff w:val="nothing"/>
      <w:lvlText w:val="（%1）"/>
      <w:lvlJc w:val="left"/>
    </w:lvl>
  </w:abstractNum>
  <w:abstractNum w:abstractNumId="16">
    <w:nsid w:val="59AE860E"/>
    <w:multiLevelType w:val="singleLevel"/>
    <w:tmpl w:val="59AE860E"/>
    <w:lvl w:ilvl="0" w:tentative="0">
      <w:start w:val="1"/>
      <w:numFmt w:val="decimal"/>
      <w:suff w:val="nothing"/>
      <w:lvlText w:val="（%1）"/>
      <w:lvlJc w:val="left"/>
    </w:lvl>
  </w:abstractNum>
  <w:abstractNum w:abstractNumId="17">
    <w:nsid w:val="59AE8633"/>
    <w:multiLevelType w:val="singleLevel"/>
    <w:tmpl w:val="59AE8633"/>
    <w:lvl w:ilvl="0" w:tentative="0">
      <w:start w:val="1"/>
      <w:numFmt w:val="decimal"/>
      <w:suff w:val="nothing"/>
      <w:lvlText w:val="（%1）"/>
      <w:lvlJc w:val="left"/>
    </w:lvl>
  </w:abstractNum>
  <w:abstractNum w:abstractNumId="18">
    <w:nsid w:val="59AE86AD"/>
    <w:multiLevelType w:val="singleLevel"/>
    <w:tmpl w:val="59AE86AD"/>
    <w:lvl w:ilvl="0" w:tentative="0">
      <w:start w:val="1"/>
      <w:numFmt w:val="decimal"/>
      <w:suff w:val="nothing"/>
      <w:lvlText w:val="（%1）"/>
      <w:lvlJc w:val="left"/>
    </w:lvl>
  </w:abstractNum>
  <w:abstractNum w:abstractNumId="19">
    <w:nsid w:val="59AE86DC"/>
    <w:multiLevelType w:val="singleLevel"/>
    <w:tmpl w:val="59AE86DC"/>
    <w:lvl w:ilvl="0" w:tentative="0">
      <w:start w:val="1"/>
      <w:numFmt w:val="decimal"/>
      <w:suff w:val="nothing"/>
      <w:lvlText w:val="(%1)"/>
      <w:lvlJc w:val="left"/>
    </w:lvl>
  </w:abstractNum>
  <w:abstractNum w:abstractNumId="20">
    <w:nsid w:val="59AE871B"/>
    <w:multiLevelType w:val="singleLevel"/>
    <w:tmpl w:val="59AE871B"/>
    <w:lvl w:ilvl="0" w:tentative="0">
      <w:start w:val="1"/>
      <w:numFmt w:val="decimal"/>
      <w:suff w:val="nothing"/>
      <w:lvlText w:val="（%1）"/>
      <w:lvlJc w:val="left"/>
    </w:lvl>
  </w:abstractNum>
  <w:abstractNum w:abstractNumId="21">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2">
    <w:nsid w:val="677B39F8"/>
    <w:multiLevelType w:val="multilevel"/>
    <w:tmpl w:val="677B39F8"/>
    <w:lvl w:ilvl="0" w:tentative="0">
      <w:start w:val="1"/>
      <w:numFmt w:val="decimal"/>
      <w:lvlText w:val="%1."/>
      <w:lvlJc w:val="left"/>
      <w:pPr>
        <w:ind w:left="420" w:hanging="420"/>
      </w:p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E9A9296"/>
    <w:multiLevelType w:val="singleLevel"/>
    <w:tmpl w:val="6E9A9296"/>
    <w:lvl w:ilvl="0" w:tentative="0">
      <w:start w:val="2"/>
      <w:numFmt w:val="decimal"/>
      <w:lvlText w:val="%1."/>
      <w:lvlJc w:val="left"/>
      <w:pPr>
        <w:tabs>
          <w:tab w:val="left" w:pos="312"/>
        </w:tabs>
      </w:pPr>
    </w:lvl>
  </w:abstractNum>
  <w:abstractNum w:abstractNumId="24">
    <w:nsid w:val="7A7B19D1"/>
    <w:multiLevelType w:val="multilevel"/>
    <w:tmpl w:val="7A7B19D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F7BE2C3"/>
    <w:multiLevelType w:val="singleLevel"/>
    <w:tmpl w:val="7F7BE2C3"/>
    <w:lvl w:ilvl="0" w:tentative="0">
      <w:start w:val="1"/>
      <w:numFmt w:val="chineseCounting"/>
      <w:suff w:val="space"/>
      <w:lvlText w:val="第%1章"/>
      <w:lvlJc w:val="left"/>
      <w:rPr>
        <w:rFonts w:hint="eastAsia"/>
      </w:rPr>
    </w:lvl>
  </w:abstractNum>
  <w:num w:numId="1">
    <w:abstractNumId w:val="25"/>
  </w:num>
  <w:num w:numId="2">
    <w:abstractNumId w:val="21"/>
  </w:num>
  <w:num w:numId="3">
    <w:abstractNumId w:val="23"/>
  </w:num>
  <w:num w:numId="4">
    <w:abstractNumId w:val="0"/>
  </w:num>
  <w:num w:numId="5">
    <w:abstractNumId w:val="4"/>
  </w:num>
  <w:num w:numId="6">
    <w:abstractNumId w:val="3"/>
  </w:num>
  <w:num w:numId="7">
    <w:abstractNumId w:val="9"/>
  </w:num>
  <w:num w:numId="8">
    <w:abstractNumId w:val="7"/>
  </w:num>
  <w:num w:numId="9">
    <w:abstractNumId w:val="22"/>
  </w:num>
  <w:num w:numId="10">
    <w:abstractNumId w:val="6"/>
  </w:num>
  <w:num w:numId="11">
    <w:abstractNumId w:val="5"/>
  </w:num>
  <w:num w:numId="12">
    <w:abstractNumId w:val="24"/>
  </w:num>
  <w:num w:numId="13">
    <w:abstractNumId w:val="10"/>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1"/>
  </w:num>
  <w:num w:numId="22">
    <w:abstractNumId w:val="19"/>
  </w:num>
  <w:num w:numId="23">
    <w:abstractNumId w:val="20"/>
  </w:num>
  <w:num w:numId="24">
    <w:abstractNumId w:val="8"/>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ODcyN2UxNTk1Yzc3Njk1M2JhMzczNTk4NTBiYjkifQ=="/>
    <w:docVar w:name="KSO_WPS_MARK_KEY" w:val="3744f22e-c4fe-43f0-b56d-9a3c5376fde0"/>
  </w:docVars>
  <w:rsids>
    <w:rsidRoot w:val="00216A94"/>
    <w:rsid w:val="00005D94"/>
    <w:rsid w:val="0002279F"/>
    <w:rsid w:val="00023995"/>
    <w:rsid w:val="000278F5"/>
    <w:rsid w:val="000340B2"/>
    <w:rsid w:val="00056878"/>
    <w:rsid w:val="00060BC3"/>
    <w:rsid w:val="000702AC"/>
    <w:rsid w:val="000708D6"/>
    <w:rsid w:val="00073941"/>
    <w:rsid w:val="000768FB"/>
    <w:rsid w:val="00080242"/>
    <w:rsid w:val="00083D5E"/>
    <w:rsid w:val="00086D49"/>
    <w:rsid w:val="00094ACC"/>
    <w:rsid w:val="000A0377"/>
    <w:rsid w:val="000A25C2"/>
    <w:rsid w:val="000A3106"/>
    <w:rsid w:val="000B340A"/>
    <w:rsid w:val="000B69C5"/>
    <w:rsid w:val="000B7ED5"/>
    <w:rsid w:val="000C46FC"/>
    <w:rsid w:val="000D1261"/>
    <w:rsid w:val="000D5739"/>
    <w:rsid w:val="000E1629"/>
    <w:rsid w:val="000E3CD1"/>
    <w:rsid w:val="000F48D2"/>
    <w:rsid w:val="001028E5"/>
    <w:rsid w:val="00103728"/>
    <w:rsid w:val="0011787C"/>
    <w:rsid w:val="00131758"/>
    <w:rsid w:val="00133AC5"/>
    <w:rsid w:val="001371D6"/>
    <w:rsid w:val="001435EA"/>
    <w:rsid w:val="00146A9F"/>
    <w:rsid w:val="00165A43"/>
    <w:rsid w:val="00167E96"/>
    <w:rsid w:val="00175178"/>
    <w:rsid w:val="001811B2"/>
    <w:rsid w:val="001828B5"/>
    <w:rsid w:val="00196B51"/>
    <w:rsid w:val="001A7E62"/>
    <w:rsid w:val="001D16CC"/>
    <w:rsid w:val="001D1848"/>
    <w:rsid w:val="001D3EBB"/>
    <w:rsid w:val="001E0808"/>
    <w:rsid w:val="001E2BFA"/>
    <w:rsid w:val="001F1D9E"/>
    <w:rsid w:val="001F68EC"/>
    <w:rsid w:val="00202E75"/>
    <w:rsid w:val="0021412B"/>
    <w:rsid w:val="00216A94"/>
    <w:rsid w:val="00217F9F"/>
    <w:rsid w:val="00232D71"/>
    <w:rsid w:val="00234100"/>
    <w:rsid w:val="00250D8F"/>
    <w:rsid w:val="00270F4D"/>
    <w:rsid w:val="00273B04"/>
    <w:rsid w:val="002740BF"/>
    <w:rsid w:val="00280746"/>
    <w:rsid w:val="002A05BB"/>
    <w:rsid w:val="002A5A62"/>
    <w:rsid w:val="002B216E"/>
    <w:rsid w:val="002B6FB9"/>
    <w:rsid w:val="002D1B9B"/>
    <w:rsid w:val="00306509"/>
    <w:rsid w:val="00312F8B"/>
    <w:rsid w:val="003146DD"/>
    <w:rsid w:val="00317F86"/>
    <w:rsid w:val="0032097B"/>
    <w:rsid w:val="00352430"/>
    <w:rsid w:val="00354EBD"/>
    <w:rsid w:val="00365A07"/>
    <w:rsid w:val="00365D57"/>
    <w:rsid w:val="00380482"/>
    <w:rsid w:val="00390856"/>
    <w:rsid w:val="003920CD"/>
    <w:rsid w:val="0039526F"/>
    <w:rsid w:val="003B6D07"/>
    <w:rsid w:val="003D1FAE"/>
    <w:rsid w:val="003E26F2"/>
    <w:rsid w:val="003E5A26"/>
    <w:rsid w:val="003F1F8D"/>
    <w:rsid w:val="00404BF9"/>
    <w:rsid w:val="00413EAF"/>
    <w:rsid w:val="004215D5"/>
    <w:rsid w:val="0042798D"/>
    <w:rsid w:val="00435C05"/>
    <w:rsid w:val="00450FFC"/>
    <w:rsid w:val="00452AC8"/>
    <w:rsid w:val="00463F76"/>
    <w:rsid w:val="004667CC"/>
    <w:rsid w:val="004670FA"/>
    <w:rsid w:val="004837B6"/>
    <w:rsid w:val="004A700E"/>
    <w:rsid w:val="004C1A1D"/>
    <w:rsid w:val="004C47F1"/>
    <w:rsid w:val="004C58BA"/>
    <w:rsid w:val="004D27C7"/>
    <w:rsid w:val="004F291E"/>
    <w:rsid w:val="004F480E"/>
    <w:rsid w:val="004F64EF"/>
    <w:rsid w:val="0050673E"/>
    <w:rsid w:val="00506DA2"/>
    <w:rsid w:val="00523698"/>
    <w:rsid w:val="00525434"/>
    <w:rsid w:val="00526B78"/>
    <w:rsid w:val="00546D18"/>
    <w:rsid w:val="00553CD8"/>
    <w:rsid w:val="005616CA"/>
    <w:rsid w:val="00591976"/>
    <w:rsid w:val="00592788"/>
    <w:rsid w:val="00593D29"/>
    <w:rsid w:val="005A5982"/>
    <w:rsid w:val="005A7D1D"/>
    <w:rsid w:val="005B0A9E"/>
    <w:rsid w:val="005D152F"/>
    <w:rsid w:val="005D6CC6"/>
    <w:rsid w:val="005E36FC"/>
    <w:rsid w:val="005E46E0"/>
    <w:rsid w:val="005E7C1C"/>
    <w:rsid w:val="005F7E31"/>
    <w:rsid w:val="00617818"/>
    <w:rsid w:val="00622A81"/>
    <w:rsid w:val="00623DC3"/>
    <w:rsid w:val="00632324"/>
    <w:rsid w:val="0063335D"/>
    <w:rsid w:val="006344AB"/>
    <w:rsid w:val="00640D49"/>
    <w:rsid w:val="006458F4"/>
    <w:rsid w:val="00683499"/>
    <w:rsid w:val="006C2008"/>
    <w:rsid w:val="006F19B5"/>
    <w:rsid w:val="006F563B"/>
    <w:rsid w:val="006F68B9"/>
    <w:rsid w:val="00704218"/>
    <w:rsid w:val="007077FF"/>
    <w:rsid w:val="00717C57"/>
    <w:rsid w:val="007467AE"/>
    <w:rsid w:val="007578B3"/>
    <w:rsid w:val="00762A9D"/>
    <w:rsid w:val="0078132B"/>
    <w:rsid w:val="00784AF2"/>
    <w:rsid w:val="007863FD"/>
    <w:rsid w:val="007942C6"/>
    <w:rsid w:val="007A6EFF"/>
    <w:rsid w:val="007B1C3F"/>
    <w:rsid w:val="007C344B"/>
    <w:rsid w:val="007C5D46"/>
    <w:rsid w:val="007E2E71"/>
    <w:rsid w:val="007F5B05"/>
    <w:rsid w:val="00806264"/>
    <w:rsid w:val="00806DF9"/>
    <w:rsid w:val="008160BF"/>
    <w:rsid w:val="008255D7"/>
    <w:rsid w:val="008428D3"/>
    <w:rsid w:val="00854338"/>
    <w:rsid w:val="00862CC4"/>
    <w:rsid w:val="00871A0D"/>
    <w:rsid w:val="00884208"/>
    <w:rsid w:val="008864B2"/>
    <w:rsid w:val="0089557C"/>
    <w:rsid w:val="008B5A35"/>
    <w:rsid w:val="0091007D"/>
    <w:rsid w:val="00912744"/>
    <w:rsid w:val="00921183"/>
    <w:rsid w:val="00923D5B"/>
    <w:rsid w:val="009350E8"/>
    <w:rsid w:val="00937F9C"/>
    <w:rsid w:val="00971476"/>
    <w:rsid w:val="00971821"/>
    <w:rsid w:val="00973331"/>
    <w:rsid w:val="009776C8"/>
    <w:rsid w:val="00980901"/>
    <w:rsid w:val="00981DD4"/>
    <w:rsid w:val="009839BF"/>
    <w:rsid w:val="00986DBD"/>
    <w:rsid w:val="009877E2"/>
    <w:rsid w:val="00991236"/>
    <w:rsid w:val="00993064"/>
    <w:rsid w:val="00997B5E"/>
    <w:rsid w:val="009B0452"/>
    <w:rsid w:val="009B677A"/>
    <w:rsid w:val="009C0491"/>
    <w:rsid w:val="009C670D"/>
    <w:rsid w:val="009D6CEF"/>
    <w:rsid w:val="009E0464"/>
    <w:rsid w:val="009F5748"/>
    <w:rsid w:val="00A13447"/>
    <w:rsid w:val="00A235B8"/>
    <w:rsid w:val="00A30FB7"/>
    <w:rsid w:val="00A336E6"/>
    <w:rsid w:val="00A404D9"/>
    <w:rsid w:val="00A45467"/>
    <w:rsid w:val="00A548B5"/>
    <w:rsid w:val="00A57E90"/>
    <w:rsid w:val="00A6042C"/>
    <w:rsid w:val="00A607EF"/>
    <w:rsid w:val="00A700B5"/>
    <w:rsid w:val="00A72455"/>
    <w:rsid w:val="00A804DF"/>
    <w:rsid w:val="00AB7DF2"/>
    <w:rsid w:val="00AC03E3"/>
    <w:rsid w:val="00AC2742"/>
    <w:rsid w:val="00AC4858"/>
    <w:rsid w:val="00AE2D12"/>
    <w:rsid w:val="00AE386D"/>
    <w:rsid w:val="00AE4366"/>
    <w:rsid w:val="00AE54B3"/>
    <w:rsid w:val="00B060B9"/>
    <w:rsid w:val="00B0755B"/>
    <w:rsid w:val="00B21334"/>
    <w:rsid w:val="00B23D8E"/>
    <w:rsid w:val="00B240BB"/>
    <w:rsid w:val="00B41DEB"/>
    <w:rsid w:val="00B44A87"/>
    <w:rsid w:val="00B57782"/>
    <w:rsid w:val="00B610D7"/>
    <w:rsid w:val="00B85220"/>
    <w:rsid w:val="00BA3F9C"/>
    <w:rsid w:val="00BB0B0C"/>
    <w:rsid w:val="00BC1581"/>
    <w:rsid w:val="00BE3D96"/>
    <w:rsid w:val="00C0368C"/>
    <w:rsid w:val="00C03EA8"/>
    <w:rsid w:val="00C044E9"/>
    <w:rsid w:val="00C12660"/>
    <w:rsid w:val="00C26BCD"/>
    <w:rsid w:val="00C62A91"/>
    <w:rsid w:val="00C67CC4"/>
    <w:rsid w:val="00C72E01"/>
    <w:rsid w:val="00C83E23"/>
    <w:rsid w:val="00C86B65"/>
    <w:rsid w:val="00C92B0C"/>
    <w:rsid w:val="00CD4FD7"/>
    <w:rsid w:val="00CF2378"/>
    <w:rsid w:val="00D007C0"/>
    <w:rsid w:val="00D205D3"/>
    <w:rsid w:val="00D206A7"/>
    <w:rsid w:val="00D3023B"/>
    <w:rsid w:val="00D5380E"/>
    <w:rsid w:val="00D61C43"/>
    <w:rsid w:val="00D64BEB"/>
    <w:rsid w:val="00D65064"/>
    <w:rsid w:val="00D868C0"/>
    <w:rsid w:val="00D91ADB"/>
    <w:rsid w:val="00DA1491"/>
    <w:rsid w:val="00DA5973"/>
    <w:rsid w:val="00DB0C31"/>
    <w:rsid w:val="00DC3330"/>
    <w:rsid w:val="00DC58DA"/>
    <w:rsid w:val="00DD1033"/>
    <w:rsid w:val="00DD398A"/>
    <w:rsid w:val="00DF029D"/>
    <w:rsid w:val="00DF08A9"/>
    <w:rsid w:val="00DF1720"/>
    <w:rsid w:val="00E0413F"/>
    <w:rsid w:val="00E06D34"/>
    <w:rsid w:val="00E11993"/>
    <w:rsid w:val="00E402FE"/>
    <w:rsid w:val="00E4451B"/>
    <w:rsid w:val="00E5428B"/>
    <w:rsid w:val="00E61395"/>
    <w:rsid w:val="00E67CC6"/>
    <w:rsid w:val="00E746F4"/>
    <w:rsid w:val="00E755D3"/>
    <w:rsid w:val="00E87C0A"/>
    <w:rsid w:val="00E90CCB"/>
    <w:rsid w:val="00E9125B"/>
    <w:rsid w:val="00E91DC0"/>
    <w:rsid w:val="00EA3E73"/>
    <w:rsid w:val="00EA4DF7"/>
    <w:rsid w:val="00EB5F95"/>
    <w:rsid w:val="00EB7982"/>
    <w:rsid w:val="00EC197E"/>
    <w:rsid w:val="00ED3C0D"/>
    <w:rsid w:val="00EE03E4"/>
    <w:rsid w:val="00EE0B2D"/>
    <w:rsid w:val="00EE575A"/>
    <w:rsid w:val="00EF152A"/>
    <w:rsid w:val="00F12E9E"/>
    <w:rsid w:val="00F3532F"/>
    <w:rsid w:val="00F5036E"/>
    <w:rsid w:val="00F529C6"/>
    <w:rsid w:val="00F57AAB"/>
    <w:rsid w:val="00F60BF6"/>
    <w:rsid w:val="00F60C68"/>
    <w:rsid w:val="00F63432"/>
    <w:rsid w:val="00F64AC7"/>
    <w:rsid w:val="00F64C20"/>
    <w:rsid w:val="00F748B5"/>
    <w:rsid w:val="00F86757"/>
    <w:rsid w:val="00F909FF"/>
    <w:rsid w:val="00FA308C"/>
    <w:rsid w:val="00FA6D8A"/>
    <w:rsid w:val="00FB119A"/>
    <w:rsid w:val="00FC0CA8"/>
    <w:rsid w:val="00FC4DBD"/>
    <w:rsid w:val="00FC5E21"/>
    <w:rsid w:val="00FD0750"/>
    <w:rsid w:val="00FD749F"/>
    <w:rsid w:val="00FE7F01"/>
    <w:rsid w:val="00FF0932"/>
    <w:rsid w:val="00FF568F"/>
    <w:rsid w:val="010C47B7"/>
    <w:rsid w:val="01206530"/>
    <w:rsid w:val="01AC6828"/>
    <w:rsid w:val="02106709"/>
    <w:rsid w:val="02176416"/>
    <w:rsid w:val="02242CC3"/>
    <w:rsid w:val="02F76749"/>
    <w:rsid w:val="03F31CB7"/>
    <w:rsid w:val="0442553D"/>
    <w:rsid w:val="04554655"/>
    <w:rsid w:val="045C2016"/>
    <w:rsid w:val="047B0D01"/>
    <w:rsid w:val="04951B45"/>
    <w:rsid w:val="04A951DB"/>
    <w:rsid w:val="050447EE"/>
    <w:rsid w:val="0517381B"/>
    <w:rsid w:val="054412C6"/>
    <w:rsid w:val="055404AA"/>
    <w:rsid w:val="05962D81"/>
    <w:rsid w:val="05EF3192"/>
    <w:rsid w:val="05FB3F65"/>
    <w:rsid w:val="060C4DD3"/>
    <w:rsid w:val="06E7C2D2"/>
    <w:rsid w:val="071F68B2"/>
    <w:rsid w:val="075971C8"/>
    <w:rsid w:val="076FAA59"/>
    <w:rsid w:val="08002FFD"/>
    <w:rsid w:val="08275DCF"/>
    <w:rsid w:val="085F761F"/>
    <w:rsid w:val="09226386"/>
    <w:rsid w:val="093E2CBE"/>
    <w:rsid w:val="097536D0"/>
    <w:rsid w:val="09AA7B54"/>
    <w:rsid w:val="09BB7DD7"/>
    <w:rsid w:val="0AD00EBD"/>
    <w:rsid w:val="0AD11B2D"/>
    <w:rsid w:val="0B05139F"/>
    <w:rsid w:val="0B952446"/>
    <w:rsid w:val="0BA27BE5"/>
    <w:rsid w:val="0BBFB1C5"/>
    <w:rsid w:val="0C452F2C"/>
    <w:rsid w:val="0C48541E"/>
    <w:rsid w:val="0C6271A8"/>
    <w:rsid w:val="0CB3147A"/>
    <w:rsid w:val="0CC07B24"/>
    <w:rsid w:val="0CF44970"/>
    <w:rsid w:val="0CFC588E"/>
    <w:rsid w:val="0D152A80"/>
    <w:rsid w:val="0DB12B4A"/>
    <w:rsid w:val="0E3E10C3"/>
    <w:rsid w:val="0E644050"/>
    <w:rsid w:val="0EBE5C1F"/>
    <w:rsid w:val="0EDC7FE2"/>
    <w:rsid w:val="0FA620EE"/>
    <w:rsid w:val="0FC404B7"/>
    <w:rsid w:val="0FFD240A"/>
    <w:rsid w:val="1033383A"/>
    <w:rsid w:val="10A60810"/>
    <w:rsid w:val="11B45ED9"/>
    <w:rsid w:val="11DF36A1"/>
    <w:rsid w:val="11E35AA0"/>
    <w:rsid w:val="122554C6"/>
    <w:rsid w:val="12754F46"/>
    <w:rsid w:val="12AF1FE4"/>
    <w:rsid w:val="12E55FEE"/>
    <w:rsid w:val="130D615E"/>
    <w:rsid w:val="131674A1"/>
    <w:rsid w:val="13392358"/>
    <w:rsid w:val="139236BB"/>
    <w:rsid w:val="13D950E1"/>
    <w:rsid w:val="13E15699"/>
    <w:rsid w:val="13FDE4E9"/>
    <w:rsid w:val="14714425"/>
    <w:rsid w:val="14785E3A"/>
    <w:rsid w:val="149573A0"/>
    <w:rsid w:val="14C17E60"/>
    <w:rsid w:val="152C3F68"/>
    <w:rsid w:val="15843123"/>
    <w:rsid w:val="15CE200E"/>
    <w:rsid w:val="15FFD219"/>
    <w:rsid w:val="16996F47"/>
    <w:rsid w:val="16C810CC"/>
    <w:rsid w:val="17216BF1"/>
    <w:rsid w:val="174560AE"/>
    <w:rsid w:val="17465CF0"/>
    <w:rsid w:val="17793522"/>
    <w:rsid w:val="1794305D"/>
    <w:rsid w:val="17AA1223"/>
    <w:rsid w:val="17FFF359"/>
    <w:rsid w:val="18147EF7"/>
    <w:rsid w:val="18692356"/>
    <w:rsid w:val="193B4FD0"/>
    <w:rsid w:val="196675A6"/>
    <w:rsid w:val="196C3C60"/>
    <w:rsid w:val="196E69FF"/>
    <w:rsid w:val="1997072D"/>
    <w:rsid w:val="19B4188F"/>
    <w:rsid w:val="1AFB6815"/>
    <w:rsid w:val="1AFED777"/>
    <w:rsid w:val="1B247C49"/>
    <w:rsid w:val="1B3F0D70"/>
    <w:rsid w:val="1B670381"/>
    <w:rsid w:val="1B772E08"/>
    <w:rsid w:val="1BAB2470"/>
    <w:rsid w:val="1BDFC116"/>
    <w:rsid w:val="1BE4113E"/>
    <w:rsid w:val="1BE839E6"/>
    <w:rsid w:val="1BF9B495"/>
    <w:rsid w:val="1BFCA88A"/>
    <w:rsid w:val="1C614B7E"/>
    <w:rsid w:val="1C8B5289"/>
    <w:rsid w:val="1CD162D3"/>
    <w:rsid w:val="1CD71683"/>
    <w:rsid w:val="1CF365C3"/>
    <w:rsid w:val="1CFF7FAA"/>
    <w:rsid w:val="1D770853"/>
    <w:rsid w:val="1D8A5AE8"/>
    <w:rsid w:val="1DBFC4B2"/>
    <w:rsid w:val="1DDFF5FF"/>
    <w:rsid w:val="1E7F289E"/>
    <w:rsid w:val="1ED709CD"/>
    <w:rsid w:val="1EEB653C"/>
    <w:rsid w:val="1EEF9422"/>
    <w:rsid w:val="1F7421F4"/>
    <w:rsid w:val="1F7834B8"/>
    <w:rsid w:val="1FBB9104"/>
    <w:rsid w:val="1FF786E4"/>
    <w:rsid w:val="20162EA9"/>
    <w:rsid w:val="20605D1D"/>
    <w:rsid w:val="20E017E3"/>
    <w:rsid w:val="20EF23DB"/>
    <w:rsid w:val="21081851"/>
    <w:rsid w:val="211E20A8"/>
    <w:rsid w:val="21563120"/>
    <w:rsid w:val="21C9556D"/>
    <w:rsid w:val="21FBEBEB"/>
    <w:rsid w:val="22242C4B"/>
    <w:rsid w:val="222E0711"/>
    <w:rsid w:val="22400EBD"/>
    <w:rsid w:val="22DC46F3"/>
    <w:rsid w:val="22F86E90"/>
    <w:rsid w:val="232B1F13"/>
    <w:rsid w:val="232F7A8C"/>
    <w:rsid w:val="23623B5A"/>
    <w:rsid w:val="2388552B"/>
    <w:rsid w:val="23B14ACF"/>
    <w:rsid w:val="23B175F2"/>
    <w:rsid w:val="24397F95"/>
    <w:rsid w:val="24A77945"/>
    <w:rsid w:val="24DF7B38"/>
    <w:rsid w:val="250B4B52"/>
    <w:rsid w:val="25AFFA62"/>
    <w:rsid w:val="26171E73"/>
    <w:rsid w:val="26932C8A"/>
    <w:rsid w:val="2732271F"/>
    <w:rsid w:val="27457128"/>
    <w:rsid w:val="275B1765"/>
    <w:rsid w:val="27DE7FB7"/>
    <w:rsid w:val="27EE2498"/>
    <w:rsid w:val="27F51406"/>
    <w:rsid w:val="27F5CDC8"/>
    <w:rsid w:val="27F65B6B"/>
    <w:rsid w:val="281E1197"/>
    <w:rsid w:val="284E72DC"/>
    <w:rsid w:val="28D75265"/>
    <w:rsid w:val="296B671C"/>
    <w:rsid w:val="296B9323"/>
    <w:rsid w:val="29E73757"/>
    <w:rsid w:val="29ED173B"/>
    <w:rsid w:val="2A267326"/>
    <w:rsid w:val="2B22345B"/>
    <w:rsid w:val="2B5054D5"/>
    <w:rsid w:val="2BC00E57"/>
    <w:rsid w:val="2BEFB4B2"/>
    <w:rsid w:val="2BFB307B"/>
    <w:rsid w:val="2BFB8CCA"/>
    <w:rsid w:val="2C100EEC"/>
    <w:rsid w:val="2C206143"/>
    <w:rsid w:val="2C734E31"/>
    <w:rsid w:val="2CB72057"/>
    <w:rsid w:val="2CBA9371"/>
    <w:rsid w:val="2CE3118E"/>
    <w:rsid w:val="2D103148"/>
    <w:rsid w:val="2D2A56E9"/>
    <w:rsid w:val="2D2D25FE"/>
    <w:rsid w:val="2D3E1B7B"/>
    <w:rsid w:val="2DA03AA4"/>
    <w:rsid w:val="2DDDF8D2"/>
    <w:rsid w:val="2DDF1017"/>
    <w:rsid w:val="2DF52218"/>
    <w:rsid w:val="2E5067EC"/>
    <w:rsid w:val="2E5E6A04"/>
    <w:rsid w:val="2E851686"/>
    <w:rsid w:val="2EB55684"/>
    <w:rsid w:val="2EE330A1"/>
    <w:rsid w:val="2F28553F"/>
    <w:rsid w:val="2FA9127F"/>
    <w:rsid w:val="2FD99BD1"/>
    <w:rsid w:val="301405BF"/>
    <w:rsid w:val="307931FA"/>
    <w:rsid w:val="30CB044F"/>
    <w:rsid w:val="30D37306"/>
    <w:rsid w:val="310261D1"/>
    <w:rsid w:val="311346E6"/>
    <w:rsid w:val="311A4951"/>
    <w:rsid w:val="31215667"/>
    <w:rsid w:val="31382DE1"/>
    <w:rsid w:val="31A17801"/>
    <w:rsid w:val="31C0329F"/>
    <w:rsid w:val="31E26DD0"/>
    <w:rsid w:val="31F34EE6"/>
    <w:rsid w:val="320C5601"/>
    <w:rsid w:val="323F60E0"/>
    <w:rsid w:val="32570855"/>
    <w:rsid w:val="32585395"/>
    <w:rsid w:val="32754CF2"/>
    <w:rsid w:val="32A76766"/>
    <w:rsid w:val="3307371A"/>
    <w:rsid w:val="33415945"/>
    <w:rsid w:val="334F5387"/>
    <w:rsid w:val="338D3F51"/>
    <w:rsid w:val="338E49F3"/>
    <w:rsid w:val="33B95A18"/>
    <w:rsid w:val="33D94FDC"/>
    <w:rsid w:val="33EC2509"/>
    <w:rsid w:val="33EC50AD"/>
    <w:rsid w:val="33F508A6"/>
    <w:rsid w:val="3448551B"/>
    <w:rsid w:val="346C793A"/>
    <w:rsid w:val="348422A0"/>
    <w:rsid w:val="34A715A5"/>
    <w:rsid w:val="34A72487"/>
    <w:rsid w:val="34AE5ED7"/>
    <w:rsid w:val="35832375"/>
    <w:rsid w:val="358A316B"/>
    <w:rsid w:val="35901FE7"/>
    <w:rsid w:val="35DE31B8"/>
    <w:rsid w:val="35FD055A"/>
    <w:rsid w:val="3609071C"/>
    <w:rsid w:val="366923C4"/>
    <w:rsid w:val="36847069"/>
    <w:rsid w:val="36BF44BC"/>
    <w:rsid w:val="36DF8D7D"/>
    <w:rsid w:val="36E1693A"/>
    <w:rsid w:val="36F05718"/>
    <w:rsid w:val="36F16AE9"/>
    <w:rsid w:val="370F316F"/>
    <w:rsid w:val="372702D2"/>
    <w:rsid w:val="377FBC6A"/>
    <w:rsid w:val="379E5D0E"/>
    <w:rsid w:val="379F5B99"/>
    <w:rsid w:val="37A458F7"/>
    <w:rsid w:val="37D456E4"/>
    <w:rsid w:val="37D769AC"/>
    <w:rsid w:val="37E727ED"/>
    <w:rsid w:val="38305B7D"/>
    <w:rsid w:val="38FE77AF"/>
    <w:rsid w:val="39052611"/>
    <w:rsid w:val="39602492"/>
    <w:rsid w:val="3A543444"/>
    <w:rsid w:val="3A5468F0"/>
    <w:rsid w:val="3A6F93E2"/>
    <w:rsid w:val="3ABDBD39"/>
    <w:rsid w:val="3AE61666"/>
    <w:rsid w:val="3AE670D0"/>
    <w:rsid w:val="3AFA4E66"/>
    <w:rsid w:val="3B0E6D2D"/>
    <w:rsid w:val="3B2E76B7"/>
    <w:rsid w:val="3B7D6A70"/>
    <w:rsid w:val="3BB03EA1"/>
    <w:rsid w:val="3BC751DB"/>
    <w:rsid w:val="3BEF4334"/>
    <w:rsid w:val="3BF32D1F"/>
    <w:rsid w:val="3BF4434D"/>
    <w:rsid w:val="3BF9FF42"/>
    <w:rsid w:val="3BFF5005"/>
    <w:rsid w:val="3BFF9F95"/>
    <w:rsid w:val="3C53062C"/>
    <w:rsid w:val="3C533473"/>
    <w:rsid w:val="3C597D99"/>
    <w:rsid w:val="3C5BB11A"/>
    <w:rsid w:val="3C7F7112"/>
    <w:rsid w:val="3C8360C6"/>
    <w:rsid w:val="3CD31F26"/>
    <w:rsid w:val="3CF7E3B0"/>
    <w:rsid w:val="3D7D4F5E"/>
    <w:rsid w:val="3DA72718"/>
    <w:rsid w:val="3DBE0B4C"/>
    <w:rsid w:val="3DCE7D24"/>
    <w:rsid w:val="3DF1C583"/>
    <w:rsid w:val="3E541B20"/>
    <w:rsid w:val="3E5C2E71"/>
    <w:rsid w:val="3E6F4B9A"/>
    <w:rsid w:val="3E834880"/>
    <w:rsid w:val="3EBBE5D2"/>
    <w:rsid w:val="3EBD31E5"/>
    <w:rsid w:val="3EFB2499"/>
    <w:rsid w:val="3EFE614D"/>
    <w:rsid w:val="3EFEF4BD"/>
    <w:rsid w:val="3F010273"/>
    <w:rsid w:val="3F4E607F"/>
    <w:rsid w:val="3F4F42A7"/>
    <w:rsid w:val="3F5A4F0B"/>
    <w:rsid w:val="3F779E02"/>
    <w:rsid w:val="3F7F9605"/>
    <w:rsid w:val="3FB7E63A"/>
    <w:rsid w:val="3FCDC299"/>
    <w:rsid w:val="3FCEED26"/>
    <w:rsid w:val="3FDE10EE"/>
    <w:rsid w:val="3FDE717E"/>
    <w:rsid w:val="3FDF239A"/>
    <w:rsid w:val="3FDFFAB3"/>
    <w:rsid w:val="3FE78F4C"/>
    <w:rsid w:val="3FECD332"/>
    <w:rsid w:val="3FED0E5F"/>
    <w:rsid w:val="3FEFFACE"/>
    <w:rsid w:val="3FFE71BE"/>
    <w:rsid w:val="3FFEB00B"/>
    <w:rsid w:val="3FFF61E2"/>
    <w:rsid w:val="3FFF9C09"/>
    <w:rsid w:val="3FFFCE42"/>
    <w:rsid w:val="406010FB"/>
    <w:rsid w:val="41AE46E3"/>
    <w:rsid w:val="41E80D5B"/>
    <w:rsid w:val="425A0F71"/>
    <w:rsid w:val="42785676"/>
    <w:rsid w:val="42B1052C"/>
    <w:rsid w:val="42F563BE"/>
    <w:rsid w:val="432D197A"/>
    <w:rsid w:val="4376F5CB"/>
    <w:rsid w:val="43A708F0"/>
    <w:rsid w:val="43BE25BE"/>
    <w:rsid w:val="43CE4CBB"/>
    <w:rsid w:val="44217FF5"/>
    <w:rsid w:val="44F97EC4"/>
    <w:rsid w:val="45285204"/>
    <w:rsid w:val="45950612"/>
    <w:rsid w:val="459C013A"/>
    <w:rsid w:val="45CE588F"/>
    <w:rsid w:val="46032E8D"/>
    <w:rsid w:val="462F148B"/>
    <w:rsid w:val="478E5712"/>
    <w:rsid w:val="47961EA1"/>
    <w:rsid w:val="47D65A37"/>
    <w:rsid w:val="47DE7EE8"/>
    <w:rsid w:val="47DF88D5"/>
    <w:rsid w:val="47ED2D5B"/>
    <w:rsid w:val="47FFB856"/>
    <w:rsid w:val="481A184C"/>
    <w:rsid w:val="482E3254"/>
    <w:rsid w:val="48564021"/>
    <w:rsid w:val="486FB1D0"/>
    <w:rsid w:val="487F78EF"/>
    <w:rsid w:val="48CF7385"/>
    <w:rsid w:val="48FF54C6"/>
    <w:rsid w:val="491C794F"/>
    <w:rsid w:val="499A16F3"/>
    <w:rsid w:val="49F71731"/>
    <w:rsid w:val="4A082D0D"/>
    <w:rsid w:val="4A742241"/>
    <w:rsid w:val="4A98521F"/>
    <w:rsid w:val="4AB5384C"/>
    <w:rsid w:val="4AB70571"/>
    <w:rsid w:val="4ADF3CAD"/>
    <w:rsid w:val="4B8D612B"/>
    <w:rsid w:val="4BB85BF2"/>
    <w:rsid w:val="4BD7D080"/>
    <w:rsid w:val="4BFBF060"/>
    <w:rsid w:val="4BFECABF"/>
    <w:rsid w:val="4BFFF18B"/>
    <w:rsid w:val="4C37699C"/>
    <w:rsid w:val="4C724422"/>
    <w:rsid w:val="4D054A99"/>
    <w:rsid w:val="4D0E1E95"/>
    <w:rsid w:val="4D2F4299"/>
    <w:rsid w:val="4DAE26E6"/>
    <w:rsid w:val="4DD43C4A"/>
    <w:rsid w:val="4DE76116"/>
    <w:rsid w:val="4DFD5221"/>
    <w:rsid w:val="4E1857AF"/>
    <w:rsid w:val="4E5151A3"/>
    <w:rsid w:val="4E5376DC"/>
    <w:rsid w:val="4E7CBBA0"/>
    <w:rsid w:val="4EC46BBF"/>
    <w:rsid w:val="4EC77901"/>
    <w:rsid w:val="4EEF78F4"/>
    <w:rsid w:val="4F1FD946"/>
    <w:rsid w:val="4F760C0C"/>
    <w:rsid w:val="4F9A46E8"/>
    <w:rsid w:val="4F9D31CA"/>
    <w:rsid w:val="4FDBE75C"/>
    <w:rsid w:val="4FFBB516"/>
    <w:rsid w:val="4FFFF8EC"/>
    <w:rsid w:val="502C78BD"/>
    <w:rsid w:val="50403624"/>
    <w:rsid w:val="50A66D16"/>
    <w:rsid w:val="50EE4E08"/>
    <w:rsid w:val="514D5652"/>
    <w:rsid w:val="51914954"/>
    <w:rsid w:val="52397095"/>
    <w:rsid w:val="52492E45"/>
    <w:rsid w:val="526737EA"/>
    <w:rsid w:val="52E962D5"/>
    <w:rsid w:val="52F82D3C"/>
    <w:rsid w:val="533F1412"/>
    <w:rsid w:val="534B71BB"/>
    <w:rsid w:val="53A741DD"/>
    <w:rsid w:val="53BA1DF4"/>
    <w:rsid w:val="53BD558C"/>
    <w:rsid w:val="53C36A62"/>
    <w:rsid w:val="53C75B65"/>
    <w:rsid w:val="53D6C66D"/>
    <w:rsid w:val="53F942F2"/>
    <w:rsid w:val="548A1708"/>
    <w:rsid w:val="54BE1A66"/>
    <w:rsid w:val="553E73B3"/>
    <w:rsid w:val="55881E63"/>
    <w:rsid w:val="559E0B25"/>
    <w:rsid w:val="55AF7BDE"/>
    <w:rsid w:val="55B044A8"/>
    <w:rsid w:val="55B7165E"/>
    <w:rsid w:val="55CD75A6"/>
    <w:rsid w:val="55F05BDE"/>
    <w:rsid w:val="55FC636A"/>
    <w:rsid w:val="56384C51"/>
    <w:rsid w:val="563C024F"/>
    <w:rsid w:val="56CC7222"/>
    <w:rsid w:val="57195870"/>
    <w:rsid w:val="572C7C98"/>
    <w:rsid w:val="57776E1C"/>
    <w:rsid w:val="577F6616"/>
    <w:rsid w:val="57A33EBB"/>
    <w:rsid w:val="57BE0CA6"/>
    <w:rsid w:val="57CF603D"/>
    <w:rsid w:val="57EBC47B"/>
    <w:rsid w:val="57F74BE3"/>
    <w:rsid w:val="57FB0E67"/>
    <w:rsid w:val="57FC185D"/>
    <w:rsid w:val="580F4142"/>
    <w:rsid w:val="581110D0"/>
    <w:rsid w:val="582238BC"/>
    <w:rsid w:val="58734F65"/>
    <w:rsid w:val="587F8A93"/>
    <w:rsid w:val="58A86818"/>
    <w:rsid w:val="59062983"/>
    <w:rsid w:val="597DFBC3"/>
    <w:rsid w:val="597EB301"/>
    <w:rsid w:val="599B4757"/>
    <w:rsid w:val="59B56DA9"/>
    <w:rsid w:val="59D5566C"/>
    <w:rsid w:val="59DF315D"/>
    <w:rsid w:val="5A6D9B03"/>
    <w:rsid w:val="5AA94C5A"/>
    <w:rsid w:val="5AAA9A9B"/>
    <w:rsid w:val="5AC642F3"/>
    <w:rsid w:val="5AED71E7"/>
    <w:rsid w:val="5AF7DC83"/>
    <w:rsid w:val="5AFD676A"/>
    <w:rsid w:val="5B7F01A8"/>
    <w:rsid w:val="5B8F9460"/>
    <w:rsid w:val="5BC788F6"/>
    <w:rsid w:val="5BD946E4"/>
    <w:rsid w:val="5BDC87FF"/>
    <w:rsid w:val="5BDFEF67"/>
    <w:rsid w:val="5BE79CB2"/>
    <w:rsid w:val="5BE7F760"/>
    <w:rsid w:val="5BEDA6DE"/>
    <w:rsid w:val="5BFFCE8C"/>
    <w:rsid w:val="5CEF74DD"/>
    <w:rsid w:val="5D2732DD"/>
    <w:rsid w:val="5DAE40EE"/>
    <w:rsid w:val="5DB287E7"/>
    <w:rsid w:val="5DB72F61"/>
    <w:rsid w:val="5DBB178B"/>
    <w:rsid w:val="5DC7C830"/>
    <w:rsid w:val="5DCF5080"/>
    <w:rsid w:val="5DE63AAD"/>
    <w:rsid w:val="5DED09C6"/>
    <w:rsid w:val="5DEF9A2A"/>
    <w:rsid w:val="5DF22D33"/>
    <w:rsid w:val="5E1358D5"/>
    <w:rsid w:val="5E3311D0"/>
    <w:rsid w:val="5E3FEC27"/>
    <w:rsid w:val="5E5CE77E"/>
    <w:rsid w:val="5E734F09"/>
    <w:rsid w:val="5E87CAFE"/>
    <w:rsid w:val="5E8C6B7C"/>
    <w:rsid w:val="5EC2182D"/>
    <w:rsid w:val="5ED167B4"/>
    <w:rsid w:val="5EDD9B78"/>
    <w:rsid w:val="5EFF2422"/>
    <w:rsid w:val="5F1F018B"/>
    <w:rsid w:val="5F21B230"/>
    <w:rsid w:val="5F4B3479"/>
    <w:rsid w:val="5F5314D3"/>
    <w:rsid w:val="5F671FB6"/>
    <w:rsid w:val="5F7351A8"/>
    <w:rsid w:val="5F7F74E6"/>
    <w:rsid w:val="5F7F8424"/>
    <w:rsid w:val="5F857B8E"/>
    <w:rsid w:val="5F9D6D44"/>
    <w:rsid w:val="5FBE5F8C"/>
    <w:rsid w:val="5FC3E0C2"/>
    <w:rsid w:val="5FCF3D4A"/>
    <w:rsid w:val="5FE70EFC"/>
    <w:rsid w:val="5FEF5AE3"/>
    <w:rsid w:val="5FEF9CDF"/>
    <w:rsid w:val="5FF98158"/>
    <w:rsid w:val="5FFE92A3"/>
    <w:rsid w:val="5FFF095F"/>
    <w:rsid w:val="5FFF9503"/>
    <w:rsid w:val="5FFFB3F9"/>
    <w:rsid w:val="60010C0C"/>
    <w:rsid w:val="600449FA"/>
    <w:rsid w:val="60641CD3"/>
    <w:rsid w:val="60F656FF"/>
    <w:rsid w:val="61053D09"/>
    <w:rsid w:val="61175E6E"/>
    <w:rsid w:val="61EF51BF"/>
    <w:rsid w:val="61F44573"/>
    <w:rsid w:val="61FF7A18"/>
    <w:rsid w:val="62311B55"/>
    <w:rsid w:val="62466788"/>
    <w:rsid w:val="62471074"/>
    <w:rsid w:val="625BA384"/>
    <w:rsid w:val="627273E6"/>
    <w:rsid w:val="629833BF"/>
    <w:rsid w:val="62E505AE"/>
    <w:rsid w:val="62F31F96"/>
    <w:rsid w:val="637D0D01"/>
    <w:rsid w:val="63971320"/>
    <w:rsid w:val="63B7BAFE"/>
    <w:rsid w:val="63BE940E"/>
    <w:rsid w:val="63D93361"/>
    <w:rsid w:val="63F7ED2C"/>
    <w:rsid w:val="64141E2A"/>
    <w:rsid w:val="643862D7"/>
    <w:rsid w:val="64475C36"/>
    <w:rsid w:val="64607054"/>
    <w:rsid w:val="649338E6"/>
    <w:rsid w:val="649B0CC7"/>
    <w:rsid w:val="651F4D8E"/>
    <w:rsid w:val="65567E1B"/>
    <w:rsid w:val="657FA36C"/>
    <w:rsid w:val="65ED47D1"/>
    <w:rsid w:val="65F12C91"/>
    <w:rsid w:val="65FF9DC4"/>
    <w:rsid w:val="66293A88"/>
    <w:rsid w:val="668D2028"/>
    <w:rsid w:val="668E41E0"/>
    <w:rsid w:val="669F73A8"/>
    <w:rsid w:val="66A63D1B"/>
    <w:rsid w:val="66B7E23A"/>
    <w:rsid w:val="66C051B1"/>
    <w:rsid w:val="66EA092B"/>
    <w:rsid w:val="67217000"/>
    <w:rsid w:val="67FF98FD"/>
    <w:rsid w:val="6805233D"/>
    <w:rsid w:val="68114FF5"/>
    <w:rsid w:val="6855610D"/>
    <w:rsid w:val="6863405E"/>
    <w:rsid w:val="68CD0CA0"/>
    <w:rsid w:val="68D723E3"/>
    <w:rsid w:val="68F65167"/>
    <w:rsid w:val="68FD817F"/>
    <w:rsid w:val="69004F52"/>
    <w:rsid w:val="691A3CCE"/>
    <w:rsid w:val="69235354"/>
    <w:rsid w:val="695C3AB5"/>
    <w:rsid w:val="69667EC4"/>
    <w:rsid w:val="69713C44"/>
    <w:rsid w:val="698C2294"/>
    <w:rsid w:val="69FC6AC2"/>
    <w:rsid w:val="6A620512"/>
    <w:rsid w:val="6A7E59E9"/>
    <w:rsid w:val="6ACB609A"/>
    <w:rsid w:val="6AE87ED9"/>
    <w:rsid w:val="6AFB1985"/>
    <w:rsid w:val="6AFE1AEC"/>
    <w:rsid w:val="6B292E9C"/>
    <w:rsid w:val="6B5307C5"/>
    <w:rsid w:val="6B7E88ED"/>
    <w:rsid w:val="6B880BEA"/>
    <w:rsid w:val="6BFB6C5B"/>
    <w:rsid w:val="6BFC1B57"/>
    <w:rsid w:val="6C3FAB14"/>
    <w:rsid w:val="6C746900"/>
    <w:rsid w:val="6CAB5AAE"/>
    <w:rsid w:val="6D1679A1"/>
    <w:rsid w:val="6D535C01"/>
    <w:rsid w:val="6D57337A"/>
    <w:rsid w:val="6D985DE1"/>
    <w:rsid w:val="6D9D07BB"/>
    <w:rsid w:val="6DB96BBA"/>
    <w:rsid w:val="6DBF47B2"/>
    <w:rsid w:val="6DED2A65"/>
    <w:rsid w:val="6DF1621C"/>
    <w:rsid w:val="6DF66475"/>
    <w:rsid w:val="6DF7A619"/>
    <w:rsid w:val="6DFBB71B"/>
    <w:rsid w:val="6E805A0E"/>
    <w:rsid w:val="6E9A24DD"/>
    <w:rsid w:val="6ECD4683"/>
    <w:rsid w:val="6EE011B1"/>
    <w:rsid w:val="6EE9778A"/>
    <w:rsid w:val="6EFFB21C"/>
    <w:rsid w:val="6F070DFD"/>
    <w:rsid w:val="6F1E43A6"/>
    <w:rsid w:val="6F3E2CFE"/>
    <w:rsid w:val="6F4F5740"/>
    <w:rsid w:val="6F597AA1"/>
    <w:rsid w:val="6F64699B"/>
    <w:rsid w:val="6F6A5DDE"/>
    <w:rsid w:val="6F8B3406"/>
    <w:rsid w:val="6F9F7BFE"/>
    <w:rsid w:val="6FA42E90"/>
    <w:rsid w:val="6FAFE9CC"/>
    <w:rsid w:val="6FB3C9A7"/>
    <w:rsid w:val="6FBB2814"/>
    <w:rsid w:val="6FBB4203"/>
    <w:rsid w:val="6FBBE756"/>
    <w:rsid w:val="6FBF4864"/>
    <w:rsid w:val="6FBFAA6A"/>
    <w:rsid w:val="6FCBF9CA"/>
    <w:rsid w:val="6FCE2AEF"/>
    <w:rsid w:val="6FD79E4B"/>
    <w:rsid w:val="6FDB02AB"/>
    <w:rsid w:val="6FDE6714"/>
    <w:rsid w:val="6FDE8880"/>
    <w:rsid w:val="6FDFA1C0"/>
    <w:rsid w:val="6FDFCCB1"/>
    <w:rsid w:val="6FEE4ACD"/>
    <w:rsid w:val="6FFE06DC"/>
    <w:rsid w:val="6FFE59A8"/>
    <w:rsid w:val="6FFF2E5A"/>
    <w:rsid w:val="6FFF61EB"/>
    <w:rsid w:val="6FFF93D2"/>
    <w:rsid w:val="701E26CF"/>
    <w:rsid w:val="71370EE9"/>
    <w:rsid w:val="71495B9C"/>
    <w:rsid w:val="71626982"/>
    <w:rsid w:val="717B6A90"/>
    <w:rsid w:val="718E152E"/>
    <w:rsid w:val="71BDE798"/>
    <w:rsid w:val="71C52A01"/>
    <w:rsid w:val="71D27ECE"/>
    <w:rsid w:val="71D40D4C"/>
    <w:rsid w:val="71E7F47A"/>
    <w:rsid w:val="72117BE8"/>
    <w:rsid w:val="724800A1"/>
    <w:rsid w:val="727F03BC"/>
    <w:rsid w:val="72803F7F"/>
    <w:rsid w:val="72A13D86"/>
    <w:rsid w:val="72E9ACF4"/>
    <w:rsid w:val="73577500"/>
    <w:rsid w:val="73927111"/>
    <w:rsid w:val="73BE8A55"/>
    <w:rsid w:val="73C47F1D"/>
    <w:rsid w:val="73CA760A"/>
    <w:rsid w:val="73CC612C"/>
    <w:rsid w:val="747E61FB"/>
    <w:rsid w:val="749A6A33"/>
    <w:rsid w:val="753530F5"/>
    <w:rsid w:val="753C5F35"/>
    <w:rsid w:val="7576F12E"/>
    <w:rsid w:val="75EA8B89"/>
    <w:rsid w:val="76BE2F82"/>
    <w:rsid w:val="76BEDC27"/>
    <w:rsid w:val="76C53359"/>
    <w:rsid w:val="76E14113"/>
    <w:rsid w:val="76E82FD5"/>
    <w:rsid w:val="76ECDCB8"/>
    <w:rsid w:val="76FF7C98"/>
    <w:rsid w:val="7707CD8C"/>
    <w:rsid w:val="772ECBE3"/>
    <w:rsid w:val="773902A2"/>
    <w:rsid w:val="773B8689"/>
    <w:rsid w:val="775BC2E3"/>
    <w:rsid w:val="775D138B"/>
    <w:rsid w:val="77674B55"/>
    <w:rsid w:val="776E5142"/>
    <w:rsid w:val="776F86A9"/>
    <w:rsid w:val="777D8964"/>
    <w:rsid w:val="77A6B0EC"/>
    <w:rsid w:val="77AFDFAA"/>
    <w:rsid w:val="77B9B0C1"/>
    <w:rsid w:val="77EFB7DB"/>
    <w:rsid w:val="77F71ABD"/>
    <w:rsid w:val="77FD261C"/>
    <w:rsid w:val="77FF2132"/>
    <w:rsid w:val="77FF472A"/>
    <w:rsid w:val="77FFA601"/>
    <w:rsid w:val="78186E47"/>
    <w:rsid w:val="78253E41"/>
    <w:rsid w:val="783A0370"/>
    <w:rsid w:val="78916E6C"/>
    <w:rsid w:val="78A719AC"/>
    <w:rsid w:val="78B42B53"/>
    <w:rsid w:val="78D01A6F"/>
    <w:rsid w:val="78F581DA"/>
    <w:rsid w:val="78FE7584"/>
    <w:rsid w:val="78FFD7C2"/>
    <w:rsid w:val="79084F07"/>
    <w:rsid w:val="796C62A2"/>
    <w:rsid w:val="798F1AF1"/>
    <w:rsid w:val="79910FC0"/>
    <w:rsid w:val="79ACD51A"/>
    <w:rsid w:val="79BF22E2"/>
    <w:rsid w:val="79BF71B9"/>
    <w:rsid w:val="79C01DAA"/>
    <w:rsid w:val="79CE56F7"/>
    <w:rsid w:val="79D96C01"/>
    <w:rsid w:val="79E415BB"/>
    <w:rsid w:val="79FD51F1"/>
    <w:rsid w:val="7A1669D2"/>
    <w:rsid w:val="7A6BC3FA"/>
    <w:rsid w:val="7A874E3E"/>
    <w:rsid w:val="7AA86C83"/>
    <w:rsid w:val="7AB120D5"/>
    <w:rsid w:val="7AB9B43B"/>
    <w:rsid w:val="7ABC5759"/>
    <w:rsid w:val="7AD248B0"/>
    <w:rsid w:val="7AD370EC"/>
    <w:rsid w:val="7AD39BC2"/>
    <w:rsid w:val="7AD81BC9"/>
    <w:rsid w:val="7ADF999D"/>
    <w:rsid w:val="7AEE2BF2"/>
    <w:rsid w:val="7AFB7C1C"/>
    <w:rsid w:val="7B052E72"/>
    <w:rsid w:val="7B0A2151"/>
    <w:rsid w:val="7BA626CD"/>
    <w:rsid w:val="7BCC3178"/>
    <w:rsid w:val="7BF30CB4"/>
    <w:rsid w:val="7BF4E965"/>
    <w:rsid w:val="7BF72F51"/>
    <w:rsid w:val="7BFC2688"/>
    <w:rsid w:val="7BFEE41C"/>
    <w:rsid w:val="7BFF181B"/>
    <w:rsid w:val="7BFF9DEF"/>
    <w:rsid w:val="7C12710A"/>
    <w:rsid w:val="7C251548"/>
    <w:rsid w:val="7C2FBC68"/>
    <w:rsid w:val="7C7FDA07"/>
    <w:rsid w:val="7CEB342B"/>
    <w:rsid w:val="7CED083B"/>
    <w:rsid w:val="7CED9261"/>
    <w:rsid w:val="7D1B3767"/>
    <w:rsid w:val="7D56507F"/>
    <w:rsid w:val="7D56CB3F"/>
    <w:rsid w:val="7D5F49FE"/>
    <w:rsid w:val="7D6FCE77"/>
    <w:rsid w:val="7D893462"/>
    <w:rsid w:val="7D97BC8E"/>
    <w:rsid w:val="7D9C4987"/>
    <w:rsid w:val="7DAA3FF0"/>
    <w:rsid w:val="7DBAE12E"/>
    <w:rsid w:val="7DBFE492"/>
    <w:rsid w:val="7DC07661"/>
    <w:rsid w:val="7DD12FF3"/>
    <w:rsid w:val="7DDE2F59"/>
    <w:rsid w:val="7DE7680A"/>
    <w:rsid w:val="7DEB48ED"/>
    <w:rsid w:val="7DF0147B"/>
    <w:rsid w:val="7DFA7BA6"/>
    <w:rsid w:val="7DFB205E"/>
    <w:rsid w:val="7DFF1F99"/>
    <w:rsid w:val="7E3E2C97"/>
    <w:rsid w:val="7E3E2F52"/>
    <w:rsid w:val="7E3F5D06"/>
    <w:rsid w:val="7E6817D6"/>
    <w:rsid w:val="7E7D1E2A"/>
    <w:rsid w:val="7EA72A07"/>
    <w:rsid w:val="7EAD0735"/>
    <w:rsid w:val="7EAFF0B6"/>
    <w:rsid w:val="7EBC6EE8"/>
    <w:rsid w:val="7EBE4DC2"/>
    <w:rsid w:val="7EBF3D01"/>
    <w:rsid w:val="7ED097AB"/>
    <w:rsid w:val="7EE6DD14"/>
    <w:rsid w:val="7EE87B37"/>
    <w:rsid w:val="7EEA4CC4"/>
    <w:rsid w:val="7EEB9FC8"/>
    <w:rsid w:val="7EF7FC8B"/>
    <w:rsid w:val="7EFDC041"/>
    <w:rsid w:val="7EFF3919"/>
    <w:rsid w:val="7EFF872B"/>
    <w:rsid w:val="7EFFA73A"/>
    <w:rsid w:val="7F232C50"/>
    <w:rsid w:val="7F2B01C4"/>
    <w:rsid w:val="7F2BEF08"/>
    <w:rsid w:val="7F2F2562"/>
    <w:rsid w:val="7F5E3367"/>
    <w:rsid w:val="7F5F3D40"/>
    <w:rsid w:val="7F60371C"/>
    <w:rsid w:val="7F7141B4"/>
    <w:rsid w:val="7F752B5D"/>
    <w:rsid w:val="7F75710D"/>
    <w:rsid w:val="7F77C408"/>
    <w:rsid w:val="7F7ECDF0"/>
    <w:rsid w:val="7F7F1902"/>
    <w:rsid w:val="7F7F85A2"/>
    <w:rsid w:val="7F93112B"/>
    <w:rsid w:val="7F9B651A"/>
    <w:rsid w:val="7F9EE513"/>
    <w:rsid w:val="7FA5CF7E"/>
    <w:rsid w:val="7FADB5D1"/>
    <w:rsid w:val="7FAE0B76"/>
    <w:rsid w:val="7FAF3472"/>
    <w:rsid w:val="7FB359B9"/>
    <w:rsid w:val="7FB473C1"/>
    <w:rsid w:val="7FB68DF0"/>
    <w:rsid w:val="7FBBE0B5"/>
    <w:rsid w:val="7FBBF7C9"/>
    <w:rsid w:val="7FBF7622"/>
    <w:rsid w:val="7FC27694"/>
    <w:rsid w:val="7FCD90FC"/>
    <w:rsid w:val="7FCDECF9"/>
    <w:rsid w:val="7FD302EB"/>
    <w:rsid w:val="7FD35744"/>
    <w:rsid w:val="7FD750AF"/>
    <w:rsid w:val="7FDB19D4"/>
    <w:rsid w:val="7FDFE482"/>
    <w:rsid w:val="7FE5BCD5"/>
    <w:rsid w:val="7FE5FBF6"/>
    <w:rsid w:val="7FE721C8"/>
    <w:rsid w:val="7FE7B90F"/>
    <w:rsid w:val="7FE8AA89"/>
    <w:rsid w:val="7FE96A4C"/>
    <w:rsid w:val="7FF5B8F8"/>
    <w:rsid w:val="7FF7F0EA"/>
    <w:rsid w:val="7FFA82DD"/>
    <w:rsid w:val="7FFCB26E"/>
    <w:rsid w:val="7FFD310D"/>
    <w:rsid w:val="7FFD9FAE"/>
    <w:rsid w:val="7FFDCAA0"/>
    <w:rsid w:val="7FFE17F4"/>
    <w:rsid w:val="7FFEA1B4"/>
    <w:rsid w:val="7FFEC91C"/>
    <w:rsid w:val="7FFF3358"/>
    <w:rsid w:val="7FFF3D63"/>
    <w:rsid w:val="7FFF9E8F"/>
    <w:rsid w:val="7FFFB6B3"/>
    <w:rsid w:val="7FFFC620"/>
    <w:rsid w:val="816EBC1C"/>
    <w:rsid w:val="86CD2215"/>
    <w:rsid w:val="87FB9589"/>
    <w:rsid w:val="8FDB939A"/>
    <w:rsid w:val="93AE1507"/>
    <w:rsid w:val="96AEB894"/>
    <w:rsid w:val="977B5D60"/>
    <w:rsid w:val="977E31FF"/>
    <w:rsid w:val="979F0F7F"/>
    <w:rsid w:val="9AFFE6CA"/>
    <w:rsid w:val="9B746BDE"/>
    <w:rsid w:val="9C9704DD"/>
    <w:rsid w:val="9DBAE05B"/>
    <w:rsid w:val="9DDB9D24"/>
    <w:rsid w:val="9DF749FE"/>
    <w:rsid w:val="9E5F6167"/>
    <w:rsid w:val="9F3BF429"/>
    <w:rsid w:val="9FBF6A38"/>
    <w:rsid w:val="9FE70ACE"/>
    <w:rsid w:val="9FF8D89D"/>
    <w:rsid w:val="9FF91111"/>
    <w:rsid w:val="9FFD80F4"/>
    <w:rsid w:val="9FFFA905"/>
    <w:rsid w:val="9FFFE290"/>
    <w:rsid w:val="A53C30EB"/>
    <w:rsid w:val="A5FBF4DB"/>
    <w:rsid w:val="A7799AEC"/>
    <w:rsid w:val="A8E08014"/>
    <w:rsid w:val="ABE7C24A"/>
    <w:rsid w:val="ABEF29CB"/>
    <w:rsid w:val="ACB5D895"/>
    <w:rsid w:val="ACF9F370"/>
    <w:rsid w:val="ACFF783F"/>
    <w:rsid w:val="ADBC833D"/>
    <w:rsid w:val="ADDEBFB5"/>
    <w:rsid w:val="ADED50AF"/>
    <w:rsid w:val="ADFB6A3F"/>
    <w:rsid w:val="AEBBA222"/>
    <w:rsid w:val="AF4F9167"/>
    <w:rsid w:val="AFB506B9"/>
    <w:rsid w:val="AFD74478"/>
    <w:rsid w:val="AFF541E1"/>
    <w:rsid w:val="AFFB492E"/>
    <w:rsid w:val="B3E7BB23"/>
    <w:rsid w:val="B3FE8A31"/>
    <w:rsid w:val="B53FA9CA"/>
    <w:rsid w:val="B5BFDF79"/>
    <w:rsid w:val="B5CF5AEA"/>
    <w:rsid w:val="B6CBE650"/>
    <w:rsid w:val="B6E3786A"/>
    <w:rsid w:val="B741577F"/>
    <w:rsid w:val="B75BD154"/>
    <w:rsid w:val="B795DFF4"/>
    <w:rsid w:val="B7BB3BD0"/>
    <w:rsid w:val="B7DF5DCD"/>
    <w:rsid w:val="B7EBD113"/>
    <w:rsid w:val="B7F702D0"/>
    <w:rsid w:val="B7FD2566"/>
    <w:rsid w:val="B7FFBCD0"/>
    <w:rsid w:val="B9BB59BB"/>
    <w:rsid w:val="B9FDE8DE"/>
    <w:rsid w:val="BB9FABF3"/>
    <w:rsid w:val="BBB6559D"/>
    <w:rsid w:val="BBDE1958"/>
    <w:rsid w:val="BBDFB0CF"/>
    <w:rsid w:val="BBEF43C5"/>
    <w:rsid w:val="BBEFCB6F"/>
    <w:rsid w:val="BCEA7C28"/>
    <w:rsid w:val="BCF75D7A"/>
    <w:rsid w:val="BCF94F3D"/>
    <w:rsid w:val="BD63426D"/>
    <w:rsid w:val="BDB72374"/>
    <w:rsid w:val="BDD5891D"/>
    <w:rsid w:val="BDD8EF78"/>
    <w:rsid w:val="BDFEDD7D"/>
    <w:rsid w:val="BE57F877"/>
    <w:rsid w:val="BE725299"/>
    <w:rsid w:val="BEA76596"/>
    <w:rsid w:val="BEAA0743"/>
    <w:rsid w:val="BEBAE066"/>
    <w:rsid w:val="BEF555C8"/>
    <w:rsid w:val="BEFD1E7C"/>
    <w:rsid w:val="BEFE19F0"/>
    <w:rsid w:val="BEFF2A67"/>
    <w:rsid w:val="BF1E064A"/>
    <w:rsid w:val="BF3FFF29"/>
    <w:rsid w:val="BF5FDA4B"/>
    <w:rsid w:val="BF670905"/>
    <w:rsid w:val="BFE32BE4"/>
    <w:rsid w:val="BFEFC667"/>
    <w:rsid w:val="BFF118E9"/>
    <w:rsid w:val="BFF20B29"/>
    <w:rsid w:val="BFF90C36"/>
    <w:rsid w:val="BFFA37E3"/>
    <w:rsid w:val="BFFB9176"/>
    <w:rsid w:val="BFFBEF0E"/>
    <w:rsid w:val="BFFF30E3"/>
    <w:rsid w:val="BFFFCDE1"/>
    <w:rsid w:val="C2F598F7"/>
    <w:rsid w:val="C3F70DC4"/>
    <w:rsid w:val="C3FF5894"/>
    <w:rsid w:val="C7DF31EF"/>
    <w:rsid w:val="C7F3FFBD"/>
    <w:rsid w:val="C7FF241C"/>
    <w:rsid w:val="C7FFFFEB"/>
    <w:rsid w:val="C9BF5ABD"/>
    <w:rsid w:val="C9DD9A3A"/>
    <w:rsid w:val="C9FEA068"/>
    <w:rsid w:val="CA9B6EC0"/>
    <w:rsid w:val="CBAF1331"/>
    <w:rsid w:val="CBDF565D"/>
    <w:rsid w:val="CCDDE55C"/>
    <w:rsid w:val="CDAE4EDC"/>
    <w:rsid w:val="CDDD2E0A"/>
    <w:rsid w:val="CDFA6FEE"/>
    <w:rsid w:val="CE7F1FAE"/>
    <w:rsid w:val="CE9D661C"/>
    <w:rsid w:val="CF5FA584"/>
    <w:rsid w:val="CF6FD8A3"/>
    <w:rsid w:val="CFF77463"/>
    <w:rsid w:val="CFFA4036"/>
    <w:rsid w:val="CFFF42F3"/>
    <w:rsid w:val="CFFF8FFE"/>
    <w:rsid w:val="D04FCAB9"/>
    <w:rsid w:val="D1FB24DB"/>
    <w:rsid w:val="D2EF8740"/>
    <w:rsid w:val="D2FF8557"/>
    <w:rsid w:val="D3052270"/>
    <w:rsid w:val="D3DDACA0"/>
    <w:rsid w:val="D3E74C57"/>
    <w:rsid w:val="D3F74483"/>
    <w:rsid w:val="D4F793FA"/>
    <w:rsid w:val="D5D38A64"/>
    <w:rsid w:val="D5DDBAE3"/>
    <w:rsid w:val="D5FDA11C"/>
    <w:rsid w:val="D6BC272F"/>
    <w:rsid w:val="D6BF25C3"/>
    <w:rsid w:val="D7DE25B1"/>
    <w:rsid w:val="D7DEC7EE"/>
    <w:rsid w:val="D7ED0036"/>
    <w:rsid w:val="D867D162"/>
    <w:rsid w:val="D88FD8D9"/>
    <w:rsid w:val="D8DFC712"/>
    <w:rsid w:val="D9BF716F"/>
    <w:rsid w:val="DAFEB521"/>
    <w:rsid w:val="DB57BBF7"/>
    <w:rsid w:val="DBF796C1"/>
    <w:rsid w:val="DBFB4022"/>
    <w:rsid w:val="DBFEFB7C"/>
    <w:rsid w:val="DBFF55DA"/>
    <w:rsid w:val="DBFF7C59"/>
    <w:rsid w:val="DC6ACC76"/>
    <w:rsid w:val="DD77DBFC"/>
    <w:rsid w:val="DD7F741F"/>
    <w:rsid w:val="DDDD3AAA"/>
    <w:rsid w:val="DDFBB401"/>
    <w:rsid w:val="DDFF9BBD"/>
    <w:rsid w:val="DE5B1729"/>
    <w:rsid w:val="DEBBE26A"/>
    <w:rsid w:val="DEBDE491"/>
    <w:rsid w:val="DECFE504"/>
    <w:rsid w:val="DEEA6651"/>
    <w:rsid w:val="DEF5C0CB"/>
    <w:rsid w:val="DEFFF88B"/>
    <w:rsid w:val="DF5BF186"/>
    <w:rsid w:val="DF6EBE6B"/>
    <w:rsid w:val="DF6F673E"/>
    <w:rsid w:val="DF792033"/>
    <w:rsid w:val="DF7DDE45"/>
    <w:rsid w:val="DF7F0806"/>
    <w:rsid w:val="DF7F6559"/>
    <w:rsid w:val="DFAB3EEC"/>
    <w:rsid w:val="DFBB277E"/>
    <w:rsid w:val="DFBCD0BC"/>
    <w:rsid w:val="DFBD1572"/>
    <w:rsid w:val="DFC99911"/>
    <w:rsid w:val="DFCB6B9B"/>
    <w:rsid w:val="DFCE619C"/>
    <w:rsid w:val="DFCFE673"/>
    <w:rsid w:val="DFDB0A10"/>
    <w:rsid w:val="DFEBF28C"/>
    <w:rsid w:val="DFEE7034"/>
    <w:rsid w:val="DFEF837D"/>
    <w:rsid w:val="DFEFE26B"/>
    <w:rsid w:val="DFEFFB4A"/>
    <w:rsid w:val="DFF7077E"/>
    <w:rsid w:val="DFFE4E81"/>
    <w:rsid w:val="DFFE5656"/>
    <w:rsid w:val="DFFE94C0"/>
    <w:rsid w:val="DFFF1A18"/>
    <w:rsid w:val="E2FE1DFC"/>
    <w:rsid w:val="E374C507"/>
    <w:rsid w:val="E3FB990F"/>
    <w:rsid w:val="E47F08F1"/>
    <w:rsid w:val="E55F3C44"/>
    <w:rsid w:val="E5BFD128"/>
    <w:rsid w:val="E5FD94D9"/>
    <w:rsid w:val="E6D76A9D"/>
    <w:rsid w:val="E76EB1CD"/>
    <w:rsid w:val="E79BB269"/>
    <w:rsid w:val="E7E74F06"/>
    <w:rsid w:val="E7FD0EFE"/>
    <w:rsid w:val="E7FD669B"/>
    <w:rsid w:val="E97FF5A4"/>
    <w:rsid w:val="EB5EC710"/>
    <w:rsid w:val="EB69FD76"/>
    <w:rsid w:val="EB776932"/>
    <w:rsid w:val="EB8FCC53"/>
    <w:rsid w:val="EBBF5969"/>
    <w:rsid w:val="EBBF7A62"/>
    <w:rsid w:val="EBD76472"/>
    <w:rsid w:val="EBF9DF1F"/>
    <w:rsid w:val="EBFEF502"/>
    <w:rsid w:val="EC7FEDDE"/>
    <w:rsid w:val="ECBF5C29"/>
    <w:rsid w:val="ED1623AA"/>
    <w:rsid w:val="ED5FC6D5"/>
    <w:rsid w:val="ED9E0D66"/>
    <w:rsid w:val="EDBFBFB8"/>
    <w:rsid w:val="EDF3AE4B"/>
    <w:rsid w:val="EE6F7CE4"/>
    <w:rsid w:val="EEFB654D"/>
    <w:rsid w:val="EEFE6053"/>
    <w:rsid w:val="EF5F849E"/>
    <w:rsid w:val="EF67DB7F"/>
    <w:rsid w:val="EF6F88D4"/>
    <w:rsid w:val="EF9DAC7A"/>
    <w:rsid w:val="EFB760A1"/>
    <w:rsid w:val="EFDB1127"/>
    <w:rsid w:val="EFEAD802"/>
    <w:rsid w:val="EFEFCA6B"/>
    <w:rsid w:val="EFFDD880"/>
    <w:rsid w:val="EFFE54B0"/>
    <w:rsid w:val="EFFF5CA2"/>
    <w:rsid w:val="EFFFFF24"/>
    <w:rsid w:val="F1DF48E0"/>
    <w:rsid w:val="F2F3A872"/>
    <w:rsid w:val="F33F237E"/>
    <w:rsid w:val="F3570537"/>
    <w:rsid w:val="F3DFD1D6"/>
    <w:rsid w:val="F3DFF20F"/>
    <w:rsid w:val="F3ED6A9D"/>
    <w:rsid w:val="F5AFDF6F"/>
    <w:rsid w:val="F5EF94F0"/>
    <w:rsid w:val="F5F7E76E"/>
    <w:rsid w:val="F5FDD10C"/>
    <w:rsid w:val="F5FEB560"/>
    <w:rsid w:val="F64F5701"/>
    <w:rsid w:val="F66B4D4B"/>
    <w:rsid w:val="F67F17BD"/>
    <w:rsid w:val="F6BF20C4"/>
    <w:rsid w:val="F6CF99FD"/>
    <w:rsid w:val="F6DDD52D"/>
    <w:rsid w:val="F6FD3E54"/>
    <w:rsid w:val="F6FE5E72"/>
    <w:rsid w:val="F72BCE6F"/>
    <w:rsid w:val="F72E55C8"/>
    <w:rsid w:val="F777DC74"/>
    <w:rsid w:val="F77EE727"/>
    <w:rsid w:val="F7975AF9"/>
    <w:rsid w:val="F7C9181A"/>
    <w:rsid w:val="F7CF380C"/>
    <w:rsid w:val="F7CF5C85"/>
    <w:rsid w:val="F7D1D8AE"/>
    <w:rsid w:val="F7DE55E4"/>
    <w:rsid w:val="F7DED869"/>
    <w:rsid w:val="F7EE2517"/>
    <w:rsid w:val="F7F3461F"/>
    <w:rsid w:val="F7F6169A"/>
    <w:rsid w:val="F7F6C60D"/>
    <w:rsid w:val="F7F80EB2"/>
    <w:rsid w:val="F7FF3AF1"/>
    <w:rsid w:val="F7FFAA23"/>
    <w:rsid w:val="F7FFF4A2"/>
    <w:rsid w:val="F8DF4320"/>
    <w:rsid w:val="F8E7449B"/>
    <w:rsid w:val="F8F3220E"/>
    <w:rsid w:val="F8FFF9CE"/>
    <w:rsid w:val="F9DF3C5E"/>
    <w:rsid w:val="F9EF8D71"/>
    <w:rsid w:val="F9FDBEC9"/>
    <w:rsid w:val="F9FE0830"/>
    <w:rsid w:val="FA8BF58C"/>
    <w:rsid w:val="FADF3728"/>
    <w:rsid w:val="FAEF40C0"/>
    <w:rsid w:val="FAFDD6EC"/>
    <w:rsid w:val="FB2B8857"/>
    <w:rsid w:val="FB3FAA27"/>
    <w:rsid w:val="FB4F3BE6"/>
    <w:rsid w:val="FB5FD576"/>
    <w:rsid w:val="FB6CC687"/>
    <w:rsid w:val="FB7F1D6E"/>
    <w:rsid w:val="FB7F5F49"/>
    <w:rsid w:val="FB8567F8"/>
    <w:rsid w:val="FBBB0F51"/>
    <w:rsid w:val="FBBF8926"/>
    <w:rsid w:val="FBDE057B"/>
    <w:rsid w:val="FBE7E99D"/>
    <w:rsid w:val="FBEE6A4C"/>
    <w:rsid w:val="FBEFF7F2"/>
    <w:rsid w:val="FBF0F819"/>
    <w:rsid w:val="FBF3E2F3"/>
    <w:rsid w:val="FBFA7BE4"/>
    <w:rsid w:val="FBFCCF44"/>
    <w:rsid w:val="FBFF3149"/>
    <w:rsid w:val="FBFF3C27"/>
    <w:rsid w:val="FC4D3909"/>
    <w:rsid w:val="FC6D63FB"/>
    <w:rsid w:val="FC6ECDC2"/>
    <w:rsid w:val="FC7AFEB6"/>
    <w:rsid w:val="FC7FB450"/>
    <w:rsid w:val="FCF5A05D"/>
    <w:rsid w:val="FCFDCD70"/>
    <w:rsid w:val="FCFF1BAB"/>
    <w:rsid w:val="FCFFD552"/>
    <w:rsid w:val="FD5DFAC8"/>
    <w:rsid w:val="FD634801"/>
    <w:rsid w:val="FD6C295E"/>
    <w:rsid w:val="FD8377C8"/>
    <w:rsid w:val="FDAA895F"/>
    <w:rsid w:val="FDBA724F"/>
    <w:rsid w:val="FDC7E36B"/>
    <w:rsid w:val="FDCD5D28"/>
    <w:rsid w:val="FDD3043D"/>
    <w:rsid w:val="FDD74E71"/>
    <w:rsid w:val="FDDF0627"/>
    <w:rsid w:val="FDDF178C"/>
    <w:rsid w:val="FDE7C236"/>
    <w:rsid w:val="FDF74B6C"/>
    <w:rsid w:val="FDFBC5A9"/>
    <w:rsid w:val="FDFCB872"/>
    <w:rsid w:val="FDFDA31A"/>
    <w:rsid w:val="FDFEB510"/>
    <w:rsid w:val="FDFF9541"/>
    <w:rsid w:val="FDFFB731"/>
    <w:rsid w:val="FE4DF147"/>
    <w:rsid w:val="FE53E524"/>
    <w:rsid w:val="FE5A8096"/>
    <w:rsid w:val="FE5F9864"/>
    <w:rsid w:val="FE664429"/>
    <w:rsid w:val="FE7C22A9"/>
    <w:rsid w:val="FE7DB371"/>
    <w:rsid w:val="FEDA5853"/>
    <w:rsid w:val="FEDD66A5"/>
    <w:rsid w:val="FEED5B06"/>
    <w:rsid w:val="FEF75BA2"/>
    <w:rsid w:val="FEFC5FA5"/>
    <w:rsid w:val="FEFF7D9C"/>
    <w:rsid w:val="FF079EB0"/>
    <w:rsid w:val="FF1E567A"/>
    <w:rsid w:val="FF332E34"/>
    <w:rsid w:val="FF3B9D7C"/>
    <w:rsid w:val="FF3BF4F2"/>
    <w:rsid w:val="FF5B8C35"/>
    <w:rsid w:val="FF60A250"/>
    <w:rsid w:val="FF636A36"/>
    <w:rsid w:val="FF6D4016"/>
    <w:rsid w:val="FF6D7C23"/>
    <w:rsid w:val="FF6F39E4"/>
    <w:rsid w:val="FF6FDD80"/>
    <w:rsid w:val="FF76346C"/>
    <w:rsid w:val="FF773AD7"/>
    <w:rsid w:val="FF78B40C"/>
    <w:rsid w:val="FF7C05FA"/>
    <w:rsid w:val="FF7C6EF1"/>
    <w:rsid w:val="FF7C8187"/>
    <w:rsid w:val="FF7C94CF"/>
    <w:rsid w:val="FF7EF9FD"/>
    <w:rsid w:val="FF7FF368"/>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5D51"/>
    <w:rsid w:val="FFDFA3F2"/>
    <w:rsid w:val="FFDFB0DB"/>
    <w:rsid w:val="FFE52F06"/>
    <w:rsid w:val="FFE53FE5"/>
    <w:rsid w:val="FFEBC275"/>
    <w:rsid w:val="FFECE2EB"/>
    <w:rsid w:val="FFED1B79"/>
    <w:rsid w:val="FFED8573"/>
    <w:rsid w:val="FFF3E6C2"/>
    <w:rsid w:val="FFF59DDE"/>
    <w:rsid w:val="FFF6FC87"/>
    <w:rsid w:val="FFF95E1D"/>
    <w:rsid w:val="FFF9CBFE"/>
    <w:rsid w:val="FFFAF3F7"/>
    <w:rsid w:val="FFFB694C"/>
    <w:rsid w:val="FFFB883C"/>
    <w:rsid w:val="FFFB9F5F"/>
    <w:rsid w:val="FFFBB334"/>
    <w:rsid w:val="FFFBCA5A"/>
    <w:rsid w:val="FFFD2E77"/>
    <w:rsid w:val="FFFD99CA"/>
    <w:rsid w:val="FFFEDE97"/>
    <w:rsid w:val="FFFF37E6"/>
    <w:rsid w:val="FFFF5408"/>
    <w:rsid w:val="FFFF7A67"/>
    <w:rsid w:val="FFFF95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3">
    <w:name w:val="heading 1"/>
    <w:basedOn w:val="1"/>
    <w:next w:val="1"/>
    <w:link w:val="61"/>
    <w:qFormat/>
    <w:uiPriority w:val="0"/>
    <w:pPr>
      <w:keepNext/>
      <w:keepLines/>
      <w:spacing w:before="340" w:after="330" w:line="578" w:lineRule="auto"/>
      <w:outlineLvl w:val="0"/>
    </w:pPr>
    <w:rPr>
      <w:rFonts w:hint="default" w:cs="Times New Roman"/>
      <w:b/>
      <w:bCs/>
      <w:kern w:val="44"/>
      <w:sz w:val="44"/>
      <w:szCs w:val="44"/>
    </w:rPr>
  </w:style>
  <w:style w:type="paragraph" w:styleId="2">
    <w:name w:val="heading 2"/>
    <w:basedOn w:val="1"/>
    <w:next w:val="1"/>
    <w:link w:val="60"/>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rFonts w:hint="default" w:cs="Times New Roman"/>
      <w:b/>
      <w:bCs/>
      <w:kern w:val="0"/>
      <w:sz w:val="32"/>
      <w:szCs w:val="32"/>
    </w:rPr>
  </w:style>
  <w:style w:type="paragraph" w:styleId="5">
    <w:name w:val="heading 4"/>
    <w:basedOn w:val="1"/>
    <w:next w:val="1"/>
    <w:link w:val="63"/>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before="280" w:after="290" w:line="372" w:lineRule="auto"/>
      <w:outlineLvl w:val="3"/>
    </w:pPr>
    <w:rPr>
      <w:rFonts w:hint="default" w:ascii="Arial" w:hAnsi="Arial" w:eastAsia="黑体" w:cs="Times New Roman"/>
      <w:b/>
      <w:color w:val="auto"/>
      <w:sz w:val="28"/>
      <w:szCs w:val="24"/>
    </w:rPr>
  </w:style>
  <w:style w:type="paragraph" w:styleId="6">
    <w:name w:val="heading 5"/>
    <w:basedOn w:val="1"/>
    <w:next w:val="1"/>
    <w:link w:val="64"/>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line="372" w:lineRule="auto"/>
      <w:ind w:firstLine="402"/>
      <w:outlineLvl w:val="4"/>
    </w:pPr>
    <w:rPr>
      <w:rFonts w:hint="default" w:ascii="仿宋_GB2312" w:hAnsi="Times New Roman" w:eastAsia="仿宋_GB2312" w:cs="Times New Roman"/>
      <w:b/>
      <w:color w:val="auto"/>
      <w:sz w:val="28"/>
      <w:szCs w:val="32"/>
    </w:rPr>
  </w:style>
  <w:style w:type="paragraph" w:styleId="7">
    <w:name w:val="heading 6"/>
    <w:basedOn w:val="1"/>
    <w:next w:val="1"/>
    <w:link w:val="65"/>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line="317" w:lineRule="auto"/>
      <w:ind w:firstLine="402"/>
      <w:outlineLvl w:val="5"/>
    </w:pPr>
    <w:rPr>
      <w:rFonts w:hint="default" w:ascii="Arial" w:hAnsi="Arial" w:eastAsia="黑体" w:cs="Times New Roman"/>
      <w:b/>
      <w:color w:val="auto"/>
      <w:sz w:val="24"/>
      <w:szCs w:val="32"/>
    </w:rPr>
  </w:style>
  <w:style w:type="paragraph" w:styleId="8">
    <w:name w:val="heading 7"/>
    <w:basedOn w:val="1"/>
    <w:next w:val="1"/>
    <w:link w:val="66"/>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line="317" w:lineRule="auto"/>
      <w:ind w:firstLine="402"/>
      <w:outlineLvl w:val="6"/>
    </w:pPr>
    <w:rPr>
      <w:rFonts w:hint="default" w:ascii="仿宋_GB2312" w:hAnsi="Times New Roman" w:eastAsia="仿宋_GB2312" w:cs="Times New Roman"/>
      <w:b/>
      <w:color w:val="auto"/>
      <w:sz w:val="24"/>
      <w:szCs w:val="32"/>
    </w:rPr>
  </w:style>
  <w:style w:type="paragraph" w:styleId="9">
    <w:name w:val="heading 8"/>
    <w:basedOn w:val="1"/>
    <w:next w:val="1"/>
    <w:link w:val="67"/>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line="317" w:lineRule="auto"/>
      <w:ind w:firstLine="402"/>
      <w:outlineLvl w:val="7"/>
    </w:pPr>
    <w:rPr>
      <w:rFonts w:hint="default" w:ascii="Arial" w:hAnsi="Arial" w:eastAsia="黑体" w:cs="Times New Roman"/>
      <w:color w:val="auto"/>
      <w:sz w:val="24"/>
      <w:szCs w:val="32"/>
    </w:rPr>
  </w:style>
  <w:style w:type="paragraph" w:styleId="10">
    <w:name w:val="heading 9"/>
    <w:basedOn w:val="1"/>
    <w:next w:val="1"/>
    <w:link w:val="68"/>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line="317" w:lineRule="auto"/>
      <w:ind w:firstLine="402"/>
      <w:outlineLvl w:val="8"/>
    </w:pPr>
    <w:rPr>
      <w:rFonts w:hint="default" w:ascii="Arial" w:hAnsi="Arial" w:eastAsia="黑体" w:cs="Times New Roman"/>
      <w:color w:val="auto"/>
      <w:szCs w:val="32"/>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pBdr>
        <w:top w:val="none" w:color="auto" w:sz="0" w:space="0"/>
        <w:left w:val="none" w:color="auto" w:sz="0" w:space="0"/>
        <w:bottom w:val="none" w:color="auto" w:sz="0" w:space="0"/>
        <w:right w:val="none" w:color="auto" w:sz="0" w:space="0"/>
        <w:between w:val="none" w:color="auto" w:sz="0" w:space="0"/>
      </w:pBdr>
      <w:ind w:left="2520" w:leftChars="1200"/>
    </w:pPr>
    <w:rPr>
      <w:rFonts w:hint="default" w:ascii="Times New Roman" w:hAnsi="Times New Roman" w:eastAsia="宋体" w:cs="Times New Roman"/>
      <w:color w:val="auto"/>
      <w:szCs w:val="24"/>
      <w:lang w:val="en-US" w:eastAsia="zh-CN"/>
    </w:rPr>
  </w:style>
  <w:style w:type="paragraph" w:styleId="12">
    <w:name w:val="Normal Indent"/>
    <w:basedOn w:val="1"/>
    <w:next w:val="13"/>
    <w:link w:val="69"/>
    <w:qFormat/>
    <w:uiPriority w:val="0"/>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3">
    <w:name w:val="Body Text 2"/>
    <w:basedOn w:val="1"/>
    <w:next w:val="14"/>
    <w:link w:val="70"/>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line="480" w:lineRule="auto"/>
    </w:pPr>
    <w:rPr>
      <w:rFonts w:hint="default" w:ascii="Times New Roman" w:hAnsi="Times New Roman" w:eastAsia="宋体" w:cs="Times New Roman"/>
      <w:color w:val="auto"/>
      <w:szCs w:val="24"/>
    </w:rPr>
  </w:style>
  <w:style w:type="paragraph" w:styleId="14">
    <w:name w:val="Body Text"/>
    <w:basedOn w:val="1"/>
    <w:next w:val="1"/>
    <w:link w:val="71"/>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left" w:pos="567"/>
      </w:tabs>
      <w:spacing w:before="120" w:line="22" w:lineRule="atLeast"/>
    </w:pPr>
    <w:rPr>
      <w:rFonts w:hint="default" w:ascii="宋体" w:hAnsi="宋体" w:eastAsia="宋体" w:cs="Times New Roman"/>
      <w:color w:val="auto"/>
      <w:sz w:val="24"/>
      <w:szCs w:val="24"/>
    </w:rPr>
  </w:style>
  <w:style w:type="paragraph" w:styleId="15">
    <w:name w:val="Document Map"/>
    <w:basedOn w:val="1"/>
    <w:semiHidden/>
    <w:qFormat/>
    <w:uiPriority w:val="0"/>
    <w:pPr>
      <w:shd w:val="clear" w:color="auto" w:fill="000080"/>
    </w:pPr>
  </w:style>
  <w:style w:type="paragraph" w:styleId="16">
    <w:name w:val="toa heading"/>
    <w:basedOn w:val="1"/>
    <w:next w:val="1"/>
    <w:qFormat/>
    <w:uiPriority w:val="0"/>
    <w:rPr>
      <w:rFonts w:ascii="Arial" w:hAnsi="Arial"/>
    </w:rPr>
  </w:style>
  <w:style w:type="paragraph" w:styleId="17">
    <w:name w:val="annotation text"/>
    <w:basedOn w:val="1"/>
    <w:link w:val="72"/>
    <w:unhideWhenUsed/>
    <w:qFormat/>
    <w:uiPriority w:val="0"/>
    <w:pPr>
      <w:jc w:val="left"/>
    </w:pPr>
    <w:rPr>
      <w:rFonts w:hint="default" w:cs="Times New Roman"/>
      <w:kern w:val="0"/>
      <w:sz w:val="20"/>
    </w:rPr>
  </w:style>
  <w:style w:type="paragraph" w:styleId="18">
    <w:name w:val="Body Text 3"/>
    <w:basedOn w:val="1"/>
    <w:link w:val="73"/>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pPr>
    <w:rPr>
      <w:rFonts w:hint="default" w:ascii="Times New Roman" w:hAnsi="Times New Roman" w:eastAsia="宋体" w:cs="Times New Roman"/>
      <w:color w:val="auto"/>
      <w:sz w:val="16"/>
      <w:szCs w:val="16"/>
    </w:rPr>
  </w:style>
  <w:style w:type="paragraph" w:styleId="19">
    <w:name w:val="Body Text Indent"/>
    <w:basedOn w:val="1"/>
    <w:next w:val="20"/>
    <w:link w:val="74"/>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570"/>
    </w:pPr>
    <w:rPr>
      <w:rFonts w:hint="default" w:ascii="Times New Roman" w:hAnsi="Times New Roman" w:eastAsia="宋体" w:cs="Times New Roman"/>
      <w:color w:val="auto"/>
      <w:sz w:val="24"/>
      <w:szCs w:val="24"/>
    </w:rPr>
  </w:style>
  <w:style w:type="paragraph" w:styleId="20">
    <w:name w:val="envelope return"/>
    <w:basedOn w:val="1"/>
    <w:unhideWhenUsed/>
    <w:qFormat/>
    <w:uiPriority w:val="99"/>
    <w:pPr>
      <w:snapToGrid w:val="0"/>
    </w:pPr>
    <w:rPr>
      <w:rFonts w:ascii="Arial" w:hAnsi="Arial"/>
    </w:rPr>
  </w:style>
  <w:style w:type="paragraph" w:styleId="21">
    <w:name w:val="List Continue"/>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ind w:left="420"/>
    </w:pPr>
    <w:rPr>
      <w:rFonts w:hint="default" w:ascii="Times New Roman" w:hAnsi="Times New Roman" w:eastAsia="楷体_GB2312" w:cs="Times New Roman"/>
      <w:color w:val="auto"/>
      <w:sz w:val="32"/>
      <w:szCs w:val="20"/>
      <w:lang w:val="en-US" w:eastAsia="zh-CN"/>
    </w:rPr>
  </w:style>
  <w:style w:type="paragraph" w:styleId="22">
    <w:name w:val="Block Text"/>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3">
    <w:name w:val="toc 5"/>
    <w:basedOn w:val="1"/>
    <w:next w:val="1"/>
    <w:qFormat/>
    <w:uiPriority w:val="39"/>
    <w:pPr>
      <w:widowControl w:val="0"/>
      <w:pBdr>
        <w:top w:val="none" w:color="auto" w:sz="0" w:space="0"/>
        <w:left w:val="none" w:color="auto" w:sz="0" w:space="0"/>
        <w:bottom w:val="none" w:color="auto" w:sz="0" w:space="0"/>
        <w:right w:val="none" w:color="auto" w:sz="0" w:space="0"/>
        <w:between w:val="none" w:color="auto" w:sz="0" w:space="0"/>
      </w:pBdr>
      <w:ind w:left="1680" w:leftChars="800"/>
    </w:pPr>
    <w:rPr>
      <w:rFonts w:hint="default" w:ascii="Times New Roman" w:hAnsi="Times New Roman" w:eastAsia="宋体" w:cs="Times New Roman"/>
      <w:color w:val="auto"/>
      <w:szCs w:val="24"/>
      <w:lang w:val="en-US" w:eastAsia="zh-CN"/>
    </w:rPr>
  </w:style>
  <w:style w:type="paragraph" w:styleId="24">
    <w:name w:val="toc 3"/>
    <w:basedOn w:val="1"/>
    <w:next w:val="1"/>
    <w:unhideWhenUsed/>
    <w:qFormat/>
    <w:uiPriority w:val="39"/>
    <w:pPr>
      <w:pBdr>
        <w:top w:val="none" w:color="auto" w:sz="0" w:space="0"/>
        <w:left w:val="none" w:color="auto" w:sz="0" w:space="0"/>
        <w:bottom w:val="none" w:color="auto" w:sz="0" w:space="0"/>
        <w:right w:val="none" w:color="auto" w:sz="0" w:space="0"/>
        <w:between w:val="none" w:color="auto" w:sz="0" w:space="0"/>
      </w:pBd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5">
    <w:name w:val="Plain Text"/>
    <w:basedOn w:val="1"/>
    <w:link w:val="75"/>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宋体" w:hAnsi="Courier New" w:eastAsia="宋体" w:cs="Times New Roman"/>
      <w:color w:val="auto"/>
      <w:kern w:val="0"/>
      <w:sz w:val="20"/>
      <w:szCs w:val="20"/>
    </w:rPr>
  </w:style>
  <w:style w:type="paragraph" w:styleId="26">
    <w:name w:val="toc 8"/>
    <w:basedOn w:val="1"/>
    <w:next w:val="1"/>
    <w:qFormat/>
    <w:uiPriority w:val="39"/>
    <w:pPr>
      <w:widowControl w:val="0"/>
      <w:pBdr>
        <w:top w:val="none" w:color="auto" w:sz="0" w:space="0"/>
        <w:left w:val="none" w:color="auto" w:sz="0" w:space="0"/>
        <w:bottom w:val="none" w:color="auto" w:sz="0" w:space="0"/>
        <w:right w:val="none" w:color="auto" w:sz="0" w:space="0"/>
        <w:between w:val="none" w:color="auto" w:sz="0" w:space="0"/>
      </w:pBdr>
      <w:ind w:left="2940" w:leftChars="1400"/>
    </w:pPr>
    <w:rPr>
      <w:rFonts w:hint="default" w:ascii="Times New Roman" w:hAnsi="Times New Roman" w:eastAsia="宋体" w:cs="Times New Roman"/>
      <w:color w:val="auto"/>
      <w:szCs w:val="24"/>
      <w:lang w:val="en-US" w:eastAsia="zh-CN"/>
    </w:rPr>
  </w:style>
  <w:style w:type="paragraph" w:styleId="27">
    <w:name w:val="Date"/>
    <w:basedOn w:val="1"/>
    <w:next w:val="1"/>
    <w:link w:val="76"/>
    <w:qFormat/>
    <w:uiPriority w:val="99"/>
    <w:pPr>
      <w:widowControl w:val="0"/>
      <w:pBdr>
        <w:top w:val="none" w:color="auto" w:sz="0" w:space="0"/>
        <w:left w:val="none" w:color="auto" w:sz="0" w:space="0"/>
        <w:bottom w:val="none" w:color="auto" w:sz="0" w:space="0"/>
        <w:right w:val="none" w:color="auto" w:sz="0" w:space="0"/>
        <w:between w:val="none" w:color="auto" w:sz="0" w:space="0"/>
      </w:pBdr>
      <w:ind w:left="100" w:leftChars="2500"/>
    </w:pPr>
    <w:rPr>
      <w:rFonts w:hint="default" w:ascii="仿宋_GB2312" w:hAnsi="宋体" w:eastAsia="仿宋_GB2312" w:cs="Times New Roman"/>
      <w:sz w:val="24"/>
      <w:szCs w:val="24"/>
    </w:rPr>
  </w:style>
  <w:style w:type="paragraph" w:styleId="28">
    <w:name w:val="Body Text Indent 2"/>
    <w:basedOn w:val="1"/>
    <w:link w:val="77"/>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80" w:firstLineChars="200"/>
    </w:pPr>
    <w:rPr>
      <w:rFonts w:hint="default" w:ascii="仿宋_GB2312" w:hAnsi="Times New Roman" w:eastAsia="仿宋_GB2312" w:cs="Times New Roman"/>
      <w:color w:val="auto"/>
      <w:sz w:val="24"/>
      <w:szCs w:val="24"/>
    </w:rPr>
  </w:style>
  <w:style w:type="paragraph" w:styleId="29">
    <w:name w:val="Balloon Text"/>
    <w:basedOn w:val="1"/>
    <w:link w:val="78"/>
    <w:unhideWhenUsed/>
    <w:qFormat/>
    <w:uiPriority w:val="0"/>
    <w:rPr>
      <w:rFonts w:hint="default" w:cs="Times New Roman"/>
      <w:kern w:val="0"/>
      <w:sz w:val="18"/>
      <w:szCs w:val="18"/>
    </w:rPr>
  </w:style>
  <w:style w:type="paragraph" w:styleId="30">
    <w:name w:val="footer"/>
    <w:basedOn w:val="1"/>
    <w:link w:val="79"/>
    <w:qFormat/>
    <w:uiPriority w:val="99"/>
    <w:pPr>
      <w:tabs>
        <w:tab w:val="center" w:pos="4153"/>
        <w:tab w:val="right" w:pos="8306"/>
      </w:tabs>
    </w:pPr>
    <w:rPr>
      <w:rFonts w:hint="default" w:ascii="宋体" w:hAnsi="宋体" w:eastAsia="宋体" w:cs="Times New Roman"/>
      <w:kern w:val="0"/>
      <w:sz w:val="18"/>
      <w:szCs w:val="18"/>
    </w:rPr>
  </w:style>
  <w:style w:type="paragraph" w:styleId="31">
    <w:name w:val="header"/>
    <w:basedOn w:val="1"/>
    <w:link w:val="80"/>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2">
    <w:name w:val="toc 1"/>
    <w:basedOn w:val="1"/>
    <w:next w:val="1"/>
    <w:unhideWhenUsed/>
    <w:qFormat/>
    <w:uiPriority w:val="39"/>
    <w:pPr>
      <w:pBdr>
        <w:top w:val="none" w:color="auto" w:sz="0" w:space="0"/>
        <w:left w:val="none" w:color="auto" w:sz="0" w:space="0"/>
        <w:bottom w:val="none" w:color="auto" w:sz="0" w:space="0"/>
        <w:right w:val="none" w:color="auto" w:sz="0" w:space="0"/>
        <w:between w:val="none" w:color="auto" w:sz="0" w:space="0"/>
      </w:pBd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toc 4"/>
    <w:basedOn w:val="1"/>
    <w:next w:val="1"/>
    <w:qFormat/>
    <w:uiPriority w:val="39"/>
    <w:pPr>
      <w:widowControl w:val="0"/>
      <w:pBdr>
        <w:top w:val="none" w:color="auto" w:sz="0" w:space="0"/>
        <w:left w:val="none" w:color="auto" w:sz="0" w:space="0"/>
        <w:bottom w:val="none" w:color="auto" w:sz="0" w:space="0"/>
        <w:right w:val="none" w:color="auto" w:sz="0" w:space="0"/>
        <w:between w:val="none" w:color="auto" w:sz="0" w:space="0"/>
      </w:pBdr>
      <w:ind w:left="1260" w:leftChars="600"/>
    </w:pPr>
    <w:rPr>
      <w:rFonts w:hint="default" w:ascii="Times New Roman" w:hAnsi="Times New Roman" w:eastAsia="宋体" w:cs="Times New Roman"/>
      <w:color w:val="auto"/>
      <w:szCs w:val="24"/>
      <w:lang w:val="en-US" w:eastAsia="zh-CN"/>
    </w:rPr>
  </w:style>
  <w:style w:type="paragraph" w:styleId="34">
    <w:name w:val="List"/>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ind w:left="420" w:hanging="420"/>
    </w:pPr>
    <w:rPr>
      <w:rFonts w:hint="default" w:ascii="Times New Roman" w:hAnsi="Times New Roman" w:eastAsia="楷体_GB2312" w:cs="Times New Roman"/>
      <w:color w:val="auto"/>
      <w:sz w:val="32"/>
      <w:szCs w:val="20"/>
      <w:lang w:val="en-US" w:eastAsia="zh-CN"/>
    </w:rPr>
  </w:style>
  <w:style w:type="paragraph" w:styleId="35">
    <w:name w:val="footnote text"/>
    <w:basedOn w:val="1"/>
    <w:link w:val="81"/>
    <w:qFormat/>
    <w:uiPriority w:val="0"/>
    <w:pPr>
      <w:widowControl w:val="0"/>
      <w:pBdr>
        <w:top w:val="none" w:color="auto" w:sz="0" w:space="0"/>
        <w:left w:val="none" w:color="auto" w:sz="0" w:space="0"/>
        <w:bottom w:val="none" w:color="auto" w:sz="0" w:space="0"/>
        <w:right w:val="none" w:color="auto" w:sz="0" w:space="0"/>
        <w:between w:val="none" w:color="auto" w:sz="0" w:space="0"/>
      </w:pBdr>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6">
    <w:name w:val="toc 6"/>
    <w:basedOn w:val="1"/>
    <w:next w:val="1"/>
    <w:qFormat/>
    <w:uiPriority w:val="39"/>
    <w:pPr>
      <w:widowControl w:val="0"/>
      <w:pBdr>
        <w:top w:val="none" w:color="auto" w:sz="0" w:space="0"/>
        <w:left w:val="none" w:color="auto" w:sz="0" w:space="0"/>
        <w:bottom w:val="none" w:color="auto" w:sz="0" w:space="0"/>
        <w:right w:val="none" w:color="auto" w:sz="0" w:space="0"/>
        <w:between w:val="none" w:color="auto" w:sz="0" w:space="0"/>
      </w:pBdr>
      <w:ind w:left="2100" w:leftChars="1000"/>
    </w:pPr>
    <w:rPr>
      <w:rFonts w:hint="default" w:ascii="Times New Roman" w:hAnsi="Times New Roman" w:eastAsia="宋体" w:cs="Times New Roman"/>
      <w:color w:val="auto"/>
      <w:szCs w:val="24"/>
      <w:lang w:val="en-US" w:eastAsia="zh-CN"/>
    </w:rPr>
  </w:style>
  <w:style w:type="paragraph" w:styleId="37">
    <w:name w:val="List 5"/>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ind w:left="2100" w:hanging="420"/>
    </w:pPr>
    <w:rPr>
      <w:rFonts w:hint="default" w:ascii="Times New Roman" w:hAnsi="Times New Roman" w:eastAsia="楷体_GB2312" w:cs="Times New Roman"/>
      <w:color w:val="auto"/>
      <w:sz w:val="32"/>
      <w:szCs w:val="20"/>
      <w:lang w:val="en-US" w:eastAsia="zh-CN"/>
    </w:rPr>
  </w:style>
  <w:style w:type="paragraph" w:styleId="38">
    <w:name w:val="Body Text Indent 3"/>
    <w:basedOn w:val="1"/>
    <w:link w:val="82"/>
    <w:qFormat/>
    <w:uiPriority w:val="0"/>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9">
    <w:name w:val="table of figures"/>
    <w:basedOn w:val="1"/>
    <w:next w:val="1"/>
    <w:qFormat/>
    <w:uiPriority w:val="0"/>
    <w:pPr>
      <w:ind w:left="200" w:leftChars="200" w:hanging="200" w:hangingChars="200"/>
    </w:pPr>
    <w:rPr>
      <w:rFonts w:ascii="Times New Roman" w:hAnsi="Times New Roman"/>
    </w:rPr>
  </w:style>
  <w:style w:type="paragraph" w:styleId="40">
    <w:name w:val="toc 2"/>
    <w:basedOn w:val="1"/>
    <w:next w:val="1"/>
    <w:unhideWhenUsed/>
    <w:qFormat/>
    <w:uiPriority w:val="39"/>
    <w:pPr>
      <w:pBdr>
        <w:top w:val="none" w:color="auto" w:sz="0" w:space="0"/>
        <w:left w:val="none" w:color="auto" w:sz="0" w:space="0"/>
        <w:bottom w:val="none" w:color="auto" w:sz="0" w:space="0"/>
        <w:right w:val="none" w:color="auto" w:sz="0" w:space="0"/>
        <w:between w:val="none" w:color="auto" w:sz="0" w:space="0"/>
      </w:pBd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1">
    <w:name w:val="toc 9"/>
    <w:basedOn w:val="1"/>
    <w:next w:val="1"/>
    <w:qFormat/>
    <w:uiPriority w:val="39"/>
    <w:pPr>
      <w:widowControl w:val="0"/>
      <w:pBdr>
        <w:top w:val="none" w:color="auto" w:sz="0" w:space="0"/>
        <w:left w:val="none" w:color="auto" w:sz="0" w:space="0"/>
        <w:bottom w:val="none" w:color="auto" w:sz="0" w:space="0"/>
        <w:right w:val="none" w:color="auto" w:sz="0" w:space="0"/>
        <w:between w:val="none" w:color="auto" w:sz="0" w:space="0"/>
      </w:pBdr>
      <w:ind w:left="3360" w:leftChars="1600"/>
    </w:pPr>
    <w:rPr>
      <w:rFonts w:hint="default" w:ascii="Times New Roman" w:hAnsi="Times New Roman" w:eastAsia="宋体" w:cs="Times New Roman"/>
      <w:color w:val="auto"/>
      <w:szCs w:val="24"/>
      <w:lang w:val="en-US" w:eastAsia="zh-CN"/>
    </w:rPr>
  </w:style>
  <w:style w:type="paragraph" w:styleId="42">
    <w:name w:val="List 4"/>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ind w:left="1680" w:hanging="420"/>
    </w:pPr>
    <w:rPr>
      <w:rFonts w:hint="default" w:ascii="Times New Roman" w:hAnsi="Times New Roman" w:eastAsia="楷体_GB2312" w:cs="Times New Roman"/>
      <w:color w:val="auto"/>
      <w:sz w:val="32"/>
      <w:szCs w:val="20"/>
      <w:lang w:val="en-US" w:eastAsia="zh-CN"/>
    </w:rPr>
  </w:style>
  <w:style w:type="paragraph" w:styleId="4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5">
    <w:name w:val="Normal (Web)"/>
    <w:basedOn w:val="1"/>
    <w:qFormat/>
    <w:uiPriority w:val="9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6">
    <w:name w:val="index 1"/>
    <w:basedOn w:val="1"/>
    <w:next w:val="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Times New Roman" w:hAnsi="Times New Roman" w:eastAsia="宋体" w:cs="Times New Roman"/>
      <w:color w:val="auto"/>
      <w:szCs w:val="20"/>
      <w:lang w:val="en-US" w:eastAsia="zh-CN"/>
    </w:rPr>
  </w:style>
  <w:style w:type="paragraph" w:styleId="47">
    <w:name w:val="Title"/>
    <w:link w:val="83"/>
    <w:qFormat/>
    <w:uiPriority w:val="0"/>
    <w:pPr>
      <w:spacing w:before="240" w:after="60"/>
      <w:jc w:val="center"/>
    </w:pPr>
    <w:rPr>
      <w:rFonts w:ascii="Arial" w:hAnsi="Arial" w:eastAsia="Arial" w:cs="Times New Roman"/>
      <w:b/>
      <w:bCs/>
      <w:color w:val="000000"/>
      <w:sz w:val="32"/>
      <w:szCs w:val="32"/>
      <w:lang w:bidi="ar-SA"/>
    </w:rPr>
  </w:style>
  <w:style w:type="paragraph" w:styleId="48">
    <w:name w:val="annotation subject"/>
    <w:basedOn w:val="17"/>
    <w:next w:val="17"/>
    <w:link w:val="84"/>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b/>
      <w:bCs/>
      <w:color w:val="auto"/>
      <w:kern w:val="2"/>
      <w:sz w:val="21"/>
      <w:szCs w:val="24"/>
    </w:rPr>
  </w:style>
  <w:style w:type="paragraph" w:styleId="49">
    <w:name w:val="Body Text First Indent"/>
    <w:basedOn w:val="14"/>
    <w:next w:val="50"/>
    <w:link w:val="85"/>
    <w:qFormat/>
    <w:uiPriority w:val="0"/>
    <w:pPr>
      <w:spacing w:before="0" w:after="120" w:line="240" w:lineRule="auto"/>
      <w:ind w:firstLine="420"/>
    </w:pPr>
    <w:rPr>
      <w:rFonts w:ascii="Times New Roman" w:hAnsi="Times New Roman" w:eastAsia="楷体_GB2312"/>
      <w:sz w:val="32"/>
    </w:rPr>
  </w:style>
  <w:style w:type="paragraph" w:styleId="50">
    <w:name w:val="Body Text First Indent 2"/>
    <w:basedOn w:val="19"/>
    <w:next w:val="12"/>
    <w:link w:val="86"/>
    <w:unhideWhenUsed/>
    <w:qFormat/>
    <w:uiPriority w:val="99"/>
    <w:pPr>
      <w:spacing w:after="120" w:line="240" w:lineRule="auto"/>
      <w:ind w:left="420" w:leftChars="200" w:firstLine="420" w:firstLineChars="200"/>
    </w:pPr>
    <w:rPr>
      <w:rFonts w:ascii="Cambria" w:hAnsi="Cambria"/>
      <w:sz w:val="21"/>
    </w:rPr>
  </w:style>
  <w:style w:type="table" w:styleId="52">
    <w:name w:val="Table Grid"/>
    <w:basedOn w:val="51"/>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0"/>
    <w:rPr>
      <w:b/>
      <w:bCs/>
    </w:rPr>
  </w:style>
  <w:style w:type="character" w:styleId="55">
    <w:name w:val="page number"/>
    <w:qFormat/>
    <w:uiPriority w:val="0"/>
  </w:style>
  <w:style w:type="character" w:styleId="56">
    <w:name w:val="FollowedHyperlink"/>
    <w:qFormat/>
    <w:uiPriority w:val="0"/>
    <w:rPr>
      <w:color w:val="333333"/>
      <w:sz w:val="18"/>
      <w:szCs w:val="18"/>
      <w:u w:val="none"/>
    </w:rPr>
  </w:style>
  <w:style w:type="character" w:styleId="57">
    <w:name w:val="Hyperlink"/>
    <w:basedOn w:val="53"/>
    <w:qFormat/>
    <w:uiPriority w:val="99"/>
    <w:rPr>
      <w:u w:val="single"/>
    </w:rPr>
  </w:style>
  <w:style w:type="character" w:styleId="58">
    <w:name w:val="annotation reference"/>
    <w:unhideWhenUsed/>
    <w:qFormat/>
    <w:uiPriority w:val="99"/>
    <w:rPr>
      <w:sz w:val="21"/>
      <w:szCs w:val="21"/>
    </w:rPr>
  </w:style>
  <w:style w:type="character" w:styleId="59">
    <w:name w:val="footnote reference"/>
    <w:qFormat/>
    <w:uiPriority w:val="0"/>
    <w:rPr>
      <w:vertAlign w:val="superscript"/>
    </w:rPr>
  </w:style>
  <w:style w:type="character" w:customStyle="1" w:styleId="60">
    <w:name w:val="标题 2 Char"/>
    <w:link w:val="2"/>
    <w:qFormat/>
    <w:uiPriority w:val="0"/>
    <w:rPr>
      <w:rFonts w:ascii="Cambria" w:hAnsi="Cambria" w:eastAsia="宋体" w:cs="Times New Roman"/>
      <w:b/>
      <w:bCs/>
      <w:color w:val="000000"/>
      <w:sz w:val="32"/>
      <w:szCs w:val="32"/>
      <w:lang w:val="zh-TW" w:eastAsia="zh-TW"/>
    </w:rPr>
  </w:style>
  <w:style w:type="character" w:customStyle="1" w:styleId="61">
    <w:name w:val="标题 1 Char"/>
    <w:link w:val="3"/>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62">
    <w:name w:val="标题 3 Char"/>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63">
    <w:name w:val="标题 4 Char"/>
    <w:link w:val="5"/>
    <w:qFormat/>
    <w:uiPriority w:val="0"/>
    <w:rPr>
      <w:rFonts w:ascii="Arial" w:hAnsi="Arial" w:eastAsia="黑体"/>
      <w:b/>
      <w:kern w:val="2"/>
      <w:sz w:val="28"/>
      <w:szCs w:val="24"/>
    </w:rPr>
  </w:style>
  <w:style w:type="character" w:customStyle="1" w:styleId="64">
    <w:name w:val="标题 5 Char"/>
    <w:link w:val="6"/>
    <w:qFormat/>
    <w:uiPriority w:val="0"/>
    <w:rPr>
      <w:rFonts w:ascii="仿宋_GB2312" w:hAnsi="Times New Roman" w:eastAsia="仿宋_GB2312"/>
      <w:b/>
      <w:kern w:val="2"/>
      <w:sz w:val="28"/>
      <w:szCs w:val="32"/>
    </w:rPr>
  </w:style>
  <w:style w:type="character" w:customStyle="1" w:styleId="65">
    <w:name w:val="标题 6 Char"/>
    <w:link w:val="7"/>
    <w:qFormat/>
    <w:uiPriority w:val="0"/>
    <w:rPr>
      <w:rFonts w:ascii="Arial" w:hAnsi="Arial" w:eastAsia="黑体"/>
      <w:b/>
      <w:kern w:val="2"/>
      <w:sz w:val="24"/>
      <w:szCs w:val="32"/>
    </w:rPr>
  </w:style>
  <w:style w:type="character" w:customStyle="1" w:styleId="66">
    <w:name w:val="标题 7 Char"/>
    <w:link w:val="8"/>
    <w:qFormat/>
    <w:uiPriority w:val="0"/>
    <w:rPr>
      <w:rFonts w:ascii="仿宋_GB2312" w:hAnsi="Times New Roman" w:eastAsia="仿宋_GB2312"/>
      <w:b/>
      <w:kern w:val="2"/>
      <w:sz w:val="24"/>
      <w:szCs w:val="32"/>
    </w:rPr>
  </w:style>
  <w:style w:type="character" w:customStyle="1" w:styleId="67">
    <w:name w:val="标题 8 Char"/>
    <w:link w:val="9"/>
    <w:qFormat/>
    <w:uiPriority w:val="0"/>
    <w:rPr>
      <w:rFonts w:ascii="Arial" w:hAnsi="Arial" w:eastAsia="黑体"/>
      <w:kern w:val="2"/>
      <w:sz w:val="24"/>
      <w:szCs w:val="32"/>
    </w:rPr>
  </w:style>
  <w:style w:type="character" w:customStyle="1" w:styleId="68">
    <w:name w:val="标题 9 Char"/>
    <w:link w:val="10"/>
    <w:qFormat/>
    <w:uiPriority w:val="0"/>
    <w:rPr>
      <w:rFonts w:ascii="Arial" w:hAnsi="Arial" w:eastAsia="黑体"/>
      <w:kern w:val="2"/>
      <w:sz w:val="21"/>
      <w:szCs w:val="32"/>
    </w:rPr>
  </w:style>
  <w:style w:type="character" w:customStyle="1" w:styleId="69">
    <w:name w:val="正文缩进 Char"/>
    <w:link w:val="12"/>
    <w:qFormat/>
    <w:uiPriority w:val="0"/>
    <w:rPr>
      <w:rFonts w:ascii="宋体"/>
      <w:sz w:val="24"/>
    </w:rPr>
  </w:style>
  <w:style w:type="character" w:customStyle="1" w:styleId="70">
    <w:name w:val="正文文本 2 Char"/>
    <w:link w:val="13"/>
    <w:qFormat/>
    <w:uiPriority w:val="0"/>
    <w:rPr>
      <w:kern w:val="2"/>
      <w:sz w:val="21"/>
      <w:szCs w:val="24"/>
    </w:rPr>
  </w:style>
  <w:style w:type="character" w:customStyle="1" w:styleId="71">
    <w:name w:val="正文文本 Char"/>
    <w:link w:val="14"/>
    <w:qFormat/>
    <w:uiPriority w:val="0"/>
    <w:rPr>
      <w:rFonts w:ascii="宋体" w:hAnsi="宋体"/>
      <w:kern w:val="2"/>
      <w:sz w:val="24"/>
      <w:szCs w:val="24"/>
    </w:rPr>
  </w:style>
  <w:style w:type="character" w:customStyle="1" w:styleId="72">
    <w:name w:val="批注文字 Char"/>
    <w:link w:val="17"/>
    <w:qFormat/>
    <w:uiPriority w:val="0"/>
    <w:rPr>
      <w:rFonts w:ascii="Arial Unicode MS" w:hAnsi="Arial Unicode MS" w:eastAsia="Arial Unicode MS" w:cs="Arial Unicode MS"/>
      <w:color w:val="000000"/>
      <w:szCs w:val="21"/>
      <w:lang w:val="zh-TW" w:eastAsia="zh-TW"/>
    </w:rPr>
  </w:style>
  <w:style w:type="character" w:customStyle="1" w:styleId="73">
    <w:name w:val="正文文本 3 Char"/>
    <w:link w:val="18"/>
    <w:qFormat/>
    <w:uiPriority w:val="0"/>
    <w:rPr>
      <w:kern w:val="2"/>
      <w:sz w:val="16"/>
      <w:szCs w:val="16"/>
    </w:rPr>
  </w:style>
  <w:style w:type="character" w:customStyle="1" w:styleId="74">
    <w:name w:val="正文文本缩进 Char"/>
    <w:link w:val="19"/>
    <w:qFormat/>
    <w:uiPriority w:val="0"/>
    <w:rPr>
      <w:kern w:val="2"/>
      <w:sz w:val="24"/>
      <w:szCs w:val="24"/>
    </w:rPr>
  </w:style>
  <w:style w:type="character" w:customStyle="1" w:styleId="75">
    <w:name w:val="纯文本 Char1"/>
    <w:link w:val="25"/>
    <w:qFormat/>
    <w:uiPriority w:val="0"/>
    <w:rPr>
      <w:rFonts w:ascii="宋体" w:hAnsi="Courier New"/>
    </w:rPr>
  </w:style>
  <w:style w:type="character" w:customStyle="1" w:styleId="76">
    <w:name w:val="日期 Char"/>
    <w:link w:val="27"/>
    <w:qFormat/>
    <w:uiPriority w:val="99"/>
    <w:rPr>
      <w:rFonts w:ascii="仿宋_GB2312" w:hAnsi="宋体" w:eastAsia="仿宋_GB2312"/>
      <w:color w:val="000000"/>
      <w:kern w:val="2"/>
      <w:sz w:val="24"/>
      <w:szCs w:val="24"/>
    </w:rPr>
  </w:style>
  <w:style w:type="character" w:customStyle="1" w:styleId="77">
    <w:name w:val="正文文本缩进 2 Char"/>
    <w:link w:val="28"/>
    <w:qFormat/>
    <w:uiPriority w:val="0"/>
    <w:rPr>
      <w:rFonts w:ascii="仿宋_GB2312" w:eastAsia="仿宋_GB2312"/>
      <w:kern w:val="2"/>
      <w:sz w:val="24"/>
      <w:szCs w:val="24"/>
    </w:rPr>
  </w:style>
  <w:style w:type="character" w:customStyle="1" w:styleId="78">
    <w:name w:val="批注框文本 Char"/>
    <w:link w:val="29"/>
    <w:qFormat/>
    <w:uiPriority w:val="0"/>
    <w:rPr>
      <w:rFonts w:ascii="Arial Unicode MS" w:hAnsi="Arial Unicode MS" w:eastAsia="Arial Unicode MS" w:cs="Arial Unicode MS"/>
      <w:color w:val="000000"/>
      <w:sz w:val="18"/>
      <w:szCs w:val="18"/>
      <w:lang w:val="zh-TW" w:eastAsia="zh-TW"/>
    </w:rPr>
  </w:style>
  <w:style w:type="character" w:customStyle="1" w:styleId="79">
    <w:name w:val="页脚 Char"/>
    <w:link w:val="30"/>
    <w:qFormat/>
    <w:uiPriority w:val="99"/>
    <w:rPr>
      <w:rFonts w:ascii="宋体" w:hAnsi="宋体" w:eastAsia="宋体" w:cs="宋体"/>
      <w:color w:val="000000"/>
      <w:kern w:val="0"/>
      <w:sz w:val="18"/>
      <w:szCs w:val="18"/>
    </w:rPr>
  </w:style>
  <w:style w:type="character" w:customStyle="1" w:styleId="80">
    <w:name w:val="页眉 Char"/>
    <w:link w:val="31"/>
    <w:qFormat/>
    <w:uiPriority w:val="99"/>
    <w:rPr>
      <w:rFonts w:ascii="Arial Unicode MS" w:hAnsi="Arial Unicode MS" w:eastAsia="Arial Unicode MS" w:cs="Arial Unicode MS"/>
      <w:color w:val="000000"/>
      <w:sz w:val="18"/>
      <w:szCs w:val="18"/>
      <w:lang w:val="zh-TW" w:eastAsia="zh-TW"/>
    </w:rPr>
  </w:style>
  <w:style w:type="character" w:customStyle="1" w:styleId="81">
    <w:name w:val="脚注文本 Char"/>
    <w:link w:val="35"/>
    <w:qFormat/>
    <w:uiPriority w:val="0"/>
    <w:rPr>
      <w:kern w:val="2"/>
      <w:sz w:val="18"/>
      <w:szCs w:val="22"/>
    </w:rPr>
  </w:style>
  <w:style w:type="character" w:customStyle="1" w:styleId="82">
    <w:name w:val="正文文本缩进 3 Char"/>
    <w:link w:val="38"/>
    <w:qFormat/>
    <w:uiPriority w:val="0"/>
    <w:rPr>
      <w:rFonts w:ascii="宋体"/>
      <w:sz w:val="24"/>
    </w:rPr>
  </w:style>
  <w:style w:type="character" w:customStyle="1" w:styleId="83">
    <w:name w:val="标题 Char"/>
    <w:link w:val="47"/>
    <w:qFormat/>
    <w:uiPriority w:val="0"/>
    <w:rPr>
      <w:rFonts w:ascii="Arial" w:hAnsi="Arial" w:eastAsia="Arial"/>
      <w:b/>
      <w:bCs/>
      <w:color w:val="000000"/>
      <w:sz w:val="32"/>
      <w:szCs w:val="32"/>
      <w:lang w:bidi="ar-SA"/>
    </w:rPr>
  </w:style>
  <w:style w:type="character" w:customStyle="1" w:styleId="84">
    <w:name w:val="批注主题 Char"/>
    <w:link w:val="48"/>
    <w:qFormat/>
    <w:uiPriority w:val="0"/>
    <w:rPr>
      <w:b/>
      <w:bCs/>
      <w:kern w:val="2"/>
      <w:sz w:val="21"/>
      <w:szCs w:val="24"/>
    </w:rPr>
  </w:style>
  <w:style w:type="character" w:customStyle="1" w:styleId="85">
    <w:name w:val="正文首行缩进 Char"/>
    <w:link w:val="49"/>
    <w:qFormat/>
    <w:uiPriority w:val="0"/>
    <w:rPr>
      <w:rFonts w:eastAsia="楷体_GB2312"/>
      <w:kern w:val="2"/>
      <w:sz w:val="32"/>
      <w:szCs w:val="24"/>
    </w:rPr>
  </w:style>
  <w:style w:type="character" w:customStyle="1" w:styleId="86">
    <w:name w:val="正文首行缩进 2 Char"/>
    <w:link w:val="50"/>
    <w:qFormat/>
    <w:uiPriority w:val="99"/>
    <w:rPr>
      <w:rFonts w:ascii="Cambria" w:hAnsi="Cambria"/>
      <w:kern w:val="2"/>
      <w:sz w:val="21"/>
      <w:szCs w:val="24"/>
    </w:rPr>
  </w:style>
  <w:style w:type="paragraph" w:customStyle="1" w:styleId="87">
    <w:name w:val="Default"/>
    <w:next w:val="3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8">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89">
    <w:name w:val="正文文本缩进 2 Char1"/>
    <w:semiHidden/>
    <w:qFormat/>
    <w:uiPriority w:val="99"/>
    <w:rPr>
      <w:rFonts w:ascii="Times New Roman" w:hAnsi="Times New Roman" w:eastAsia="宋体" w:cs="Times New Roman"/>
      <w:szCs w:val="24"/>
    </w:rPr>
  </w:style>
  <w:style w:type="character" w:customStyle="1" w:styleId="90">
    <w:name w:val="正文文本缩进 3 Char1"/>
    <w:semiHidden/>
    <w:qFormat/>
    <w:uiPriority w:val="99"/>
    <w:rPr>
      <w:rFonts w:ascii="Times New Roman" w:hAnsi="Times New Roman" w:eastAsia="宋体" w:cs="Times New Roman"/>
      <w:sz w:val="16"/>
      <w:szCs w:val="16"/>
    </w:rPr>
  </w:style>
  <w:style w:type="character" w:customStyle="1" w:styleId="91">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92">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93">
    <w:name w:val="正文缩进 Char1"/>
    <w:link w:val="94"/>
    <w:qFormat/>
    <w:uiPriority w:val="0"/>
    <w:rPr>
      <w:rFonts w:ascii="宋体"/>
      <w:sz w:val="24"/>
    </w:rPr>
  </w:style>
  <w:style w:type="paragraph" w:customStyle="1" w:styleId="94">
    <w:name w:val="正文缩进1"/>
    <w:basedOn w:val="1"/>
    <w:link w:val="93"/>
    <w:qFormat/>
    <w:uiPriority w:val="0"/>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95">
    <w:name w:val="正文首行缩进 2 Char1"/>
    <w:semiHidden/>
    <w:qFormat/>
    <w:uiPriority w:val="99"/>
    <w:rPr>
      <w:lang w:val="zh-TW" w:eastAsia="zh-TW"/>
    </w:rPr>
  </w:style>
  <w:style w:type="character" w:customStyle="1" w:styleId="96">
    <w:name w:val="*正文 Char"/>
    <w:link w:val="97"/>
    <w:qFormat/>
    <w:uiPriority w:val="0"/>
    <w:rPr>
      <w:rFonts w:ascii="宋体" w:hAnsi="宋体"/>
      <w:sz w:val="22"/>
      <w:szCs w:val="24"/>
    </w:rPr>
  </w:style>
  <w:style w:type="paragraph" w:customStyle="1" w:styleId="97">
    <w:name w:val="*正文"/>
    <w:basedOn w:val="1"/>
    <w:link w:val="96"/>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200" w:firstLineChars="200"/>
    </w:pPr>
    <w:rPr>
      <w:rFonts w:hint="default" w:ascii="宋体" w:hAnsi="宋体" w:eastAsia="宋体" w:cs="Times New Roman"/>
      <w:color w:val="auto"/>
      <w:kern w:val="0"/>
      <w:sz w:val="22"/>
      <w:szCs w:val="24"/>
    </w:rPr>
  </w:style>
  <w:style w:type="character" w:customStyle="1" w:styleId="98">
    <w:name w:val="日期 Char1"/>
    <w:semiHidden/>
    <w:qFormat/>
    <w:uiPriority w:val="99"/>
    <w:rPr>
      <w:rFonts w:ascii="Times New Roman" w:hAnsi="Times New Roman" w:eastAsia="宋体" w:cs="Times New Roman"/>
      <w:szCs w:val="24"/>
    </w:rPr>
  </w:style>
  <w:style w:type="character" w:customStyle="1" w:styleId="99">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0">
    <w:name w:val="批注文字 Char2"/>
    <w:semiHidden/>
    <w:qFormat/>
    <w:uiPriority w:val="99"/>
    <w:rPr>
      <w:kern w:val="2"/>
      <w:sz w:val="21"/>
      <w:szCs w:val="24"/>
    </w:rPr>
  </w:style>
  <w:style w:type="character" w:customStyle="1" w:styleId="101">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2">
    <w:name w:val="页眉 Char2"/>
    <w:semiHidden/>
    <w:qFormat/>
    <w:uiPriority w:val="99"/>
    <w:rPr>
      <w:kern w:val="2"/>
      <w:sz w:val="18"/>
      <w:szCs w:val="18"/>
    </w:rPr>
  </w:style>
  <w:style w:type="character" w:customStyle="1" w:styleId="103">
    <w:name w:val="font61"/>
    <w:qFormat/>
    <w:uiPriority w:val="0"/>
    <w:rPr>
      <w:rFonts w:hint="eastAsia" w:ascii="宋体" w:hAnsi="宋体" w:eastAsia="宋体" w:cs="宋体"/>
      <w:color w:val="auto"/>
      <w:sz w:val="20"/>
      <w:szCs w:val="20"/>
      <w:u w:val="none"/>
    </w:rPr>
  </w:style>
  <w:style w:type="character" w:customStyle="1" w:styleId="104">
    <w:name w:val="NormalCharacter"/>
    <w:qFormat/>
    <w:uiPriority w:val="0"/>
    <w:rPr>
      <w:kern w:val="2"/>
      <w:sz w:val="21"/>
      <w:szCs w:val="24"/>
      <w:lang w:val="en-US" w:eastAsia="zh-CN" w:bidi="ar-SA"/>
    </w:rPr>
  </w:style>
  <w:style w:type="character" w:customStyle="1" w:styleId="105">
    <w:name w:val="未处理的提及"/>
    <w:unhideWhenUsed/>
    <w:qFormat/>
    <w:uiPriority w:val="99"/>
    <w:rPr>
      <w:color w:val="605E5C"/>
      <w:shd w:val="clear" w:color="auto" w:fill="E1DFDD"/>
    </w:rPr>
  </w:style>
  <w:style w:type="character" w:customStyle="1" w:styleId="106">
    <w:name w:val="apple-converted-space"/>
    <w:qFormat/>
    <w:uiPriority w:val="0"/>
  </w:style>
  <w:style w:type="character" w:customStyle="1" w:styleId="107">
    <w:name w:val="标题 Char2"/>
    <w:qFormat/>
    <w:uiPriority w:val="10"/>
    <w:rPr>
      <w:rFonts w:ascii="Cambria" w:hAnsi="Cambria" w:cs="Times New Roman"/>
      <w:b/>
      <w:bCs/>
      <w:kern w:val="2"/>
      <w:sz w:val="32"/>
      <w:szCs w:val="32"/>
    </w:rPr>
  </w:style>
  <w:style w:type="character" w:customStyle="1" w:styleId="108">
    <w:name w:val="批注框文本 Char1"/>
    <w:semiHidden/>
    <w:qFormat/>
    <w:uiPriority w:val="99"/>
    <w:rPr>
      <w:kern w:val="2"/>
      <w:sz w:val="18"/>
      <w:szCs w:val="18"/>
    </w:rPr>
  </w:style>
  <w:style w:type="character" w:customStyle="1" w:styleId="109">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0">
    <w:name w:val="标题 Char1"/>
    <w:qFormat/>
    <w:uiPriority w:val="10"/>
    <w:rPr>
      <w:rFonts w:ascii="Cambria" w:hAnsi="Cambria" w:eastAsia="宋体" w:cs="Times New Roman"/>
      <w:b/>
      <w:bCs/>
      <w:sz w:val="32"/>
      <w:szCs w:val="32"/>
    </w:rPr>
  </w:style>
  <w:style w:type="character" w:customStyle="1" w:styleId="111">
    <w:name w:val="批注框文本 Char2"/>
    <w:semiHidden/>
    <w:qFormat/>
    <w:uiPriority w:val="99"/>
    <w:rPr>
      <w:kern w:val="2"/>
      <w:sz w:val="18"/>
      <w:szCs w:val="18"/>
    </w:rPr>
  </w:style>
  <w:style w:type="character" w:customStyle="1" w:styleId="112">
    <w:name w:val="纯文本 Char"/>
    <w:qFormat/>
    <w:uiPriority w:val="0"/>
    <w:rPr>
      <w:rFonts w:ascii="宋体" w:hAnsi="Courier New" w:cs="Courier New"/>
      <w:color w:val="000000"/>
      <w:kern w:val="2"/>
      <w:sz w:val="21"/>
      <w:szCs w:val="21"/>
      <w:lang w:val="zh-TW" w:eastAsia="zh-TW"/>
    </w:rPr>
  </w:style>
  <w:style w:type="character" w:customStyle="1" w:styleId="113">
    <w:name w:val="正文文本缩进 Char1"/>
    <w:semiHidden/>
    <w:qFormat/>
    <w:uiPriority w:val="99"/>
    <w:rPr>
      <w:rFonts w:ascii="Times New Roman" w:hAnsi="Times New Roman" w:eastAsia="宋体" w:cs="Times New Roman"/>
      <w:szCs w:val="24"/>
    </w:rPr>
  </w:style>
  <w:style w:type="character" w:customStyle="1" w:styleId="114">
    <w:name w:val="dash6b63_6587__char1"/>
    <w:qFormat/>
    <w:uiPriority w:val="0"/>
    <w:rPr>
      <w:rFonts w:hint="default" w:ascii="Calibri" w:hAnsi="Calibri" w:cs="Calibri"/>
      <w:sz w:val="20"/>
      <w:szCs w:val="20"/>
    </w:rPr>
  </w:style>
  <w:style w:type="character" w:customStyle="1" w:styleId="115">
    <w:name w:val="pt91"/>
    <w:qFormat/>
    <w:uiPriority w:val="0"/>
    <w:rPr>
      <w:rFonts w:hint="default"/>
      <w:color w:val="333333"/>
      <w:sz w:val="18"/>
      <w:szCs w:val="18"/>
    </w:rPr>
  </w:style>
  <w:style w:type="character" w:customStyle="1" w:styleId="116">
    <w:name w:val="p141"/>
    <w:qFormat/>
    <w:uiPriority w:val="99"/>
    <w:rPr>
      <w:sz w:val="21"/>
      <w:szCs w:val="21"/>
    </w:rPr>
  </w:style>
  <w:style w:type="character" w:customStyle="1" w:styleId="117">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8">
    <w:name w:val="fontstyle01"/>
    <w:qFormat/>
    <w:uiPriority w:val="0"/>
    <w:rPr>
      <w:rFonts w:hint="default" w:ascii="Times New Roman" w:hAnsi="Times New Roman" w:cs="Times New Roman"/>
      <w:color w:val="000000"/>
      <w:sz w:val="24"/>
      <w:szCs w:val="24"/>
    </w:rPr>
  </w:style>
  <w:style w:type="character" w:customStyle="1" w:styleId="119">
    <w:name w:val="fontstyle11"/>
    <w:qFormat/>
    <w:uiPriority w:val="0"/>
    <w:rPr>
      <w:rFonts w:hint="default" w:ascii="Times New Roman" w:hAnsi="Times New Roman" w:cs="Times New Roman"/>
      <w:color w:val="000000"/>
      <w:sz w:val="18"/>
      <w:szCs w:val="18"/>
    </w:rPr>
  </w:style>
  <w:style w:type="character" w:customStyle="1" w:styleId="120">
    <w:name w:val="批注文字 Char1"/>
    <w:semiHidden/>
    <w:qFormat/>
    <w:uiPriority w:val="99"/>
    <w:rPr>
      <w:kern w:val="2"/>
      <w:sz w:val="21"/>
      <w:szCs w:val="24"/>
    </w:rPr>
  </w:style>
  <w:style w:type="character" w:customStyle="1" w:styleId="121">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2">
    <w:name w:val="fontstyle21"/>
    <w:qFormat/>
    <w:uiPriority w:val="0"/>
    <w:rPr>
      <w:rFonts w:hint="eastAsia" w:ascii="宋体" w:hAnsi="宋体" w:eastAsia="宋体"/>
      <w:color w:val="000000"/>
      <w:sz w:val="24"/>
      <w:szCs w:val="24"/>
    </w:rPr>
  </w:style>
  <w:style w:type="character" w:customStyle="1" w:styleId="123">
    <w:name w:val="页脚 Char1"/>
    <w:semiHidden/>
    <w:qFormat/>
    <w:uiPriority w:val="99"/>
    <w:rPr>
      <w:kern w:val="2"/>
      <w:sz w:val="18"/>
      <w:szCs w:val="18"/>
    </w:rPr>
  </w:style>
  <w:style w:type="character" w:customStyle="1" w:styleId="124">
    <w:name w:val="wen11"/>
    <w:qFormat/>
    <w:uiPriority w:val="0"/>
    <w:rPr>
      <w:color w:val="000000"/>
      <w:sz w:val="21"/>
      <w:szCs w:val="21"/>
    </w:rPr>
  </w:style>
  <w:style w:type="character" w:customStyle="1" w:styleId="125">
    <w:name w:val="正文首行缩进 Char1"/>
    <w:semiHidden/>
    <w:qFormat/>
    <w:uiPriority w:val="99"/>
    <w:rPr>
      <w:lang w:val="zh-TW" w:eastAsia="zh-TW"/>
    </w:rPr>
  </w:style>
  <w:style w:type="character" w:customStyle="1" w:styleId="126">
    <w:name w:val="脚注文本 Char1"/>
    <w:semiHidden/>
    <w:qFormat/>
    <w:uiPriority w:val="99"/>
    <w:rPr>
      <w:rFonts w:ascii="Times New Roman" w:hAnsi="Times New Roman" w:eastAsia="宋体" w:cs="Times New Roman"/>
      <w:sz w:val="18"/>
      <w:szCs w:val="18"/>
    </w:rPr>
  </w:style>
  <w:style w:type="character" w:customStyle="1" w:styleId="127">
    <w:name w:val="unnamed11"/>
    <w:qFormat/>
    <w:uiPriority w:val="0"/>
    <w:rPr>
      <w:rFonts w:hint="default" w:ascii="Arial" w:hAnsi="Arial" w:cs="Arial"/>
      <w:color w:val="000000"/>
      <w:sz w:val="18"/>
      <w:szCs w:val="18"/>
      <w:u w:val="none"/>
    </w:rPr>
  </w:style>
  <w:style w:type="character" w:customStyle="1" w:styleId="128">
    <w:name w:val="正文文本 字符"/>
    <w:qFormat/>
    <w:uiPriority w:val="0"/>
    <w:rPr>
      <w:rFonts w:ascii="宋体" w:hAnsi="宋体"/>
      <w:kern w:val="2"/>
      <w:sz w:val="24"/>
      <w:szCs w:val="24"/>
    </w:rPr>
  </w:style>
  <w:style w:type="character" w:customStyle="1" w:styleId="129">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30">
    <w:name w:val="纯文本 Char2"/>
    <w:semiHidden/>
    <w:qFormat/>
    <w:uiPriority w:val="99"/>
    <w:rPr>
      <w:rFonts w:ascii="宋体" w:hAnsi="Courier New" w:eastAsia="宋体" w:cs="Courier New"/>
      <w:szCs w:val="21"/>
    </w:rPr>
  </w:style>
  <w:style w:type="character" w:customStyle="1" w:styleId="131">
    <w:name w:val="正文文本 Char1"/>
    <w:semiHidden/>
    <w:qFormat/>
    <w:uiPriority w:val="99"/>
    <w:rPr>
      <w:rFonts w:ascii="Times New Roman" w:hAnsi="Times New Roman" w:eastAsia="宋体" w:cs="Times New Roman"/>
      <w:szCs w:val="24"/>
    </w:rPr>
  </w:style>
  <w:style w:type="character" w:customStyle="1" w:styleId="132">
    <w:name w:val="页眉 Char1"/>
    <w:semiHidden/>
    <w:qFormat/>
    <w:uiPriority w:val="99"/>
    <w:rPr>
      <w:kern w:val="2"/>
      <w:sz w:val="18"/>
      <w:szCs w:val="18"/>
    </w:rPr>
  </w:style>
  <w:style w:type="character" w:customStyle="1" w:styleId="133">
    <w:name w:val="Char Char2"/>
    <w:qFormat/>
    <w:uiPriority w:val="0"/>
    <w:rPr>
      <w:rFonts w:ascii="宋体" w:hAnsi="Courier New" w:eastAsia="宋体" w:cs="Courier New"/>
      <w:kern w:val="2"/>
      <w:sz w:val="21"/>
      <w:szCs w:val="21"/>
      <w:lang w:val="en-US" w:eastAsia="zh-CN" w:bidi="ar-SA"/>
    </w:rPr>
  </w:style>
  <w:style w:type="character" w:customStyle="1" w:styleId="134">
    <w:name w:val="批注主题 Char1"/>
    <w:semiHidden/>
    <w:qFormat/>
    <w:uiPriority w:val="99"/>
    <w:rPr>
      <w:b/>
      <w:bCs/>
      <w:kern w:val="2"/>
      <w:sz w:val="21"/>
      <w:szCs w:val="24"/>
    </w:rPr>
  </w:style>
  <w:style w:type="character" w:customStyle="1" w:styleId="135">
    <w:name w:val="p12h15"/>
    <w:qFormat/>
    <w:uiPriority w:val="0"/>
  </w:style>
  <w:style w:type="character" w:customStyle="1" w:styleId="136">
    <w:name w:val="纯文本 Char3"/>
    <w:semiHidden/>
    <w:qFormat/>
    <w:uiPriority w:val="99"/>
    <w:rPr>
      <w:rFonts w:ascii="宋体" w:hAnsi="Courier New" w:cs="Courier New"/>
      <w:kern w:val="2"/>
      <w:sz w:val="21"/>
      <w:szCs w:val="21"/>
    </w:rPr>
  </w:style>
  <w:style w:type="paragraph" w:customStyle="1" w:styleId="137">
    <w:name w:val="Body text|1"/>
    <w:basedOn w:val="1"/>
    <w:qFormat/>
    <w:uiPriority w:val="99"/>
    <w:pPr>
      <w:spacing w:line="394" w:lineRule="auto"/>
      <w:ind w:firstLine="400"/>
      <w:jc w:val="left"/>
    </w:pPr>
    <w:rPr>
      <w:rFonts w:ascii="宋体" w:hAnsi="宋体" w:cs="宋体"/>
      <w:kern w:val="0"/>
      <w:sz w:val="30"/>
      <w:szCs w:val="30"/>
      <w:lang w:val="zh-TW" w:eastAsia="zh-TW"/>
    </w:rPr>
  </w:style>
  <w:style w:type="paragraph" w:customStyle="1" w:styleId="138">
    <w:name w:val="无间隔1"/>
    <w:basedOn w:val="1"/>
    <w:qFormat/>
    <w:uiPriority w:val="1"/>
    <w:pPr>
      <w:spacing w:line="400" w:lineRule="exact"/>
    </w:pPr>
    <w:rPr>
      <w:sz w:val="24"/>
    </w:rPr>
  </w:style>
  <w:style w:type="paragraph" w:customStyle="1" w:styleId="139">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40">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41">
    <w:name w:val="List Paragraph1"/>
    <w:basedOn w:val="1"/>
    <w:qFormat/>
    <w:uiPriority w:val="1"/>
    <w:pPr>
      <w:widowControl w:val="0"/>
      <w:pBdr>
        <w:top w:val="none" w:color="auto" w:sz="0" w:space="0"/>
        <w:left w:val="none" w:color="auto" w:sz="0" w:space="0"/>
        <w:bottom w:val="none" w:color="auto" w:sz="0" w:space="0"/>
        <w:right w:val="none" w:color="auto" w:sz="0" w:space="0"/>
        <w:between w:val="none" w:color="auto" w:sz="0" w:space="0"/>
      </w:pBdr>
      <w:ind w:firstLine="420" w:firstLineChars="200"/>
    </w:pPr>
    <w:rPr>
      <w:rFonts w:hint="default" w:ascii="Calibri" w:hAnsi="Calibri" w:eastAsia="宋体" w:cs="Times New Roman"/>
      <w:color w:val="auto"/>
      <w:lang w:val="en-US" w:eastAsia="zh-CN"/>
    </w:rPr>
  </w:style>
  <w:style w:type="paragraph" w:customStyle="1" w:styleId="142">
    <w:name w:val="xl39"/>
    <w:basedOn w:val="1"/>
    <w:qFormat/>
    <w:uiPriority w:val="0"/>
    <w:pPr>
      <w:pBdr>
        <w:top w:val="single" w:color="auto" w:sz="4" w:space="0"/>
        <w:left w:val="single" w:color="auto" w:sz="8" w:space="0"/>
        <w:bottom w:val="single" w:color="auto" w:sz="8" w:space="0"/>
        <w:right w:val="single" w:color="auto" w:sz="4" w:space="0"/>
        <w:between w:val="none" w:color="auto" w:sz="0"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43">
    <w:name w:val="不缩进"/>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jc w:val="center"/>
    </w:pPr>
    <w:rPr>
      <w:rFonts w:hint="default" w:ascii="仿宋_GB2312" w:hAnsi="宋体" w:eastAsia="仿宋_GB2312" w:cs="Times New Roman"/>
      <w:color w:val="auto"/>
      <w:szCs w:val="24"/>
      <w:lang w:val="en-US" w:eastAsia="zh-CN"/>
    </w:rPr>
  </w:style>
  <w:style w:type="paragraph" w:customStyle="1" w:styleId="144">
    <w:name w:val="xl48"/>
    <w:basedOn w:val="1"/>
    <w:qFormat/>
    <w:uiPriority w:val="0"/>
    <w:pPr>
      <w:pBdr>
        <w:top w:val="single" w:color="auto" w:sz="4" w:space="0"/>
        <w:left w:val="single" w:color="auto" w:sz="4" w:space="0"/>
        <w:bottom w:val="none" w:color="auto" w:sz="0"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45">
    <w:name w:val="xl38"/>
    <w:basedOn w:val="1"/>
    <w:qFormat/>
    <w:uiPriority w:val="0"/>
    <w:pPr>
      <w:pBdr>
        <w:top w:val="single" w:color="auto" w:sz="4" w:space="0"/>
        <w:left w:val="single" w:color="auto" w:sz="4" w:space="0"/>
        <w:bottom w:val="single" w:color="auto" w:sz="4" w:space="0"/>
        <w:right w:val="single" w:color="auto" w:sz="4" w:space="0"/>
        <w:between w:val="none" w:color="auto" w:sz="0"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4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47">
    <w:name w:val="xl41"/>
    <w:basedOn w:val="1"/>
    <w:qFormat/>
    <w:uiPriority w:val="0"/>
    <w:pPr>
      <w:pBdr>
        <w:top w:val="single" w:color="auto" w:sz="4" w:space="0"/>
        <w:left w:val="single" w:color="auto" w:sz="4" w:space="0"/>
        <w:bottom w:val="single" w:color="auto" w:sz="4"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48">
    <w:name w:val="xl43"/>
    <w:basedOn w:val="1"/>
    <w:qFormat/>
    <w:uiPriority w:val="0"/>
    <w:pPr>
      <w:pBdr>
        <w:top w:val="single" w:color="auto" w:sz="4" w:space="0"/>
        <w:left w:val="single" w:color="auto" w:sz="8" w:space="0"/>
        <w:bottom w:val="single" w:color="auto" w:sz="4"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49">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50">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51">
    <w:name w:val="小标题 3"/>
    <w:next w:val="152"/>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52">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5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55">
    <w:name w:val="xl33"/>
    <w:basedOn w:val="1"/>
    <w:qFormat/>
    <w:uiPriority w:val="0"/>
    <w:pPr>
      <w:pBdr>
        <w:top w:val="single" w:color="auto" w:sz="4" w:space="0"/>
        <w:left w:val="single" w:color="auto" w:sz="4" w:space="0"/>
        <w:bottom w:val="single" w:color="auto" w:sz="4" w:space="0"/>
        <w:right w:val="single" w:color="auto" w:sz="8" w:space="0"/>
        <w:between w:val="none" w:color="auto" w:sz="0"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6">
    <w:name w:val="WPSOffice手动目录 3"/>
    <w:qFormat/>
    <w:uiPriority w:val="0"/>
    <w:pPr>
      <w:ind w:leftChars="400"/>
    </w:pPr>
    <w:rPr>
      <w:rFonts w:ascii="Times New Roman" w:hAnsi="Times New Roman" w:eastAsia="宋体" w:cs="Times New Roman"/>
      <w:lang w:val="en-US" w:eastAsia="zh-CN" w:bidi="ar-SA"/>
    </w:rPr>
  </w:style>
  <w:style w:type="paragraph" w:customStyle="1" w:styleId="157">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58">
    <w:name w:val="Table Paragraph"/>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jc w:val="left"/>
    </w:pPr>
    <w:rPr>
      <w:rFonts w:hint="default" w:ascii="Calibri" w:hAnsi="Calibri" w:eastAsia="宋体" w:cs="Times New Roman"/>
      <w:color w:val="auto"/>
      <w:kern w:val="0"/>
      <w:sz w:val="22"/>
      <w:szCs w:val="22"/>
      <w:lang w:val="en-US" w:eastAsia="en-US"/>
    </w:rPr>
  </w:style>
  <w:style w:type="paragraph" w:customStyle="1" w:styleId="159">
    <w:name w:val="font7"/>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0">
    <w:name w:val="xl45"/>
    <w:basedOn w:val="1"/>
    <w:qFormat/>
    <w:uiPriority w:val="0"/>
    <w:pPr>
      <w:pBdr>
        <w:top w:val="single" w:color="auto" w:sz="4" w:space="0"/>
        <w:left w:val="single" w:color="auto" w:sz="4" w:space="0"/>
        <w:bottom w:val="none" w:color="auto" w:sz="0"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1">
    <w:name w:val="索引 11"/>
    <w:basedOn w:val="1"/>
    <w:next w:val="1"/>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pPr>
    <w:rPr>
      <w:rFonts w:hint="default" w:ascii="仿宋_GB2312" w:hAnsi="Times New Roman" w:eastAsia="仿宋_GB2312" w:cs="Times New Roman"/>
      <w:color w:val="auto"/>
      <w:sz w:val="24"/>
      <w:szCs w:val="20"/>
      <w:lang w:val="en-US" w:eastAsia="zh-CN"/>
    </w:rPr>
  </w:style>
  <w:style w:type="paragraph" w:customStyle="1" w:styleId="162">
    <w:name w:val="xl36"/>
    <w:basedOn w:val="1"/>
    <w:qFormat/>
    <w:uiPriority w:val="0"/>
    <w:pPr>
      <w:pBdr>
        <w:top w:val="single" w:color="auto" w:sz="4" w:space="0"/>
        <w:left w:val="single" w:color="auto" w:sz="4" w:space="0"/>
        <w:bottom w:val="single" w:color="auto" w:sz="8" w:space="0"/>
        <w:right w:val="single" w:color="auto" w:sz="4" w:space="0"/>
        <w:between w:val="none" w:color="auto" w:sz="0"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63">
    <w:name w:val="xl49"/>
    <w:basedOn w:val="1"/>
    <w:qFormat/>
    <w:uiPriority w:val="0"/>
    <w:pPr>
      <w:pBdr>
        <w:top w:val="none" w:color="auto" w:sz="0" w:space="0"/>
        <w:left w:val="single" w:color="auto" w:sz="4" w:space="0"/>
        <w:bottom w:val="none" w:color="auto" w:sz="0"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4">
    <w:name w:val="_Style 160"/>
    <w:basedOn w:val="3"/>
    <w:next w:val="1"/>
    <w:qFormat/>
    <w:uiPriority w:val="39"/>
    <w:pPr>
      <w:pBdr>
        <w:top w:val="none" w:color="auto" w:sz="0" w:space="0"/>
        <w:left w:val="none" w:color="auto" w:sz="0" w:space="0"/>
        <w:bottom w:val="none" w:color="auto" w:sz="0" w:space="0"/>
        <w:right w:val="none" w:color="auto" w:sz="0" w:space="0"/>
        <w:between w:val="none" w:color="auto" w:sz="0" w:space="0"/>
      </w:pBd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165">
    <w:name w:val="xl26"/>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66">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68">
    <w:name w:val="font5"/>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69">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70">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71">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72">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Blockquote"/>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74">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5">
    <w:name w:val="List Paragraph"/>
    <w:basedOn w:val="1"/>
    <w:qFormat/>
    <w:uiPriority w:val="34"/>
    <w:pPr>
      <w:pBdr>
        <w:top w:val="none" w:color="auto" w:sz="0" w:space="0"/>
        <w:left w:val="none" w:color="auto" w:sz="0" w:space="0"/>
        <w:bottom w:val="none" w:color="auto" w:sz="0" w:space="0"/>
        <w:right w:val="none" w:color="auto" w:sz="0" w:space="0"/>
        <w:between w:val="none" w:color="auto" w:sz="0" w:space="0"/>
      </w:pBd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76">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77">
    <w:name w:val="xl32"/>
    <w:basedOn w:val="1"/>
    <w:qFormat/>
    <w:uiPriority w:val="0"/>
    <w:pPr>
      <w:pBdr>
        <w:top w:val="single" w:color="auto" w:sz="4" w:space="0"/>
        <w:left w:val="single" w:color="auto" w:sz="4" w:space="0"/>
        <w:bottom w:val="single" w:color="auto" w:sz="8"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8">
    <w:name w:val="列出段落1"/>
    <w:basedOn w:val="1"/>
    <w:qFormat/>
    <w:uiPriority w:val="34"/>
    <w:pPr>
      <w:widowControl w:val="0"/>
      <w:pBdr>
        <w:top w:val="none" w:color="auto" w:sz="0" w:space="0"/>
        <w:left w:val="none" w:color="auto" w:sz="0" w:space="0"/>
        <w:bottom w:val="none" w:color="auto" w:sz="0" w:space="0"/>
        <w:right w:val="none" w:color="auto" w:sz="0" w:space="0"/>
        <w:between w:val="none" w:color="auto" w:sz="0" w:space="0"/>
      </w:pBdr>
      <w:ind w:firstLine="420" w:firstLineChars="200"/>
    </w:pPr>
    <w:rPr>
      <w:rFonts w:hint="default" w:ascii="Calibri" w:hAnsi="Calibri" w:eastAsia="宋体" w:cs="Times New Roman"/>
      <w:color w:val="auto"/>
      <w:szCs w:val="22"/>
      <w:lang w:val="en-US" w:eastAsia="zh-CN"/>
    </w:rPr>
  </w:style>
  <w:style w:type="paragraph" w:customStyle="1" w:styleId="179">
    <w:name w:val="xl29"/>
    <w:basedOn w:val="1"/>
    <w:qFormat/>
    <w:uiPriority w:val="0"/>
    <w:pPr>
      <w:pBdr>
        <w:top w:val="single" w:color="auto" w:sz="4" w:space="0"/>
        <w:left w:val="single" w:color="auto" w:sz="4" w:space="0"/>
        <w:bottom w:val="single" w:color="auto" w:sz="4"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0">
    <w:name w:val="xl46"/>
    <w:basedOn w:val="1"/>
    <w:qFormat/>
    <w:uiPriority w:val="0"/>
    <w:pPr>
      <w:pBdr>
        <w:top w:val="none" w:color="auto" w:sz="0" w:space="0"/>
        <w:left w:val="single" w:color="auto" w:sz="4" w:space="0"/>
        <w:bottom w:val="none" w:color="auto" w:sz="0"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1">
    <w:name w:val="xl31"/>
    <w:basedOn w:val="1"/>
    <w:qFormat/>
    <w:uiPriority w:val="0"/>
    <w:pPr>
      <w:pBdr>
        <w:top w:val="single" w:color="auto" w:sz="4" w:space="0"/>
        <w:left w:val="single" w:color="auto" w:sz="4" w:space="0"/>
        <w:bottom w:val="single" w:color="auto" w:sz="8"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2">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83">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84">
    <w:name w:val="xl35"/>
    <w:basedOn w:val="1"/>
    <w:qFormat/>
    <w:uiPriority w:val="0"/>
    <w:pPr>
      <w:pBdr>
        <w:top w:val="single" w:color="auto" w:sz="4" w:space="0"/>
        <w:left w:val="single" w:color="auto" w:sz="8" w:space="0"/>
        <w:bottom w:val="single" w:color="auto" w:sz="8" w:space="0"/>
        <w:right w:val="single" w:color="auto" w:sz="4" w:space="0"/>
        <w:between w:val="none" w:color="auto" w:sz="0"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85">
    <w:name w:val="xl40"/>
    <w:basedOn w:val="1"/>
    <w:qFormat/>
    <w:uiPriority w:val="0"/>
    <w:pPr>
      <w:pBdr>
        <w:top w:val="single" w:color="auto" w:sz="4" w:space="0"/>
        <w:left w:val="single" w:color="auto" w:sz="4" w:space="0"/>
        <w:bottom w:val="single" w:color="auto" w:sz="8" w:space="0"/>
        <w:right w:val="single" w:color="auto" w:sz="4" w:space="0"/>
        <w:between w:val="none" w:color="auto" w:sz="0"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xl27"/>
    <w:basedOn w:val="1"/>
    <w:qFormat/>
    <w:uiPriority w:val="0"/>
    <w:pPr>
      <w:pBdr>
        <w:top w:val="single" w:color="auto" w:sz="4" w:space="0"/>
        <w:left w:val="single" w:color="auto" w:sz="8" w:space="0"/>
        <w:bottom w:val="single" w:color="auto" w:sz="4"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8">
    <w:name w:val="样式 目录 2 + 左侧:  2 字符"/>
    <w:basedOn w:val="40"/>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189">
    <w:name w:val="xl28"/>
    <w:basedOn w:val="1"/>
    <w:qFormat/>
    <w:uiPriority w:val="0"/>
    <w:pPr>
      <w:pBdr>
        <w:top w:val="single" w:color="auto" w:sz="4" w:space="0"/>
        <w:left w:val="single" w:color="auto" w:sz="4" w:space="0"/>
        <w:bottom w:val="single" w:color="auto" w:sz="4"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0">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1">
    <w:name w:val="Char1 Char Char Char Char Char Char"/>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Tahoma" w:hAnsi="Tahoma" w:eastAsia="宋体" w:cs="Times New Roman"/>
      <w:color w:val="auto"/>
      <w:sz w:val="24"/>
      <w:szCs w:val="20"/>
      <w:lang w:val="en-US" w:eastAsia="zh-CN"/>
    </w:rPr>
  </w:style>
  <w:style w:type="paragraph" w:customStyle="1" w:styleId="192">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font6"/>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94">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Char"/>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left" w:pos="360"/>
      </w:tabs>
    </w:pPr>
    <w:rPr>
      <w:rFonts w:hint="default" w:ascii="Times New Roman" w:hAnsi="Times New Roman" w:eastAsia="宋体" w:cs="Times New Roman"/>
      <w:color w:val="auto"/>
      <w:sz w:val="24"/>
      <w:szCs w:val="24"/>
      <w:lang w:val="en-US" w:eastAsia="zh-CN"/>
    </w:rPr>
  </w:style>
  <w:style w:type="paragraph" w:customStyle="1" w:styleId="196">
    <w:name w:val="xl25"/>
    <w:basedOn w:val="1"/>
    <w:qFormat/>
    <w:uiPriority w:val="0"/>
    <w:pPr>
      <w:pBdr>
        <w:top w:val="single" w:color="auto" w:sz="8" w:space="0"/>
        <w:left w:val="single" w:color="auto" w:sz="4" w:space="0"/>
        <w:bottom w:val="single" w:color="auto" w:sz="4"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97">
    <w:name w:val="列出段落11"/>
    <w:basedOn w:val="1"/>
    <w:qFormat/>
    <w:uiPriority w:val="0"/>
    <w:pPr>
      <w:pBdr>
        <w:top w:val="none" w:color="auto" w:sz="0" w:space="0"/>
        <w:left w:val="none" w:color="auto" w:sz="0" w:space="0"/>
        <w:bottom w:val="none" w:color="auto" w:sz="0" w:space="0"/>
        <w:right w:val="none" w:color="auto" w:sz="0" w:space="0"/>
        <w:between w:val="none" w:color="auto" w:sz="0" w:space="0"/>
      </w:pBd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198">
    <w:name w:val="xl44"/>
    <w:basedOn w:val="1"/>
    <w:qFormat/>
    <w:uiPriority w:val="0"/>
    <w:pPr>
      <w:pBdr>
        <w:top w:val="single" w:color="auto" w:sz="4" w:space="0"/>
        <w:left w:val="single" w:color="auto" w:sz="8" w:space="0"/>
        <w:bottom w:val="single" w:color="auto" w:sz="8"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9">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xl37"/>
    <w:basedOn w:val="1"/>
    <w:qFormat/>
    <w:uiPriority w:val="0"/>
    <w:pPr>
      <w:pBdr>
        <w:top w:val="single" w:color="auto" w:sz="4" w:space="0"/>
        <w:left w:val="single" w:color="auto" w:sz="8" w:space="0"/>
        <w:bottom w:val="single" w:color="auto" w:sz="4" w:space="0"/>
        <w:right w:val="single" w:color="auto" w:sz="4" w:space="0"/>
        <w:between w:val="none" w:color="auto" w:sz="0"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1">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2">
    <w:name w:val="xl50"/>
    <w:basedOn w:val="1"/>
    <w:qFormat/>
    <w:uiPriority w:val="0"/>
    <w:pPr>
      <w:pBdr>
        <w:top w:val="none" w:color="auto" w:sz="0" w:space="0"/>
        <w:left w:val="single" w:color="auto" w:sz="4" w:space="0"/>
        <w:bottom w:val="single" w:color="auto" w:sz="4"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4">
    <w:name w:val="xl30"/>
    <w:basedOn w:val="1"/>
    <w:qFormat/>
    <w:uiPriority w:val="0"/>
    <w:pPr>
      <w:pBdr>
        <w:top w:val="single" w:color="auto" w:sz="4" w:space="0"/>
        <w:left w:val="single" w:color="auto" w:sz="8" w:space="0"/>
        <w:bottom w:val="single" w:color="auto" w:sz="8"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5">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06">
    <w:name w:val="font8"/>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7">
    <w:name w:val="默认段落字体 Para Char Char Char Char"/>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Times New Roman" w:hAnsi="Times New Roman" w:eastAsia="宋体" w:cs="Times New Roman"/>
      <w:color w:val="auto"/>
      <w:szCs w:val="24"/>
      <w:lang w:val="en-US" w:eastAsia="zh-CN"/>
    </w:rPr>
  </w:style>
  <w:style w:type="paragraph" w:customStyle="1" w:styleId="208">
    <w:name w:val="xl34"/>
    <w:basedOn w:val="1"/>
    <w:qFormat/>
    <w:uiPriority w:val="0"/>
    <w:pPr>
      <w:pBdr>
        <w:top w:val="single" w:color="auto" w:sz="4" w:space="0"/>
        <w:left w:val="single" w:color="auto" w:sz="4" w:space="0"/>
        <w:bottom w:val="single" w:color="auto" w:sz="8" w:space="0"/>
        <w:right w:val="single" w:color="auto" w:sz="8" w:space="0"/>
        <w:between w:val="none" w:color="auto" w:sz="0"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9">
    <w:name w:val="Char Char Char Char"/>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Times New Roman" w:hAnsi="Times New Roman" w:eastAsia="宋体" w:cs="Times New Roman"/>
      <w:color w:val="auto"/>
      <w:szCs w:val="24"/>
      <w:lang w:val="en-US" w:eastAsia="zh-CN"/>
    </w:rPr>
  </w:style>
  <w:style w:type="paragraph" w:customStyle="1" w:styleId="210">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11">
    <w:name w:val="xl51"/>
    <w:basedOn w:val="1"/>
    <w:qFormat/>
    <w:uiPriority w:val="0"/>
    <w:pPr>
      <w:pBdr>
        <w:top w:val="none" w:color="auto" w:sz="0" w:space="0"/>
        <w:left w:val="single" w:color="auto" w:sz="4" w:space="0"/>
        <w:bottom w:val="single" w:color="auto" w:sz="8"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2">
    <w:name w:val="xl72"/>
    <w:basedOn w:val="1"/>
    <w:next w:val="27"/>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3">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14">
    <w:name w:val="xl87"/>
    <w:basedOn w:val="1"/>
    <w:next w:val="212"/>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5">
    <w:name w:val="Char Char10 Char Char Char Char"/>
    <w:basedOn w:val="1"/>
    <w:next w:val="214"/>
    <w:qFormat/>
    <w:uiPriority w:val="0"/>
    <w:rPr>
      <w:rFonts w:ascii="Calibri" w:hAnsi="Calibri"/>
      <w:kern w:val="0"/>
    </w:rPr>
  </w:style>
  <w:style w:type="paragraph" w:customStyle="1" w:styleId="216">
    <w:name w:val="xl42"/>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8">
    <w:name w:val="列出段落2"/>
    <w:basedOn w:val="1"/>
    <w:qFormat/>
    <w:uiPriority w:val="0"/>
    <w:pPr>
      <w:pBdr>
        <w:top w:val="none" w:color="auto" w:sz="0" w:space="0"/>
        <w:left w:val="none" w:color="auto" w:sz="0" w:space="0"/>
        <w:bottom w:val="none" w:color="auto" w:sz="0" w:space="0"/>
        <w:right w:val="none" w:color="auto" w:sz="0" w:space="0"/>
        <w:between w:val="none" w:color="auto" w:sz="0" w:space="0"/>
      </w:pBd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19">
    <w:name w:val="xl47"/>
    <w:basedOn w:val="1"/>
    <w:qFormat/>
    <w:uiPriority w:val="0"/>
    <w:pPr>
      <w:pBdr>
        <w:top w:val="none" w:color="auto" w:sz="0" w:space="0"/>
        <w:left w:val="single" w:color="auto" w:sz="4" w:space="0"/>
        <w:bottom w:val="single" w:color="auto" w:sz="4"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0">
    <w:name w:val="样式 宋体 五号 行距: 单倍行距"/>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宋体" w:hAnsi="宋体" w:eastAsia="仿宋_GB2312" w:cs="Times New Roman"/>
      <w:color w:val="auto"/>
      <w:szCs w:val="32"/>
      <w:lang w:val="en-US" w:eastAsia="zh-CN"/>
    </w:rPr>
  </w:style>
  <w:style w:type="paragraph" w:customStyle="1" w:styleId="221">
    <w:name w:val="xl24"/>
    <w:basedOn w:val="1"/>
    <w:qFormat/>
    <w:uiPriority w:val="0"/>
    <w:pPr>
      <w:pBdr>
        <w:top w:val="single" w:color="auto" w:sz="8" w:space="0"/>
        <w:left w:val="single" w:color="auto" w:sz="8" w:space="0"/>
        <w:bottom w:val="single" w:color="auto" w:sz="4"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22">
    <w:name w:val="Preformatted"/>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23">
    <w:name w:val="_Style 13"/>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20" w:firstLineChars="200"/>
    </w:pPr>
    <w:rPr>
      <w:rFonts w:hint="default" w:ascii="Calibri" w:hAnsi="Calibri" w:eastAsia="宋体" w:cs="Times New Roman"/>
      <w:color w:val="auto"/>
      <w:szCs w:val="22"/>
      <w:lang w:val="en-US" w:eastAsia="zh-CN"/>
    </w:rPr>
  </w:style>
  <w:style w:type="paragraph" w:customStyle="1" w:styleId="224">
    <w:name w:val="纯文本1"/>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宋体" w:hAnsi="Courier New" w:eastAsia="宋体" w:cs="Times New Roman"/>
      <w:color w:val="auto"/>
      <w:kern w:val="0"/>
      <w:sz w:val="20"/>
      <w:szCs w:val="20"/>
      <w:lang w:val="en-US" w:eastAsia="zh-CN"/>
    </w:rPr>
  </w:style>
  <w:style w:type="paragraph" w:customStyle="1" w:styleId="225">
    <w:name w:val="小标题 2"/>
    <w:next w:val="152"/>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26">
    <w:name w:val="WPSOffice手动目录 1"/>
    <w:qFormat/>
    <w:uiPriority w:val="0"/>
    <w:rPr>
      <w:rFonts w:ascii="Times New Roman" w:hAnsi="Times New Roman" w:eastAsia="宋体" w:cs="Times New Roman"/>
      <w:lang w:val="en-US" w:eastAsia="zh-CN" w:bidi="ar-SA"/>
    </w:rPr>
  </w:style>
  <w:style w:type="table" w:customStyle="1" w:styleId="227">
    <w:name w:val="网格型2"/>
    <w:basedOn w:val="5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
    <w:basedOn w:val="5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Table Normal1"/>
    <w:unhideWhenUsed/>
    <w:qFormat/>
    <w:uiPriority w:val="2"/>
    <w:rPr>
      <w:lang w:val="en-US" w:eastAsia="zh-CN" w:bidi="ar-SA"/>
    </w:rPr>
    <w:tblPr>
      <w:tblCellMar>
        <w:top w:w="0" w:type="dxa"/>
        <w:left w:w="0" w:type="dxa"/>
        <w:bottom w:w="0" w:type="dxa"/>
        <w:right w:w="0" w:type="dxa"/>
      </w:tblCellMar>
    </w:tblPr>
  </w:style>
  <w:style w:type="table" w:customStyle="1" w:styleId="230">
    <w:name w:val="Table Normal"/>
    <w:qFormat/>
    <w:uiPriority w:val="0"/>
    <w:rPr>
      <w:rFonts w:eastAsia="Arial Unicode MS"/>
      <w:lang w:val="en-US" w:eastAsia="zh-CN" w:bidi="ar-SA"/>
    </w:rPr>
    <w:tblPr>
      <w:tblCellMar>
        <w:top w:w="0" w:type="dxa"/>
        <w:left w:w="0" w:type="dxa"/>
        <w:bottom w:w="0" w:type="dxa"/>
        <w:right w:w="0" w:type="dxa"/>
      </w:tblCellMar>
    </w:tblPr>
  </w:style>
  <w:style w:type="paragraph" w:customStyle="1" w:styleId="231">
    <w:name w:val="正文2"/>
    <w:basedOn w:val="1"/>
    <w:qFormat/>
    <w:uiPriority w:val="0"/>
    <w:pPr>
      <w:spacing w:before="156" w:line="360" w:lineRule="auto"/>
      <w:ind w:firstLine="510" w:firstLineChars="200"/>
    </w:pPr>
    <w:rPr>
      <w:sz w:val="24"/>
      <w:szCs w:val="20"/>
    </w:rPr>
  </w:style>
  <w:style w:type="paragraph" w:customStyle="1" w:styleId="232">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33">
    <w:name w:val="WPS Plain"/>
    <w:basedOn w:val="1"/>
    <w:qFormat/>
    <w:uiPriority w:val="0"/>
    <w:pPr>
      <w:widowControl/>
      <w:jc w:val="left"/>
    </w:pPr>
    <w:rPr>
      <w:rFonts w:ascii="Times New Roman" w:hAnsi="Times New Roman" w:cs="Times New Roman"/>
      <w:kern w:val="0"/>
      <w:sz w:val="24"/>
      <w:szCs w:val="24"/>
    </w:rPr>
  </w:style>
  <w:style w:type="paragraph" w:customStyle="1" w:styleId="234">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235">
    <w:name w:val="正文A"/>
    <w:basedOn w:val="1"/>
    <w:next w:val="1"/>
    <w:qFormat/>
    <w:uiPriority w:val="0"/>
    <w:pPr>
      <w:spacing w:after="50" w:afterLines="50" w:line="360" w:lineRule="auto"/>
      <w:ind w:firstLine="640" w:firstLineChars="200"/>
    </w:pPr>
    <w:rPr>
      <w:rFonts w:ascii="Times New Roman" w:hAnsi="Times New Roman"/>
      <w:sz w:val="24"/>
      <w:szCs w:val="28"/>
    </w:rPr>
  </w:style>
  <w:style w:type="paragraph" w:customStyle="1" w:styleId="236">
    <w:name w:val="样式 247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37">
    <w:name w:val="样式 246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38">
    <w:name w:val="样式 245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39">
    <w:name w:val="样式 244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40">
    <w:name w:val="样式 243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41">
    <w:name w:val="样式 242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42">
    <w:name w:val="正文_8"/>
    <w:qFormat/>
    <w:uiPriority w:val="0"/>
    <w:pPr>
      <w:widowControl w:val="0"/>
      <w:jc w:val="both"/>
    </w:pPr>
    <w:rPr>
      <w:rFonts w:ascii="Times New Roman" w:hAnsi="Times New Roman" w:eastAsia="方正黑体_GBK" w:cs="Times New Roman"/>
      <w:kern w:val="2"/>
      <w:sz w:val="21"/>
      <w:szCs w:val="22"/>
      <w:lang w:val="en-US" w:eastAsia="zh-CN" w:bidi="ar-SA"/>
    </w:rPr>
  </w:style>
  <w:style w:type="paragraph" w:customStyle="1" w:styleId="243">
    <w:name w:val="样式 241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44">
    <w:name w:val="样式 240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45">
    <w:name w:val="样式 239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46">
    <w:name w:val="样式 238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47">
    <w:name w:val="样式 237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48">
    <w:name w:val="样式 236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49">
    <w:name w:val="样式 235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50">
    <w:name w:val="样式 234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51">
    <w:name w:val="样式 233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52">
    <w:name w:val="样式 232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53">
    <w:name w:val="样式 231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54">
    <w:name w:val="样式 230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55">
    <w:name w:val="样式 229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56">
    <w:name w:val="样式 228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57">
    <w:name w:val="样式 227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58">
    <w:name w:val="样式 226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59">
    <w:name w:val="样式 225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60">
    <w:name w:val="样式 224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61">
    <w:name w:val="样式 223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62">
    <w:name w:val="样式 222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63">
    <w:name w:val="样式 221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64">
    <w:name w:val="样式 220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65">
    <w:name w:val="样式 219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66">
    <w:name w:val="样式 218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67">
    <w:name w:val="样式 217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68">
    <w:name w:val="样式 216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69">
    <w:name w:val="样式 215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70">
    <w:name w:val="样式 214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71">
    <w:name w:val="样式 213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72">
    <w:name w:val="样式 212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73">
    <w:name w:val="样式 211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74">
    <w:name w:val="样式 210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75">
    <w:name w:val="样式 209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76">
    <w:name w:val="样式 208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77">
    <w:name w:val="样式 207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78">
    <w:name w:val="样式 206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79">
    <w:name w:val="样式 205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80">
    <w:name w:val="样式 204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81">
    <w:name w:val="样式 203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82">
    <w:name w:val="样式 202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83">
    <w:name w:val="样式 201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84">
    <w:name w:val="样式 200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85">
    <w:name w:val="样式 199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86">
    <w:name w:val="样式 198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87">
    <w:name w:val="样式 189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88">
    <w:name w:val="样式 188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89">
    <w:name w:val="样式 187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90">
    <w:name w:val="样式 186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91">
    <w:name w:val="样式 185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92">
    <w:name w:val="样式 184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93">
    <w:name w:val="样式 183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94">
    <w:name w:val="样式 182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95">
    <w:name w:val="样式 181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96">
    <w:name w:val="样式 180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97">
    <w:name w:val="样式 179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98">
    <w:name w:val="样式 178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299">
    <w:name w:val="样式 177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00">
    <w:name w:val="样式 176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01">
    <w:name w:val="样式 175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02">
    <w:name w:val="样式 174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03">
    <w:name w:val="样式 173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04">
    <w:name w:val="样式 172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05">
    <w:name w:val="样式 171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06">
    <w:name w:val="样式 170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07">
    <w:name w:val="样式 169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08">
    <w:name w:val="样式 168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09">
    <w:name w:val="样式 167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10">
    <w:name w:val="样式 166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11">
    <w:name w:val="样式 165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12">
    <w:name w:val="样式 164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13">
    <w:name w:val="样式 163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14">
    <w:name w:val="样式 162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15">
    <w:name w:val="样式 161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16">
    <w:name w:val="样式 160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17">
    <w:name w:val="样式 159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18">
    <w:name w:val="样式 157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19">
    <w:name w:val="样式 156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20">
    <w:name w:val="样式 154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21">
    <w:name w:val="样式 153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22">
    <w:name w:val="样式 152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23">
    <w:name w:val="样式 151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24">
    <w:name w:val="样式 150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25">
    <w:name w:val="样式 149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26">
    <w:name w:val="样式 148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27">
    <w:name w:val="样式 147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28">
    <w:name w:val="样式 146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29">
    <w:name w:val="样式 145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30">
    <w:name w:val="样式 144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31">
    <w:name w:val="样式 143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32">
    <w:name w:val="样式 142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33">
    <w:name w:val="样式 141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34">
    <w:name w:val="样式 140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35">
    <w:name w:val="样式 139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36">
    <w:name w:val="样式 138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37">
    <w:name w:val="样式 137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38">
    <w:name w:val="样式 136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39">
    <w:name w:val="样式 135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40">
    <w:name w:val="样式 134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41">
    <w:name w:val="样式 133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42">
    <w:name w:val="样式 132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43">
    <w:name w:val="样式 131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44">
    <w:name w:val="样式 130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45">
    <w:name w:val="样式 129 10 磅"/>
    <w:qFormat/>
    <w:uiPriority w:val="0"/>
    <w:pPr>
      <w:widowControl w:val="0"/>
      <w:jc w:val="both"/>
    </w:pPr>
    <w:rPr>
      <w:rFonts w:ascii="Times New Roman" w:hAnsi="Times New Roman" w:eastAsia="方正黑体_GBK" w:cs="Times New Roman"/>
      <w:kern w:val="2"/>
      <w:sz w:val="21"/>
      <w:lang w:val="en-US" w:eastAsia="zh-CN" w:bidi="ar-SA"/>
    </w:rPr>
  </w:style>
  <w:style w:type="paragraph" w:customStyle="1" w:styleId="346">
    <w:name w:val="正文样式"/>
    <w:basedOn w:val="1"/>
    <w:qFormat/>
    <w:uiPriority w:val="0"/>
    <w:pPr>
      <w:widowControl w:val="0"/>
      <w:adjustRightInd w:val="0"/>
      <w:snapToGrid w:val="0"/>
      <w:spacing w:line="480" w:lineRule="exact"/>
      <w:ind w:firstLine="200" w:firstLineChars="200"/>
    </w:pPr>
    <w:rPr>
      <w:rFonts w:hint="default" w:ascii="宋体" w:hAnsi="宋体" w:eastAsia="宋体" w:cs="仿宋_GB2312"/>
      <w:color w:val="auto"/>
      <w:sz w:val="24"/>
      <w:szCs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179</Pages>
  <Words>103044</Words>
  <Characters>107411</Characters>
  <Lines>516</Lines>
  <Paragraphs>145</Paragraphs>
  <TotalTime>24</TotalTime>
  <ScaleCrop>false</ScaleCrop>
  <LinksUpToDate>false</LinksUpToDate>
  <CharactersWithSpaces>109030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2021-11-25T23:01:00Z</dcterms:created>
  <dc:creator>NTKO</dc:creator>
  <cp:lastModifiedBy>huanghe</cp:lastModifiedBy>
  <cp:lastPrinted>2023-04-04T22:39:00Z</cp:lastPrinted>
  <dcterms:modified xsi:type="dcterms:W3CDTF">2023-04-23T17:38:18Z</dcterms:modified>
  <dc:title>河南信息统计职业学院金水校区物业服务项目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2942F86F2F6D456F3899446479511788</vt:lpwstr>
  </property>
  <property fmtid="{D5CDD505-2E9C-101B-9397-08002B2CF9AE}" pid="4" name="MTWinEqns">
    <vt:bool>true</vt:bool>
  </property>
</Properties>
</file>