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.5.2支持的荧光染料种类：包括但不限于FAM™、SYBR®、Fluorescein、SYPRO® Orange、Alexa Fluor 633、LC Cyan 500、Fluo 3、Cy3、Cy5、Yellow555、LC Red610、ROX、LC Red640、Snarf 1、Acid Fuchsin、Cy5.5、LC Red670、LC Red705等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原厂反应预混液（5 x 1 ml ）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≥2套；</w:t>
      </w:r>
    </w:p>
    <w:p w14:paraId="3B29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修改后的参数为：</w:t>
      </w:r>
    </w:p>
    <w:p w14:paraId="23B2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1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.5.2支持的荧光染料种类：包括但不限于FAM™、SYBR®、Fluorescein、SYPRO® Orange、Alexa Fluor 633、Fluo 3、Cy3、Cy5、Yellow555、ROX、Snarf 1、Acid Fuchsin、Cy5.5等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原厂反应预混液（5 x 1 ml ）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10</w:t>
      </w:r>
      <w:r>
        <w:rPr>
          <w:rFonts w:hint="default" w:ascii="宋体" w:hAnsi="宋体" w:eastAsia="宋体" w:cs="宋体"/>
          <w:color w:val="auto"/>
          <w:sz w:val="24"/>
          <w:szCs w:val="32"/>
          <w:lang w:val="en-US" w:eastAsia="zh-CN"/>
        </w:rPr>
        <w:t>套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；</w:t>
      </w:r>
    </w:p>
    <w:p w14:paraId="473716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color w:val="161616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2025-03-04T08:56:45Z</dcterms:created>
  <dc:creator>Administrator</dc:creator>
  <cp:lastModifiedBy>NTKO</cp:lastModifiedBy>
  <dcterms:modified xsi:type="dcterms:W3CDTF">2025-03-04T08:57:42Z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eyJoZGlkIjoiYmQ2ZjZkM2JhYzAyYmVkODZlZDZiZDI1YjYzMTYwZWUiLCJ1c2VySWQiOiIyMDUxMjMwNDMifQ==</vt:lpwstr>
  </property>
  <property fmtid="{D5CDD505-2E9C-101B-9397-08002B2CF9AE}" pid="4" name="ICV">
    <vt:lpwstr>0E9A41E71079474B90ADCC8F05F57F36_12</vt:lpwstr>
  </property>
</Properties>
</file>