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drawing>
          <wp:inline distT="0" distB="0" distL="114300" distR="114300">
            <wp:extent cx="5821045" cy="82289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821045" cy="8228965"/>
                    </a:xfrm>
                    <a:prstGeom prst="rect">
                      <a:avLst/>
                    </a:prstGeom>
                    <a:noFill/>
                    <a:ln>
                      <a:noFill/>
                    </a:ln>
                  </pic:spPr>
                </pic:pic>
              </a:graphicData>
            </a:graphic>
          </wp:inline>
        </w:drawing>
      </w:r>
    </w:p>
    <w:p>
      <w:pPr>
        <w:bidi w:val="0"/>
        <w:jc w:val="center"/>
      </w:pPr>
    </w:p>
    <w:p>
      <w:pPr>
        <w:pStyle w:val="2"/>
      </w:pPr>
    </w:p>
    <w:p>
      <w:pPr>
        <w:snapToGrid w:val="0"/>
        <w:spacing w:line="500" w:lineRule="exact"/>
        <w:rPr>
          <w:rFonts w:ascii="宋体" w:hAnsi="宋体" w:cs="宋体"/>
          <w:sz w:val="44"/>
        </w:rPr>
      </w:pPr>
    </w:p>
    <w:p>
      <w:pPr>
        <w:snapToGrid w:val="0"/>
        <w:spacing w:line="500" w:lineRule="exact"/>
        <w:jc w:val="center"/>
        <w:rPr>
          <w:rFonts w:ascii="宋体" w:hAnsi="宋体" w:cs="宋体"/>
          <w:sz w:val="44"/>
        </w:rPr>
      </w:pPr>
    </w:p>
    <w:p>
      <w:pPr>
        <w:snapToGrid w:val="0"/>
        <w:spacing w:line="500" w:lineRule="exact"/>
        <w:jc w:val="center"/>
        <w:rPr>
          <w:rFonts w:ascii="宋体" w:hAnsi="宋体" w:cs="宋体"/>
          <w:sz w:val="44"/>
        </w:rPr>
      </w:pPr>
      <w:r>
        <w:rPr>
          <w:rFonts w:hint="eastAsia" w:ascii="宋体" w:hAnsi="宋体" w:cs="宋体"/>
          <w:sz w:val="44"/>
        </w:rPr>
        <w:t>目  录</w:t>
      </w:r>
    </w:p>
    <w:p>
      <w:pPr>
        <w:jc w:val="left"/>
        <w:rPr>
          <w:rFonts w:ascii="宋体" w:hAnsi="宋体" w:cs="宋体"/>
        </w:rPr>
      </w:pPr>
      <w:r>
        <w:rPr>
          <w:rFonts w:hint="eastAsia" w:ascii="宋体" w:hAnsi="宋体" w:cs="宋体"/>
          <w:lang w:eastAsia="zh-CN"/>
        </w:rPr>
        <w:t>第一章</w:t>
      </w:r>
      <w:r>
        <w:rPr>
          <w:rFonts w:hint="eastAsia" w:ascii="宋体" w:hAnsi="宋体" w:cs="宋体"/>
        </w:rPr>
        <w:t xml:space="preserve"> 招标公告--------------------------------------------------1</w:t>
      </w:r>
    </w:p>
    <w:p>
      <w:pPr>
        <w:jc w:val="left"/>
        <w:rPr>
          <w:rFonts w:hint="eastAsia" w:ascii="宋体" w:hAnsi="宋体" w:eastAsia="宋体" w:cs="宋体"/>
          <w:lang w:eastAsia="zh-CN"/>
        </w:rPr>
      </w:pPr>
      <w:r>
        <w:rPr>
          <w:rFonts w:hint="eastAsia" w:ascii="宋体" w:hAnsi="宋体" w:cs="宋体"/>
          <w:lang w:eastAsia="zh-CN"/>
        </w:rPr>
        <w:t>第二章</w:t>
      </w:r>
      <w:r>
        <w:rPr>
          <w:rFonts w:hint="eastAsia" w:ascii="宋体" w:hAnsi="宋体" w:cs="宋体"/>
        </w:rPr>
        <w:t xml:space="preserve"> 投标人须知------------------------------------------------</w:t>
      </w:r>
      <w:r>
        <w:rPr>
          <w:rFonts w:hint="eastAsia" w:ascii="宋体" w:hAnsi="宋体" w:cs="宋体"/>
          <w:lang w:val="en-US" w:eastAsia="zh-CN"/>
        </w:rPr>
        <w:t>4</w:t>
      </w:r>
    </w:p>
    <w:p>
      <w:pPr>
        <w:jc w:val="left"/>
        <w:rPr>
          <w:rFonts w:hint="eastAsia" w:ascii="宋体" w:hAnsi="宋体" w:eastAsia="宋体" w:cs="宋体"/>
          <w:lang w:eastAsia="zh-CN"/>
        </w:rPr>
      </w:pPr>
      <w:r>
        <w:rPr>
          <w:rFonts w:hint="eastAsia" w:ascii="宋体" w:hAnsi="宋体" w:cs="宋体"/>
          <w:lang w:eastAsia="zh-CN"/>
        </w:rPr>
        <w:t>第三章</w:t>
      </w:r>
      <w:r>
        <w:rPr>
          <w:rFonts w:hint="eastAsia" w:ascii="宋体" w:hAnsi="宋体" w:cs="宋体"/>
        </w:rPr>
        <w:t xml:space="preserve"> 评标办法-------------------------------------------------1</w:t>
      </w:r>
      <w:r>
        <w:rPr>
          <w:rFonts w:hint="eastAsia" w:ascii="宋体" w:hAnsi="宋体" w:cs="宋体"/>
          <w:lang w:val="en-US" w:eastAsia="zh-CN"/>
        </w:rPr>
        <w:t>2</w:t>
      </w:r>
    </w:p>
    <w:p>
      <w:pPr>
        <w:jc w:val="left"/>
        <w:rPr>
          <w:rFonts w:hint="eastAsia" w:ascii="宋体" w:hAnsi="宋体" w:eastAsia="宋体" w:cs="宋体"/>
          <w:lang w:eastAsia="zh-CN"/>
        </w:rPr>
      </w:pPr>
      <w:r>
        <w:rPr>
          <w:rFonts w:hint="eastAsia" w:ascii="宋体" w:hAnsi="宋体" w:cs="宋体"/>
          <w:lang w:eastAsia="zh-CN"/>
        </w:rPr>
        <w:t>第四章</w:t>
      </w:r>
      <w:r>
        <w:rPr>
          <w:rFonts w:hint="eastAsia" w:ascii="宋体" w:hAnsi="宋体" w:cs="宋体"/>
        </w:rPr>
        <w:t xml:space="preserve"> 合同条款-------------------------------------------------1</w:t>
      </w:r>
      <w:r>
        <w:rPr>
          <w:rFonts w:hint="eastAsia" w:ascii="宋体" w:hAnsi="宋体" w:cs="宋体"/>
          <w:lang w:val="en-US" w:eastAsia="zh-CN"/>
        </w:rPr>
        <w:t>6</w:t>
      </w:r>
    </w:p>
    <w:p>
      <w:pPr>
        <w:jc w:val="left"/>
        <w:rPr>
          <w:rFonts w:hint="eastAsia" w:ascii="宋体" w:hAnsi="宋体" w:eastAsia="宋体" w:cs="宋体"/>
          <w:lang w:eastAsia="zh-CN"/>
        </w:rPr>
      </w:pPr>
      <w:r>
        <w:rPr>
          <w:rFonts w:hint="eastAsia" w:ascii="宋体" w:hAnsi="宋体" w:cs="宋体"/>
          <w:lang w:eastAsia="zh-CN"/>
        </w:rPr>
        <w:t>第五章</w:t>
      </w:r>
      <w:r>
        <w:rPr>
          <w:rFonts w:hint="eastAsia" w:ascii="宋体" w:hAnsi="宋体" w:cs="宋体"/>
        </w:rPr>
        <w:t xml:space="preserve"> </w:t>
      </w:r>
      <w:r>
        <w:rPr>
          <w:rFonts w:hint="eastAsia" w:ascii="宋体" w:hAnsi="宋体" w:cs="宋体"/>
          <w:lang w:val="en-US" w:eastAsia="zh-CN"/>
        </w:rPr>
        <w:t>服务内容</w:t>
      </w:r>
      <w:r>
        <w:rPr>
          <w:rFonts w:hint="eastAsia" w:ascii="宋体" w:hAnsi="宋体" w:cs="宋体"/>
        </w:rPr>
        <w:t>-------------------------------------------------1</w:t>
      </w:r>
      <w:r>
        <w:rPr>
          <w:rFonts w:hint="eastAsia" w:ascii="宋体" w:hAnsi="宋体" w:cs="宋体"/>
          <w:lang w:val="en-US" w:eastAsia="zh-CN"/>
        </w:rPr>
        <w:t>7</w:t>
      </w:r>
    </w:p>
    <w:p>
      <w:pPr>
        <w:jc w:val="left"/>
        <w:rPr>
          <w:rFonts w:hint="default" w:ascii="宋体" w:hAnsi="宋体" w:eastAsia="宋体" w:cs="宋体"/>
          <w:lang w:val="en-US" w:eastAsia="zh-CN"/>
        </w:rPr>
      </w:pPr>
      <w:r>
        <w:rPr>
          <w:rFonts w:hint="eastAsia" w:ascii="宋体" w:hAnsi="宋体" w:cs="宋体"/>
          <w:lang w:eastAsia="zh-CN"/>
        </w:rPr>
        <w:t>第六章</w:t>
      </w:r>
      <w:r>
        <w:rPr>
          <w:rFonts w:hint="eastAsia" w:ascii="宋体" w:hAnsi="宋体" w:cs="宋体"/>
        </w:rPr>
        <w:t xml:space="preserve"> 投标文件格式---------------------------------------------</w:t>
      </w:r>
      <w:r>
        <w:rPr>
          <w:rFonts w:hint="eastAsia" w:ascii="宋体" w:hAnsi="宋体" w:cs="宋体"/>
          <w:lang w:val="en-US" w:eastAsia="zh-CN"/>
        </w:rPr>
        <w:t>22</w:t>
      </w:r>
    </w:p>
    <w:p>
      <w:pPr>
        <w:pStyle w:val="17"/>
        <w:spacing w:line="360" w:lineRule="auto"/>
        <w:jc w:val="center"/>
        <w:rPr>
          <w:rFonts w:ascii="宋体" w:hAnsi="宋体" w:cs="宋体"/>
          <w:sz w:val="24"/>
          <w:szCs w:val="24"/>
        </w:rPr>
      </w:pPr>
    </w:p>
    <w:p>
      <w:pPr>
        <w:rPr>
          <w:rFonts w:ascii="宋体" w:hAnsi="宋体" w:cs="宋体"/>
          <w:sz w:val="24"/>
          <w:szCs w:val="24"/>
        </w:rPr>
      </w:pPr>
    </w:p>
    <w:p>
      <w:pPr>
        <w:pStyle w:val="19"/>
        <w:ind w:left="2800" w:hanging="1400"/>
        <w:rPr>
          <w:rFonts w:ascii="宋体" w:hAnsi="宋体" w:cs="宋体"/>
        </w:rPr>
        <w:sectPr>
          <w:footerReference r:id="rId3" w:type="default"/>
          <w:pgSz w:w="11907" w:h="16840"/>
          <w:pgMar w:top="1134" w:right="1191" w:bottom="1134" w:left="1304" w:header="964" w:footer="992" w:gutter="0"/>
          <w:pgNumType w:fmt="numberInDash" w:start="1"/>
          <w:cols w:space="720" w:num="1"/>
          <w:docGrid w:linePitch="312" w:charSpace="0"/>
        </w:sectPr>
      </w:pPr>
    </w:p>
    <w:p>
      <w:pPr>
        <w:pStyle w:val="8"/>
        <w:jc w:val="center"/>
        <w:rPr>
          <w:rFonts w:ascii="宋体" w:hAnsi="宋体" w:cs="宋体"/>
          <w:sz w:val="32"/>
          <w:szCs w:val="32"/>
        </w:rPr>
      </w:pPr>
      <w:bookmarkStart w:id="0" w:name="_Toc11442"/>
      <w:bookmarkStart w:id="1" w:name="_Toc7695"/>
      <w:r>
        <w:rPr>
          <w:rFonts w:hint="eastAsia"/>
          <w:lang w:eastAsia="zh-CN"/>
        </w:rPr>
        <w:t>第一章</w:t>
      </w:r>
      <w:r>
        <w:rPr>
          <w:rFonts w:hint="eastAsia"/>
        </w:rPr>
        <w:t xml:space="preserve"> 招标公告</w:t>
      </w:r>
      <w:bookmarkEnd w:id="0"/>
      <w:bookmarkEnd w:id="1"/>
    </w:p>
    <w:p>
      <w:pPr>
        <w:keepNext w:val="0"/>
        <w:keepLines w:val="0"/>
        <w:pageBreakBefore w:val="0"/>
        <w:widowControl w:val="0"/>
        <w:kinsoku/>
        <w:wordWrap/>
        <w:overflowPunct/>
        <w:topLinePunct w:val="0"/>
        <w:bidi w:val="0"/>
        <w:snapToGrid/>
        <w:spacing w:line="336" w:lineRule="auto"/>
        <w:jc w:val="center"/>
        <w:textAlignment w:val="auto"/>
        <w:rPr>
          <w:rFonts w:ascii="宋体" w:hAnsi="宋体" w:cs="宋体"/>
          <w:sz w:val="32"/>
          <w:szCs w:val="32"/>
        </w:rPr>
      </w:pPr>
      <w:r>
        <w:rPr>
          <w:rFonts w:hint="eastAsia" w:ascii="宋体" w:hAnsi="宋体" w:cs="宋体"/>
          <w:b/>
          <w:bCs/>
          <w:sz w:val="32"/>
          <w:szCs w:val="32"/>
          <w:lang w:eastAsia="zh-CN"/>
        </w:rPr>
        <w:t>平顶山市石龙区农业农村和水利局平顶山市石龙区和美乡村先导片区策划设计服务项目</w:t>
      </w:r>
      <w:r>
        <w:rPr>
          <w:rFonts w:hint="eastAsia" w:ascii="宋体" w:hAnsi="宋体" w:cs="宋体"/>
          <w:b/>
          <w:bCs/>
          <w:sz w:val="32"/>
          <w:szCs w:val="32"/>
        </w:rPr>
        <w:t>招标公告</w:t>
      </w:r>
    </w:p>
    <w:p>
      <w:pPr>
        <w:keepNext w:val="0"/>
        <w:keepLines w:val="0"/>
        <w:pageBreakBefore w:val="0"/>
        <w:widowControl w:val="0"/>
        <w:kinsoku/>
        <w:wordWrap/>
        <w:overflowPunct/>
        <w:topLinePunct w:val="0"/>
        <w:bidi w:val="0"/>
        <w:snapToGrid/>
        <w:spacing w:line="336" w:lineRule="auto"/>
        <w:textAlignment w:val="auto"/>
        <w:rPr>
          <w:sz w:val="24"/>
        </w:rPr>
      </w:pPr>
      <w:r>
        <w:rPr>
          <w:rFonts w:hint="eastAsia"/>
          <w:sz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eastAsia="zh-CN"/>
        </w:rPr>
        <w:t>平顶山市石龙区农业农村和水利局平顶山市石龙区和美乡村先导片区策划设计服务项目</w:t>
      </w:r>
      <w:r>
        <w:rPr>
          <w:rFonts w:hint="eastAsia"/>
          <w:sz w:val="24"/>
          <w:szCs w:val="24"/>
        </w:rPr>
        <w:t>的潜在供应商应在平顶山市公共资源交易中心电子交易系统获取招标文件，并于202</w:t>
      </w:r>
      <w:r>
        <w:rPr>
          <w:rFonts w:hint="eastAsia"/>
          <w:sz w:val="24"/>
          <w:szCs w:val="24"/>
          <w:lang w:val="en-US" w:eastAsia="zh-CN"/>
        </w:rPr>
        <w:t>5</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18</w:t>
      </w:r>
      <w:r>
        <w:rPr>
          <w:rFonts w:hint="eastAsia"/>
          <w:sz w:val="24"/>
          <w:szCs w:val="24"/>
        </w:rPr>
        <w:t>日</w:t>
      </w:r>
      <w:r>
        <w:rPr>
          <w:rFonts w:hint="eastAsia"/>
          <w:sz w:val="24"/>
          <w:szCs w:val="24"/>
          <w:lang w:val="en-US" w:eastAsia="zh-CN"/>
        </w:rPr>
        <w:t>8</w:t>
      </w:r>
      <w:r>
        <w:rPr>
          <w:rFonts w:hint="eastAsia"/>
          <w:sz w:val="24"/>
          <w:szCs w:val="24"/>
        </w:rPr>
        <w:t>点</w:t>
      </w:r>
      <w:r>
        <w:rPr>
          <w:rFonts w:hint="eastAsia"/>
          <w:sz w:val="24"/>
          <w:szCs w:val="24"/>
          <w:lang w:val="en-US" w:eastAsia="zh-CN"/>
        </w:rPr>
        <w:t>4</w:t>
      </w:r>
      <w:r>
        <w:rPr>
          <w:sz w:val="24"/>
          <w:szCs w:val="24"/>
        </w:rPr>
        <w:t>0</w:t>
      </w:r>
      <w:r>
        <w:rPr>
          <w:rFonts w:hint="eastAsia"/>
          <w:sz w:val="24"/>
          <w:szCs w:val="24"/>
        </w:rPr>
        <w:t>分（北京时间）前提交投标文件。</w:t>
      </w:r>
    </w:p>
    <w:p>
      <w:pPr>
        <w:keepNext w:val="0"/>
        <w:keepLines w:val="0"/>
        <w:pageBreakBefore w:val="0"/>
        <w:widowControl w:val="0"/>
        <w:kinsoku/>
        <w:wordWrap/>
        <w:overflowPunct/>
        <w:topLinePunct w:val="0"/>
        <w:bidi w:val="0"/>
        <w:snapToGrid/>
        <w:spacing w:line="336" w:lineRule="auto"/>
        <w:textAlignment w:val="auto"/>
        <w:rPr>
          <w:b/>
          <w:bCs/>
          <w:sz w:val="24"/>
        </w:rPr>
      </w:pPr>
      <w:r>
        <w:rPr>
          <w:rFonts w:hint="eastAsia"/>
          <w:b/>
          <w:bCs/>
          <w:sz w:val="24"/>
        </w:rPr>
        <w:t>一、项目基本情况</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eastAsia="宋体"/>
          <w:sz w:val="24"/>
          <w:highlight w:val="none"/>
          <w:lang w:val="en-US" w:eastAsia="zh-CN"/>
        </w:rPr>
      </w:pPr>
      <w:r>
        <w:rPr>
          <w:rFonts w:hint="eastAsia"/>
          <w:sz w:val="24"/>
          <w:highlight w:val="none"/>
        </w:rPr>
        <w:t>1、采购项目编号：石采招标-2025-1</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eastAsia="宋体"/>
          <w:sz w:val="24"/>
          <w:lang w:eastAsia="zh-CN"/>
        </w:rPr>
      </w:pPr>
      <w:r>
        <w:rPr>
          <w:rFonts w:hint="eastAsia"/>
          <w:sz w:val="24"/>
        </w:rPr>
        <w:t>2、采购项目名称：</w:t>
      </w:r>
      <w:r>
        <w:rPr>
          <w:rFonts w:hint="eastAsia"/>
          <w:sz w:val="24"/>
          <w:lang w:eastAsia="zh-CN"/>
        </w:rPr>
        <w:t>平顶山市石龙区农业农村和水利局平顶山市石龙区和美乡村先导片区策划设计服务项目</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3、采购方式：公开招标</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4、预算金额：</w:t>
      </w:r>
      <w:r>
        <w:rPr>
          <w:rFonts w:hint="eastAsia"/>
          <w:sz w:val="24"/>
          <w:lang w:val="en-US" w:eastAsia="zh-CN"/>
        </w:rPr>
        <w:t>2600000.00</w:t>
      </w:r>
      <w:r>
        <w:rPr>
          <w:rFonts w:hint="eastAsia"/>
          <w:sz w:val="24"/>
        </w:rPr>
        <w:t>元</w:t>
      </w:r>
    </w:p>
    <w:p>
      <w:pPr>
        <w:keepNext w:val="0"/>
        <w:keepLines w:val="0"/>
        <w:pageBreakBefore w:val="0"/>
        <w:widowControl w:val="0"/>
        <w:kinsoku/>
        <w:wordWrap/>
        <w:overflowPunct/>
        <w:topLinePunct w:val="0"/>
        <w:bidi w:val="0"/>
        <w:snapToGrid/>
        <w:spacing w:line="336" w:lineRule="auto"/>
        <w:ind w:firstLine="960" w:firstLineChars="400"/>
        <w:textAlignment w:val="auto"/>
        <w:rPr>
          <w:sz w:val="24"/>
        </w:rPr>
      </w:pPr>
      <w:r>
        <w:rPr>
          <w:rFonts w:hint="eastAsia"/>
          <w:sz w:val="24"/>
        </w:rPr>
        <w:t>最高限价：</w:t>
      </w:r>
      <w:r>
        <w:rPr>
          <w:rFonts w:hint="eastAsia"/>
          <w:sz w:val="24"/>
          <w:lang w:val="en-US" w:eastAsia="zh-CN"/>
        </w:rPr>
        <w:t>2600000.00</w:t>
      </w:r>
      <w:r>
        <w:rPr>
          <w:rFonts w:hint="eastAsia"/>
          <w:sz w:val="24"/>
        </w:rPr>
        <w:t>元</w:t>
      </w:r>
    </w:p>
    <w:tbl>
      <w:tblPr>
        <w:tblStyle w:val="22"/>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601"/>
        <w:gridCol w:w="2922"/>
        <w:gridCol w:w="1167"/>
        <w:gridCol w:w="1566"/>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dxa"/>
          </w:tcPr>
          <w:p>
            <w:pPr>
              <w:pStyle w:val="28"/>
              <w:keepNext w:val="0"/>
              <w:keepLines w:val="0"/>
              <w:pageBreakBefore w:val="0"/>
              <w:widowControl w:val="0"/>
              <w:kinsoku/>
              <w:wordWrap/>
              <w:overflowPunct/>
              <w:topLinePunct w:val="0"/>
              <w:bidi w:val="0"/>
              <w:snapToGrid/>
              <w:spacing w:line="336" w:lineRule="auto"/>
              <w:jc w:val="center"/>
              <w:textAlignment w:val="auto"/>
            </w:pPr>
            <w:r>
              <w:rPr>
                <w:rFonts w:hint="eastAsia"/>
              </w:rPr>
              <w:t>序号</w:t>
            </w:r>
          </w:p>
        </w:tc>
        <w:tc>
          <w:tcPr>
            <w:tcW w:w="601" w:type="dxa"/>
          </w:tcPr>
          <w:p>
            <w:pPr>
              <w:pStyle w:val="28"/>
              <w:keepNext w:val="0"/>
              <w:keepLines w:val="0"/>
              <w:pageBreakBefore w:val="0"/>
              <w:widowControl w:val="0"/>
              <w:kinsoku/>
              <w:wordWrap/>
              <w:overflowPunct/>
              <w:topLinePunct w:val="0"/>
              <w:bidi w:val="0"/>
              <w:snapToGrid/>
              <w:spacing w:line="336" w:lineRule="auto"/>
              <w:jc w:val="center"/>
              <w:textAlignment w:val="auto"/>
            </w:pPr>
            <w:r>
              <w:rPr>
                <w:rFonts w:hint="eastAsia"/>
              </w:rPr>
              <w:t>包号</w:t>
            </w:r>
          </w:p>
        </w:tc>
        <w:tc>
          <w:tcPr>
            <w:tcW w:w="2922" w:type="dxa"/>
          </w:tcPr>
          <w:p>
            <w:pPr>
              <w:pStyle w:val="28"/>
              <w:keepNext w:val="0"/>
              <w:keepLines w:val="0"/>
              <w:pageBreakBefore w:val="0"/>
              <w:widowControl w:val="0"/>
              <w:kinsoku/>
              <w:wordWrap/>
              <w:overflowPunct/>
              <w:topLinePunct w:val="0"/>
              <w:bidi w:val="0"/>
              <w:snapToGrid/>
              <w:spacing w:line="336" w:lineRule="auto"/>
              <w:jc w:val="center"/>
              <w:textAlignment w:val="auto"/>
            </w:pPr>
            <w:r>
              <w:rPr>
                <w:rFonts w:hint="eastAsia"/>
              </w:rPr>
              <w:t>包名称</w:t>
            </w:r>
          </w:p>
        </w:tc>
        <w:tc>
          <w:tcPr>
            <w:tcW w:w="1167" w:type="dxa"/>
          </w:tcPr>
          <w:p>
            <w:pPr>
              <w:pStyle w:val="28"/>
              <w:keepNext w:val="0"/>
              <w:keepLines w:val="0"/>
              <w:pageBreakBefore w:val="0"/>
              <w:widowControl w:val="0"/>
              <w:kinsoku/>
              <w:wordWrap/>
              <w:overflowPunct/>
              <w:topLinePunct w:val="0"/>
              <w:bidi w:val="0"/>
              <w:snapToGrid/>
              <w:spacing w:line="336" w:lineRule="auto"/>
              <w:jc w:val="center"/>
              <w:textAlignment w:val="auto"/>
            </w:pPr>
            <w:r>
              <w:rPr>
                <w:rFonts w:hint="eastAsia"/>
              </w:rPr>
              <w:t>包预算（元）</w:t>
            </w:r>
          </w:p>
        </w:tc>
        <w:tc>
          <w:tcPr>
            <w:tcW w:w="1566" w:type="dxa"/>
          </w:tcPr>
          <w:p>
            <w:pPr>
              <w:pStyle w:val="28"/>
              <w:keepNext w:val="0"/>
              <w:keepLines w:val="0"/>
              <w:pageBreakBefore w:val="0"/>
              <w:widowControl w:val="0"/>
              <w:kinsoku/>
              <w:wordWrap/>
              <w:overflowPunct/>
              <w:topLinePunct w:val="0"/>
              <w:bidi w:val="0"/>
              <w:snapToGrid/>
              <w:spacing w:line="336" w:lineRule="auto"/>
              <w:jc w:val="center"/>
              <w:textAlignment w:val="auto"/>
            </w:pPr>
            <w:r>
              <w:rPr>
                <w:rFonts w:hint="eastAsia"/>
              </w:rPr>
              <w:t>包最高限价（元）</w:t>
            </w:r>
          </w:p>
        </w:tc>
        <w:tc>
          <w:tcPr>
            <w:tcW w:w="1566" w:type="dxa"/>
          </w:tcPr>
          <w:p>
            <w:pPr>
              <w:pStyle w:val="28"/>
              <w:keepNext w:val="0"/>
              <w:keepLines w:val="0"/>
              <w:pageBreakBefore w:val="0"/>
              <w:widowControl w:val="0"/>
              <w:kinsoku/>
              <w:wordWrap/>
              <w:overflowPunct/>
              <w:topLinePunct w:val="0"/>
              <w:bidi w:val="0"/>
              <w:snapToGrid/>
              <w:spacing w:line="336" w:lineRule="auto"/>
              <w:jc w:val="center"/>
              <w:textAlignment w:val="auto"/>
              <w:rPr>
                <w:rFonts w:hint="eastAsia" w:eastAsia="宋体"/>
                <w:lang w:val="en-US" w:eastAsia="zh-CN"/>
              </w:rPr>
            </w:pPr>
            <w:r>
              <w:rPr>
                <w:rFonts w:hint="eastAsia" w:eastAsia="宋体"/>
                <w:lang w:val="en-US" w:eastAsia="zh-CN"/>
              </w:rPr>
              <w:t>是否专门面向中小企业</w:t>
            </w:r>
          </w:p>
        </w:tc>
        <w:tc>
          <w:tcPr>
            <w:tcW w:w="1566" w:type="dxa"/>
          </w:tcPr>
          <w:p>
            <w:pPr>
              <w:pStyle w:val="28"/>
              <w:keepNext w:val="0"/>
              <w:keepLines w:val="0"/>
              <w:pageBreakBefore w:val="0"/>
              <w:widowControl w:val="0"/>
              <w:kinsoku/>
              <w:wordWrap/>
              <w:overflowPunct/>
              <w:topLinePunct w:val="0"/>
              <w:bidi w:val="0"/>
              <w:snapToGrid/>
              <w:spacing w:line="336" w:lineRule="auto"/>
              <w:jc w:val="center"/>
              <w:textAlignment w:val="auto"/>
              <w:rPr>
                <w:rFonts w:hint="default" w:eastAsia="宋体"/>
                <w:lang w:val="en-US" w:eastAsia="zh-CN"/>
              </w:rPr>
            </w:pPr>
            <w:r>
              <w:rPr>
                <w:rFonts w:hint="eastAsia"/>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75" w:type="dxa"/>
          </w:tcPr>
          <w:p>
            <w:pPr>
              <w:pStyle w:val="28"/>
              <w:keepNext w:val="0"/>
              <w:keepLines w:val="0"/>
              <w:pageBreakBefore w:val="0"/>
              <w:widowControl w:val="0"/>
              <w:kinsoku/>
              <w:wordWrap/>
              <w:overflowPunct/>
              <w:topLinePunct w:val="0"/>
              <w:bidi w:val="0"/>
              <w:snapToGrid/>
              <w:spacing w:line="336" w:lineRule="auto"/>
              <w:jc w:val="center"/>
              <w:textAlignment w:val="auto"/>
            </w:pPr>
            <w:r>
              <w:rPr>
                <w:rFonts w:hint="eastAsia"/>
              </w:rPr>
              <w:t>1</w:t>
            </w:r>
          </w:p>
        </w:tc>
        <w:tc>
          <w:tcPr>
            <w:tcW w:w="601" w:type="dxa"/>
          </w:tcPr>
          <w:p>
            <w:pPr>
              <w:pStyle w:val="28"/>
              <w:keepNext w:val="0"/>
              <w:keepLines w:val="0"/>
              <w:pageBreakBefore w:val="0"/>
              <w:widowControl w:val="0"/>
              <w:kinsoku/>
              <w:wordWrap/>
              <w:overflowPunct/>
              <w:topLinePunct w:val="0"/>
              <w:bidi w:val="0"/>
              <w:snapToGrid/>
              <w:spacing w:line="336" w:lineRule="auto"/>
              <w:jc w:val="center"/>
              <w:textAlignment w:val="auto"/>
            </w:pPr>
            <w:r>
              <w:rPr>
                <w:rFonts w:hint="eastAsia"/>
              </w:rPr>
              <w:t>1</w:t>
            </w:r>
          </w:p>
        </w:tc>
        <w:tc>
          <w:tcPr>
            <w:tcW w:w="2922" w:type="dxa"/>
          </w:tcPr>
          <w:p>
            <w:pPr>
              <w:pStyle w:val="28"/>
              <w:keepNext w:val="0"/>
              <w:keepLines w:val="0"/>
              <w:pageBreakBefore w:val="0"/>
              <w:widowControl w:val="0"/>
              <w:kinsoku/>
              <w:wordWrap/>
              <w:overflowPunct/>
              <w:topLinePunct w:val="0"/>
              <w:bidi w:val="0"/>
              <w:snapToGrid/>
              <w:spacing w:line="336" w:lineRule="auto"/>
              <w:jc w:val="center"/>
              <w:textAlignment w:val="auto"/>
              <w:rPr>
                <w:rFonts w:hint="eastAsia" w:eastAsia="宋体"/>
                <w:lang w:eastAsia="zh-CN"/>
              </w:rPr>
            </w:pPr>
            <w:r>
              <w:rPr>
                <w:rFonts w:hint="eastAsia"/>
                <w:lang w:eastAsia="zh-CN"/>
              </w:rPr>
              <w:t>平顶山市石龙区农业农村和水利局平顶山市石龙区和美乡村先导片区策划设计服务项目</w:t>
            </w:r>
          </w:p>
        </w:tc>
        <w:tc>
          <w:tcPr>
            <w:tcW w:w="1167" w:type="dxa"/>
          </w:tcPr>
          <w:p>
            <w:pPr>
              <w:keepNext w:val="0"/>
              <w:keepLines w:val="0"/>
              <w:pageBreakBefore w:val="0"/>
              <w:widowControl w:val="0"/>
              <w:kinsoku/>
              <w:wordWrap/>
              <w:overflowPunct/>
              <w:topLinePunct w:val="0"/>
              <w:bidi w:val="0"/>
              <w:snapToGrid/>
              <w:spacing w:line="336" w:lineRule="auto"/>
              <w:jc w:val="center"/>
              <w:textAlignment w:val="auto"/>
              <w:rPr>
                <w:sz w:val="24"/>
              </w:rPr>
            </w:pPr>
            <w:r>
              <w:rPr>
                <w:rFonts w:hint="eastAsia"/>
                <w:sz w:val="24"/>
                <w:lang w:val="en-US" w:eastAsia="zh-CN"/>
              </w:rPr>
              <w:t>260</w:t>
            </w:r>
            <w:r>
              <w:rPr>
                <w:sz w:val="24"/>
              </w:rPr>
              <w:t>0000</w:t>
            </w:r>
          </w:p>
        </w:tc>
        <w:tc>
          <w:tcPr>
            <w:tcW w:w="1566" w:type="dxa"/>
          </w:tcPr>
          <w:p>
            <w:pPr>
              <w:keepNext w:val="0"/>
              <w:keepLines w:val="0"/>
              <w:pageBreakBefore w:val="0"/>
              <w:widowControl w:val="0"/>
              <w:kinsoku/>
              <w:wordWrap/>
              <w:overflowPunct/>
              <w:topLinePunct w:val="0"/>
              <w:bidi w:val="0"/>
              <w:snapToGrid/>
              <w:spacing w:line="336" w:lineRule="auto"/>
              <w:jc w:val="center"/>
              <w:textAlignment w:val="auto"/>
              <w:rPr>
                <w:sz w:val="24"/>
              </w:rPr>
            </w:pPr>
            <w:r>
              <w:rPr>
                <w:rFonts w:hint="eastAsia"/>
                <w:sz w:val="24"/>
                <w:lang w:val="en-US" w:eastAsia="zh-CN"/>
              </w:rPr>
              <w:t>260</w:t>
            </w:r>
            <w:r>
              <w:rPr>
                <w:sz w:val="24"/>
              </w:rPr>
              <w:t>0000</w:t>
            </w:r>
          </w:p>
        </w:tc>
        <w:tc>
          <w:tcPr>
            <w:tcW w:w="1566" w:type="dxa"/>
          </w:tcPr>
          <w:p>
            <w:pPr>
              <w:keepNext w:val="0"/>
              <w:keepLines w:val="0"/>
              <w:pageBreakBefore w:val="0"/>
              <w:widowControl w:val="0"/>
              <w:kinsoku/>
              <w:wordWrap/>
              <w:overflowPunct/>
              <w:topLinePunct w:val="0"/>
              <w:bidi w:val="0"/>
              <w:snapToGrid/>
              <w:spacing w:line="336" w:lineRule="auto"/>
              <w:jc w:val="center"/>
              <w:textAlignment w:val="auto"/>
              <w:rPr>
                <w:rFonts w:hint="default"/>
                <w:sz w:val="24"/>
                <w:lang w:val="en-US" w:eastAsia="zh-CN"/>
              </w:rPr>
            </w:pPr>
            <w:r>
              <w:rPr>
                <w:rFonts w:hint="eastAsia"/>
                <w:sz w:val="24"/>
                <w:lang w:val="en-US" w:eastAsia="zh-CN"/>
              </w:rPr>
              <w:t>是</w:t>
            </w:r>
          </w:p>
        </w:tc>
        <w:tc>
          <w:tcPr>
            <w:tcW w:w="1566" w:type="dxa"/>
          </w:tcPr>
          <w:p>
            <w:pPr>
              <w:keepNext w:val="0"/>
              <w:keepLines w:val="0"/>
              <w:pageBreakBefore w:val="0"/>
              <w:widowControl w:val="0"/>
              <w:kinsoku/>
              <w:wordWrap/>
              <w:overflowPunct/>
              <w:topLinePunct w:val="0"/>
              <w:bidi w:val="0"/>
              <w:snapToGrid/>
              <w:spacing w:line="336" w:lineRule="auto"/>
              <w:jc w:val="center"/>
              <w:textAlignment w:val="auto"/>
              <w:rPr>
                <w:rFonts w:hint="eastAsia"/>
                <w:sz w:val="24"/>
                <w:lang w:val="en-US" w:eastAsia="zh-CN"/>
              </w:rPr>
            </w:pPr>
            <w:r>
              <w:rPr>
                <w:rFonts w:hint="eastAsia"/>
                <w:sz w:val="24"/>
                <w:lang w:val="en-US" w:eastAsia="zh-CN"/>
              </w:rPr>
              <w:t>260</w:t>
            </w:r>
            <w:r>
              <w:rPr>
                <w:sz w:val="24"/>
              </w:rPr>
              <w:t>0000</w:t>
            </w:r>
            <w:r>
              <w:rPr>
                <w:rFonts w:hint="eastAsia"/>
                <w:sz w:val="24"/>
              </w:rPr>
              <w:t>，其中小微企业采购金额：2600000</w:t>
            </w:r>
          </w:p>
        </w:tc>
      </w:tr>
    </w:tbl>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5、采购需求（包括但不限于标的的名称、数量、简要技术需求或服务要求等）</w:t>
      </w:r>
    </w:p>
    <w:p>
      <w:pPr>
        <w:keepNext w:val="0"/>
        <w:keepLines w:val="0"/>
        <w:pageBreakBefore w:val="0"/>
        <w:widowControl w:val="0"/>
        <w:kinsoku/>
        <w:wordWrap/>
        <w:overflowPunct/>
        <w:topLinePunct w:val="0"/>
        <w:bidi w:val="0"/>
        <w:snapToGrid/>
        <w:spacing w:line="336" w:lineRule="auto"/>
        <w:ind w:firstLine="960" w:firstLineChars="400"/>
        <w:textAlignment w:val="auto"/>
        <w:rPr>
          <w:rFonts w:hint="default" w:eastAsia="宋体"/>
          <w:sz w:val="24"/>
          <w:lang w:val="en-US" w:eastAsia="zh-CN"/>
        </w:rPr>
      </w:pPr>
      <w:r>
        <w:rPr>
          <w:rFonts w:hint="eastAsia"/>
          <w:sz w:val="24"/>
        </w:rPr>
        <w:t>5.1</w:t>
      </w:r>
      <w:r>
        <w:rPr>
          <w:rFonts w:hint="eastAsia"/>
          <w:sz w:val="24"/>
          <w:lang w:val="en-US" w:eastAsia="zh-CN"/>
        </w:rPr>
        <w:t>采购</w:t>
      </w:r>
      <w:r>
        <w:rPr>
          <w:rFonts w:hint="eastAsia"/>
          <w:sz w:val="24"/>
          <w:lang w:eastAsia="zh-CN"/>
        </w:rPr>
        <w:t>内容</w:t>
      </w:r>
      <w:r>
        <w:rPr>
          <w:rFonts w:hint="eastAsia"/>
          <w:sz w:val="24"/>
        </w:rPr>
        <w:t>：</w:t>
      </w:r>
      <w:bookmarkStart w:id="2" w:name="OLE_LINK2"/>
      <w:r>
        <w:rPr>
          <w:rFonts w:hint="eastAsia"/>
          <w:sz w:val="24"/>
        </w:rPr>
        <w:t>重点社区(泉上社区、北郎店社区)项目策划、重点村详细规划设计</w:t>
      </w:r>
      <w:r>
        <w:rPr>
          <w:rFonts w:hint="eastAsia"/>
          <w:sz w:val="24"/>
          <w:lang w:eastAsia="zh-CN"/>
        </w:rPr>
        <w:t>。</w:t>
      </w:r>
      <w:bookmarkEnd w:id="2"/>
      <w:r>
        <w:rPr>
          <w:rFonts w:hint="eastAsia"/>
          <w:sz w:val="24"/>
          <w:lang w:val="en-US" w:eastAsia="zh-CN"/>
        </w:rPr>
        <w:t>具体内容详见招标文件第五章服务内容。</w:t>
      </w:r>
    </w:p>
    <w:p>
      <w:pPr>
        <w:keepNext w:val="0"/>
        <w:keepLines w:val="0"/>
        <w:pageBreakBefore w:val="0"/>
        <w:widowControl w:val="0"/>
        <w:kinsoku/>
        <w:wordWrap/>
        <w:overflowPunct/>
        <w:topLinePunct w:val="0"/>
        <w:bidi w:val="0"/>
        <w:snapToGrid/>
        <w:spacing w:line="336" w:lineRule="auto"/>
        <w:ind w:firstLine="960" w:firstLineChars="400"/>
        <w:textAlignment w:val="auto"/>
        <w:rPr>
          <w:sz w:val="24"/>
        </w:rPr>
      </w:pPr>
      <w:r>
        <w:rPr>
          <w:rFonts w:hint="eastAsia"/>
          <w:sz w:val="24"/>
        </w:rPr>
        <w:t>5.2资金来源：财政资金</w:t>
      </w:r>
    </w:p>
    <w:p>
      <w:pPr>
        <w:keepNext w:val="0"/>
        <w:keepLines w:val="0"/>
        <w:pageBreakBefore w:val="0"/>
        <w:widowControl w:val="0"/>
        <w:kinsoku/>
        <w:wordWrap/>
        <w:overflowPunct/>
        <w:topLinePunct w:val="0"/>
        <w:bidi w:val="0"/>
        <w:snapToGrid/>
        <w:spacing w:line="336" w:lineRule="auto"/>
        <w:ind w:firstLine="960" w:firstLineChars="400"/>
        <w:textAlignment w:val="auto"/>
        <w:rPr>
          <w:rFonts w:hint="default" w:eastAsia="宋体"/>
          <w:sz w:val="24"/>
          <w:lang w:val="en-US" w:eastAsia="zh-CN"/>
        </w:rPr>
      </w:pPr>
      <w:r>
        <w:rPr>
          <w:rFonts w:hint="eastAsia"/>
          <w:sz w:val="24"/>
        </w:rPr>
        <w:t>5.3质量要求：合格，符合国家和行业现行标准规定，满足业主需求</w:t>
      </w:r>
    </w:p>
    <w:p>
      <w:pPr>
        <w:keepNext w:val="0"/>
        <w:keepLines w:val="0"/>
        <w:pageBreakBefore w:val="0"/>
        <w:widowControl w:val="0"/>
        <w:kinsoku/>
        <w:wordWrap/>
        <w:overflowPunct/>
        <w:topLinePunct w:val="0"/>
        <w:bidi w:val="0"/>
        <w:snapToGrid/>
        <w:spacing w:line="336" w:lineRule="auto"/>
        <w:ind w:firstLine="960" w:firstLineChars="400"/>
        <w:textAlignment w:val="auto"/>
        <w:rPr>
          <w:rFonts w:hint="default" w:eastAsia="宋体"/>
          <w:sz w:val="24"/>
          <w:lang w:val="en-US" w:eastAsia="zh-CN"/>
        </w:rPr>
      </w:pPr>
      <w:r>
        <w:rPr>
          <w:rFonts w:hint="eastAsia"/>
          <w:sz w:val="24"/>
        </w:rPr>
        <w:t>5.4</w:t>
      </w:r>
      <w:r>
        <w:rPr>
          <w:rFonts w:hint="eastAsia"/>
          <w:sz w:val="24"/>
          <w:lang w:val="en-US" w:eastAsia="zh-CN"/>
        </w:rPr>
        <w:t>服务期限</w:t>
      </w:r>
      <w:r>
        <w:rPr>
          <w:rFonts w:hint="eastAsia"/>
          <w:sz w:val="24"/>
        </w:rPr>
        <w:t>：</w:t>
      </w:r>
      <w:bookmarkStart w:id="3" w:name="OLE_LINK1"/>
      <w:r>
        <w:rPr>
          <w:rFonts w:hint="eastAsia"/>
          <w:sz w:val="24"/>
          <w:lang w:val="en-US" w:eastAsia="zh-CN"/>
        </w:rPr>
        <w:t>12个月</w:t>
      </w:r>
      <w:bookmarkEnd w:id="3"/>
    </w:p>
    <w:p>
      <w:pPr>
        <w:keepNext w:val="0"/>
        <w:keepLines w:val="0"/>
        <w:pageBreakBefore w:val="0"/>
        <w:widowControl w:val="0"/>
        <w:kinsoku/>
        <w:wordWrap/>
        <w:overflowPunct/>
        <w:topLinePunct w:val="0"/>
        <w:bidi w:val="0"/>
        <w:snapToGrid/>
        <w:spacing w:line="336" w:lineRule="auto"/>
        <w:ind w:firstLine="960" w:firstLineChars="400"/>
        <w:textAlignment w:val="auto"/>
        <w:rPr>
          <w:sz w:val="24"/>
        </w:rPr>
      </w:pPr>
      <w:r>
        <w:rPr>
          <w:rFonts w:hint="eastAsia"/>
          <w:sz w:val="24"/>
        </w:rPr>
        <w:t>5.</w:t>
      </w:r>
      <w:r>
        <w:rPr>
          <w:rFonts w:hint="eastAsia"/>
          <w:sz w:val="24"/>
          <w:lang w:val="en-US" w:eastAsia="zh-CN"/>
        </w:rPr>
        <w:t>5</w:t>
      </w:r>
      <w:r>
        <w:rPr>
          <w:rFonts w:hint="eastAsia"/>
          <w:sz w:val="24"/>
        </w:rPr>
        <w:t>标段划分：本项目共设</w:t>
      </w:r>
      <w:r>
        <w:rPr>
          <w:rFonts w:hint="eastAsia"/>
          <w:sz w:val="24"/>
          <w:lang w:val="en-US" w:eastAsia="zh-CN"/>
        </w:rPr>
        <w:t>一</w:t>
      </w:r>
      <w:r>
        <w:rPr>
          <w:rFonts w:hint="eastAsia"/>
          <w:sz w:val="24"/>
        </w:rPr>
        <w:t>个标段</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eastAsia="宋体"/>
          <w:sz w:val="24"/>
          <w:lang w:val="en-US" w:eastAsia="zh-CN"/>
        </w:rPr>
      </w:pPr>
      <w:r>
        <w:rPr>
          <w:rFonts w:hint="eastAsia"/>
          <w:sz w:val="24"/>
        </w:rPr>
        <w:t>6、合同履行期限：</w:t>
      </w:r>
      <w:r>
        <w:rPr>
          <w:rFonts w:hint="eastAsia"/>
          <w:sz w:val="24"/>
          <w:lang w:val="en-US" w:eastAsia="zh-CN"/>
        </w:rPr>
        <w:t>12个月</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7、本项目是否接受联合体投标：否</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rPr>
      </w:pPr>
      <w:r>
        <w:rPr>
          <w:rFonts w:hint="eastAsia"/>
          <w:sz w:val="24"/>
        </w:rPr>
        <w:t>8、是否接受进口产品：否</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sz w:val="24"/>
          <w:lang w:val="en-US" w:eastAsia="zh-CN"/>
        </w:rPr>
      </w:pPr>
      <w:r>
        <w:rPr>
          <w:rFonts w:hint="eastAsia"/>
          <w:sz w:val="24"/>
          <w:lang w:val="en-US" w:eastAsia="zh-CN"/>
        </w:rPr>
        <w:t>9、是否专门面向中小企业：是</w:t>
      </w:r>
    </w:p>
    <w:p>
      <w:pPr>
        <w:keepNext w:val="0"/>
        <w:keepLines w:val="0"/>
        <w:pageBreakBefore w:val="0"/>
        <w:widowControl w:val="0"/>
        <w:kinsoku/>
        <w:wordWrap/>
        <w:overflowPunct/>
        <w:topLinePunct w:val="0"/>
        <w:bidi w:val="0"/>
        <w:snapToGrid/>
        <w:spacing w:line="336" w:lineRule="auto"/>
        <w:textAlignment w:val="auto"/>
        <w:rPr>
          <w:b/>
          <w:bCs/>
          <w:sz w:val="24"/>
        </w:rPr>
      </w:pPr>
      <w:r>
        <w:rPr>
          <w:rFonts w:hint="eastAsia"/>
          <w:b/>
          <w:bCs/>
          <w:sz w:val="24"/>
        </w:rPr>
        <w:t>二、申请人的资格要求</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1.满足《中华人民共和国政府采购法》第二十二条的规定；</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2.落实政府采购政策需满足的资格要求：根据《政府采购促进中小企业发展管理办法》（财库[2020]46号）的规定，本项目属于专门面向中小企业采购的项目，供应商应为中小微企业、监狱企业、残疾人福利性单位，须提供相关有效声明材料，中小企业划型标准请依据工信部联企业〔2011〕300号文件之规定。</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3.本项目的特定资格要求：</w:t>
      </w:r>
    </w:p>
    <w:p>
      <w:pPr>
        <w:keepNext w:val="0"/>
        <w:keepLines w:val="0"/>
        <w:pageBreakBefore w:val="0"/>
        <w:widowControl w:val="0"/>
        <w:kinsoku/>
        <w:wordWrap/>
        <w:overflowPunct/>
        <w:topLinePunct w:val="0"/>
        <w:bidi w:val="0"/>
        <w:snapToGrid/>
        <w:spacing w:line="336" w:lineRule="auto"/>
        <w:ind w:firstLine="480" w:firstLineChars="200"/>
        <w:textAlignment w:val="auto"/>
        <w:rPr>
          <w:rFonts w:ascii="Times New Roman" w:hAnsi="Times New Roman" w:cs="Times New Roman"/>
          <w:sz w:val="24"/>
        </w:rPr>
      </w:pPr>
      <w:r>
        <w:rPr>
          <w:rFonts w:hint="eastAsia" w:ascii="宋体" w:hAnsi="宋体" w:cs="宋体"/>
          <w:color w:val="000000"/>
          <w:sz w:val="24"/>
          <w:shd w:val="clear" w:color="auto" w:fill="FFFFFF"/>
        </w:rPr>
        <w:t>3.1、</w:t>
      </w:r>
      <w:r>
        <w:rPr>
          <w:rFonts w:ascii="Times New Roman" w:hAnsi="Times New Roman" w:cs="Times New Roman"/>
          <w:sz w:val="24"/>
        </w:rPr>
        <w:t>具有独立承担民事责任的能力（提供有效的营业执照扫描件或复印件，也可提供电子营业执照）</w:t>
      </w:r>
      <w:r>
        <w:rPr>
          <w:rFonts w:hint="eastAsia" w:ascii="Times New Roman" w:hAnsi="Times New Roman" w:cs="Times New Roman"/>
          <w:sz w:val="24"/>
        </w:rPr>
        <w:t>；</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ascii="宋体" w:hAnsi="宋体" w:cs="宋体"/>
          <w:color w:val="000000"/>
          <w:sz w:val="24"/>
          <w:shd w:val="clear" w:color="auto" w:fill="FFFFFF"/>
        </w:rPr>
        <w:t>3.2、具有履行合同所必需的设备和专业技术能力（供应商自行承诺，格式自拟）</w:t>
      </w:r>
      <w:r>
        <w:rPr>
          <w:rFonts w:hint="eastAsia"/>
          <w:sz w:val="24"/>
        </w:rPr>
        <w:t>；</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ascii="宋体" w:hAnsi="宋体" w:cs="宋体"/>
          <w:color w:val="000000"/>
          <w:sz w:val="24"/>
          <w:shd w:val="clear" w:color="auto" w:fill="FFFFFF"/>
        </w:rPr>
        <w:t>3.3、具有良好的商业信誉和健全的财务会计制度（供应商自行承诺，格式自拟）</w:t>
      </w:r>
      <w:r>
        <w:rPr>
          <w:rFonts w:hint="eastAsia"/>
          <w:sz w:val="24"/>
        </w:rPr>
        <w:t>；</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ascii="宋体" w:hAnsi="宋体" w:cs="宋体"/>
          <w:color w:val="000000"/>
          <w:sz w:val="24"/>
          <w:shd w:val="clear" w:color="auto" w:fill="FFFFFF"/>
        </w:rPr>
        <w:t>3</w:t>
      </w:r>
      <w:r>
        <w:rPr>
          <w:rFonts w:ascii="宋体" w:hAnsi="宋体" w:cs="宋体"/>
          <w:color w:val="000000"/>
          <w:sz w:val="24"/>
          <w:shd w:val="clear" w:color="auto" w:fill="FFFFFF"/>
        </w:rPr>
        <w:t>.</w:t>
      </w:r>
      <w:r>
        <w:rPr>
          <w:rFonts w:hint="eastAsia" w:ascii="宋体" w:hAnsi="宋体" w:cs="宋体"/>
          <w:color w:val="000000"/>
          <w:sz w:val="24"/>
          <w:shd w:val="clear" w:color="auto" w:fill="FFFFFF"/>
        </w:rPr>
        <w:t>4、有依法缴纳税收和社会保障资金的良好记录（供应商自行承诺，格式自拟</w:t>
      </w:r>
      <w:r>
        <w:rPr>
          <w:rFonts w:hint="eastAsia" w:ascii="宋体" w:hAnsi="宋体" w:cs="宋体"/>
          <w:color w:val="000000"/>
          <w:sz w:val="24"/>
          <w:shd w:val="clear" w:color="auto" w:fill="FFFFFF"/>
          <w:lang w:eastAsia="zh-CN"/>
        </w:rPr>
        <w:t>）</w:t>
      </w:r>
      <w:r>
        <w:rPr>
          <w:rFonts w:hint="eastAsia"/>
          <w:sz w:val="24"/>
        </w:rPr>
        <w:t>；</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ascii="宋体" w:hAnsi="宋体" w:cs="宋体"/>
          <w:color w:val="000000"/>
          <w:sz w:val="24"/>
          <w:shd w:val="clear" w:color="auto" w:fill="FFFFFF"/>
        </w:rPr>
        <w:t>3</w:t>
      </w:r>
      <w:r>
        <w:rPr>
          <w:rFonts w:ascii="宋体" w:hAnsi="宋体" w:cs="宋体"/>
          <w:color w:val="000000"/>
          <w:sz w:val="24"/>
          <w:shd w:val="clear" w:color="auto" w:fill="FFFFFF"/>
        </w:rPr>
        <w:t>.</w:t>
      </w:r>
      <w:r>
        <w:rPr>
          <w:rFonts w:hint="eastAsia" w:ascii="宋体" w:hAnsi="宋体" w:cs="宋体"/>
          <w:color w:val="000000"/>
          <w:sz w:val="24"/>
          <w:shd w:val="clear" w:color="auto" w:fill="FFFFFF"/>
        </w:rPr>
        <w:t>5、参加政府采购活动近三年内，在经营活动中没有重大的违法记录（供应商自行承诺，格式自拟）</w:t>
      </w:r>
      <w:r>
        <w:rPr>
          <w:rFonts w:hint="eastAsia"/>
          <w:sz w:val="24"/>
        </w:rPr>
        <w:t>；</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ascii="宋体" w:hAnsi="宋体" w:eastAsia="宋体" w:cs="宋体"/>
          <w:color w:val="000000"/>
          <w:sz w:val="24"/>
          <w:shd w:val="clear" w:color="auto" w:fill="FFFFFF"/>
          <w:lang w:eastAsia="zh-CN"/>
        </w:rPr>
      </w:pPr>
      <w:r>
        <w:rPr>
          <w:rFonts w:hint="eastAsia" w:ascii="宋体" w:hAnsi="宋体" w:cs="宋体"/>
          <w:color w:val="000000"/>
          <w:sz w:val="24"/>
          <w:shd w:val="clear" w:color="auto" w:fill="FFFFFF"/>
        </w:rPr>
        <w:t>3</w:t>
      </w:r>
      <w:r>
        <w:rPr>
          <w:rFonts w:ascii="宋体" w:hAnsi="宋体" w:cs="宋体"/>
          <w:color w:val="000000"/>
          <w:sz w:val="24"/>
          <w:shd w:val="clear" w:color="auto" w:fill="FFFFFF"/>
        </w:rPr>
        <w:t>.</w:t>
      </w:r>
      <w:r>
        <w:rPr>
          <w:rFonts w:hint="eastAsia" w:ascii="宋体" w:hAnsi="宋体" w:cs="宋体"/>
          <w:color w:val="000000"/>
          <w:sz w:val="24"/>
          <w:shd w:val="clear" w:color="auto" w:fill="FFFFFF"/>
        </w:rPr>
        <w:t>6、投标人须提供的“中国执行信息公开网”网站的“失信被执行人”、“信用中国”网站的“重大税收违法失信主体”、“中国政府采购”网站的“政府采购严重违法失信行为记录名单”查询结果页面，若未按要求提供或有不良记录，资格审查不予通过（执行财库【2016】125号文）</w:t>
      </w:r>
      <w:r>
        <w:rPr>
          <w:rFonts w:hint="eastAsia" w:ascii="宋体" w:hAnsi="宋体" w:cs="宋体"/>
          <w:color w:val="000000"/>
          <w:sz w:val="24"/>
          <w:shd w:val="clear" w:color="auto" w:fill="FFFFFF"/>
          <w:lang w:eastAsia="zh-CN"/>
        </w:rPr>
        <w:t>；</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lang w:val="en-US" w:eastAsia="zh-CN"/>
        </w:rPr>
        <w:t>3.7、本项目不接受联合体投标，资格审查方式为资格后审</w:t>
      </w:r>
      <w:r>
        <w:rPr>
          <w:rFonts w:hint="eastAsia"/>
          <w:sz w:val="24"/>
        </w:rPr>
        <w:t>。</w:t>
      </w:r>
    </w:p>
    <w:p>
      <w:pPr>
        <w:keepNext w:val="0"/>
        <w:keepLines w:val="0"/>
        <w:pageBreakBefore w:val="0"/>
        <w:widowControl w:val="0"/>
        <w:kinsoku/>
        <w:wordWrap/>
        <w:overflowPunct/>
        <w:topLinePunct w:val="0"/>
        <w:bidi w:val="0"/>
        <w:snapToGrid/>
        <w:spacing w:line="336" w:lineRule="auto"/>
        <w:textAlignment w:val="auto"/>
        <w:rPr>
          <w:b/>
          <w:bCs/>
          <w:sz w:val="24"/>
        </w:rPr>
      </w:pPr>
      <w:r>
        <w:rPr>
          <w:rFonts w:hint="eastAsia"/>
          <w:b/>
          <w:bCs/>
          <w:sz w:val="24"/>
        </w:rPr>
        <w:t>三、获取招标文件</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1.时间：</w:t>
      </w:r>
      <w:r>
        <w:rPr>
          <w:sz w:val="24"/>
        </w:rPr>
        <w:t>202</w:t>
      </w:r>
      <w:r>
        <w:rPr>
          <w:rFonts w:hint="eastAsia"/>
          <w:sz w:val="24"/>
          <w:lang w:val="en-US" w:eastAsia="zh-CN"/>
        </w:rPr>
        <w:t>5</w:t>
      </w:r>
      <w:r>
        <w:rPr>
          <w:rFonts w:hint="eastAsia"/>
          <w:sz w:val="24"/>
        </w:rPr>
        <w:t>年</w:t>
      </w:r>
      <w:r>
        <w:rPr>
          <w:rFonts w:hint="eastAsia"/>
          <w:sz w:val="24"/>
          <w:lang w:val="en-US" w:eastAsia="zh-CN"/>
        </w:rPr>
        <w:t>2</w:t>
      </w:r>
      <w:r>
        <w:rPr>
          <w:rFonts w:hint="eastAsia"/>
          <w:sz w:val="24"/>
        </w:rPr>
        <w:t>月</w:t>
      </w:r>
      <w:r>
        <w:rPr>
          <w:rFonts w:hint="eastAsia"/>
          <w:sz w:val="24"/>
          <w:lang w:val="en-US" w:eastAsia="zh-CN"/>
        </w:rPr>
        <w:t>26</w:t>
      </w:r>
      <w:bookmarkStart w:id="63" w:name="_GoBack"/>
      <w:bookmarkEnd w:id="63"/>
      <w:r>
        <w:rPr>
          <w:rFonts w:hint="eastAsia"/>
          <w:sz w:val="24"/>
        </w:rPr>
        <w:t>日至 2025年</w:t>
      </w:r>
      <w:r>
        <w:rPr>
          <w:rFonts w:hint="eastAsia"/>
          <w:sz w:val="24"/>
          <w:lang w:val="en-US" w:eastAsia="zh-CN"/>
        </w:rPr>
        <w:t>3</w:t>
      </w:r>
      <w:r>
        <w:rPr>
          <w:rFonts w:hint="eastAsia"/>
          <w:sz w:val="24"/>
        </w:rPr>
        <w:t>月</w:t>
      </w:r>
      <w:r>
        <w:rPr>
          <w:rFonts w:hint="eastAsia"/>
          <w:sz w:val="24"/>
          <w:lang w:val="en-US" w:eastAsia="zh-CN"/>
        </w:rPr>
        <w:t>17</w:t>
      </w:r>
      <w:r>
        <w:rPr>
          <w:rFonts w:hint="eastAsia"/>
          <w:sz w:val="24"/>
        </w:rPr>
        <w:t xml:space="preserve">日，每天上午00:00至12:00，下午12:00至23:59（北京时间，法定节假日除外。）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2.地点：平顶山市公共资源交易中心电子交易系统</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eastAsia="宋体"/>
          <w:sz w:val="24"/>
          <w:lang w:eastAsia="zh-CN"/>
        </w:rPr>
      </w:pPr>
      <w:r>
        <w:rPr>
          <w:rFonts w:hint="eastAsia"/>
          <w:sz w:val="24"/>
        </w:rPr>
        <w:t>3.方式：本项目只接受网上报名，不接受其它形式报名。潜在供应商（投标人）报名需凭CA数字证书通过平顶山市公共资源交易中心网（网址：http://ggzy.pds.gov.cn/）“供应商（投标人）登录”入口进入交易系统进行报名</w:t>
      </w:r>
      <w:r>
        <w:rPr>
          <w:rFonts w:hint="eastAsia"/>
          <w:sz w:val="24"/>
          <w:lang w:eastAsia="zh-CN"/>
        </w:rPr>
        <w:t>。</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4.售价：0元。</w:t>
      </w:r>
    </w:p>
    <w:p>
      <w:pPr>
        <w:keepNext w:val="0"/>
        <w:keepLines w:val="0"/>
        <w:pageBreakBefore w:val="0"/>
        <w:widowControl w:val="0"/>
        <w:kinsoku/>
        <w:wordWrap/>
        <w:overflowPunct/>
        <w:topLinePunct w:val="0"/>
        <w:bidi w:val="0"/>
        <w:snapToGrid/>
        <w:spacing w:line="336" w:lineRule="auto"/>
        <w:textAlignment w:val="auto"/>
        <w:rPr>
          <w:b/>
          <w:bCs/>
          <w:sz w:val="24"/>
        </w:rPr>
      </w:pPr>
      <w:r>
        <w:rPr>
          <w:rFonts w:hint="eastAsia"/>
          <w:b/>
          <w:bCs/>
          <w:sz w:val="24"/>
        </w:rPr>
        <w:t>四、投标</w:t>
      </w:r>
      <w:r>
        <w:rPr>
          <w:rFonts w:hint="eastAsia"/>
          <w:b/>
          <w:bCs/>
          <w:sz w:val="24"/>
          <w:lang w:eastAsia="zh-CN"/>
        </w:rPr>
        <w:t>截止时间及地点</w:t>
      </w:r>
      <w:r>
        <w:rPr>
          <w:rFonts w:hint="eastAsia"/>
          <w:b/>
          <w:bCs/>
          <w:sz w:val="24"/>
        </w:rPr>
        <w:t xml:space="preserve">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lang w:val="en-US" w:eastAsia="zh-CN"/>
        </w:rPr>
        <w:t>1、</w:t>
      </w:r>
      <w:r>
        <w:rPr>
          <w:rFonts w:hint="eastAsia"/>
          <w:sz w:val="24"/>
        </w:rPr>
        <w:t>时间：</w:t>
      </w:r>
      <w:r>
        <w:rPr>
          <w:sz w:val="24"/>
        </w:rPr>
        <w:t>202</w:t>
      </w:r>
      <w:r>
        <w:rPr>
          <w:rFonts w:hint="eastAsia"/>
          <w:sz w:val="24"/>
          <w:lang w:val="en-US" w:eastAsia="zh-CN"/>
        </w:rPr>
        <w:t>5</w:t>
      </w:r>
      <w:r>
        <w:rPr>
          <w:rFonts w:hint="eastAsia"/>
          <w:sz w:val="24"/>
        </w:rPr>
        <w:t>年</w:t>
      </w:r>
      <w:r>
        <w:rPr>
          <w:rFonts w:hint="eastAsia"/>
          <w:sz w:val="24"/>
          <w:lang w:val="en-US" w:eastAsia="zh-CN"/>
        </w:rPr>
        <w:t xml:space="preserve"> 3</w:t>
      </w:r>
      <w:r>
        <w:rPr>
          <w:rFonts w:hint="eastAsia"/>
          <w:sz w:val="24"/>
        </w:rPr>
        <w:t>月</w:t>
      </w:r>
      <w:r>
        <w:rPr>
          <w:rFonts w:hint="eastAsia"/>
          <w:sz w:val="24"/>
          <w:lang w:val="en-US" w:eastAsia="zh-CN"/>
        </w:rPr>
        <w:t xml:space="preserve">18 </w:t>
      </w:r>
      <w:r>
        <w:rPr>
          <w:rFonts w:hint="eastAsia"/>
          <w:sz w:val="24"/>
        </w:rPr>
        <w:t>日</w:t>
      </w:r>
      <w:r>
        <w:rPr>
          <w:rFonts w:hint="eastAsia"/>
          <w:sz w:val="24"/>
          <w:lang w:val="en-US" w:eastAsia="zh-CN"/>
        </w:rPr>
        <w:t>8</w:t>
      </w:r>
      <w:r>
        <w:rPr>
          <w:rFonts w:hint="eastAsia"/>
          <w:sz w:val="24"/>
        </w:rPr>
        <w:t>时</w:t>
      </w:r>
      <w:r>
        <w:rPr>
          <w:rFonts w:hint="eastAsia"/>
          <w:sz w:val="24"/>
          <w:lang w:val="en-US" w:eastAsia="zh-CN"/>
        </w:rPr>
        <w:t>4</w:t>
      </w:r>
      <w:r>
        <w:rPr>
          <w:sz w:val="24"/>
        </w:rPr>
        <w:t>0</w:t>
      </w:r>
      <w:r>
        <w:rPr>
          <w:rFonts w:hint="eastAsia"/>
          <w:sz w:val="24"/>
        </w:rPr>
        <w:t xml:space="preserve">分（北京时间）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lang w:val="en-US" w:eastAsia="zh-CN"/>
        </w:rPr>
        <w:t>2、</w:t>
      </w:r>
      <w:r>
        <w:rPr>
          <w:rFonts w:hint="eastAsia"/>
          <w:sz w:val="24"/>
        </w:rPr>
        <w:t>地点：全国公共资源交易平台（河南省·平顶山市）》http://ggzy.pds.gov.cn/</w:t>
      </w:r>
    </w:p>
    <w:p>
      <w:pPr>
        <w:keepNext w:val="0"/>
        <w:keepLines w:val="0"/>
        <w:pageBreakBefore w:val="0"/>
        <w:widowControl w:val="0"/>
        <w:kinsoku/>
        <w:wordWrap/>
        <w:overflowPunct/>
        <w:topLinePunct w:val="0"/>
        <w:bidi w:val="0"/>
        <w:snapToGrid/>
        <w:spacing w:line="336" w:lineRule="auto"/>
        <w:textAlignment w:val="auto"/>
        <w:rPr>
          <w:rFonts w:hint="eastAsia" w:eastAsia="宋体"/>
          <w:b/>
          <w:bCs/>
          <w:sz w:val="24"/>
          <w:lang w:eastAsia="zh-CN"/>
        </w:rPr>
      </w:pPr>
      <w:r>
        <w:rPr>
          <w:rFonts w:hint="eastAsia"/>
          <w:b/>
          <w:bCs/>
          <w:sz w:val="24"/>
        </w:rPr>
        <w:t>五、</w:t>
      </w:r>
      <w:r>
        <w:rPr>
          <w:rFonts w:hint="eastAsia"/>
          <w:b/>
          <w:bCs/>
          <w:sz w:val="24"/>
          <w:lang w:eastAsia="zh-CN"/>
        </w:rPr>
        <w:t>开标时间及地点</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lang w:val="en-US" w:eastAsia="zh-CN"/>
        </w:rPr>
        <w:t>1、</w:t>
      </w:r>
      <w:r>
        <w:rPr>
          <w:rFonts w:hint="eastAsia"/>
          <w:sz w:val="24"/>
        </w:rPr>
        <w:t>时间：</w:t>
      </w:r>
      <w:r>
        <w:rPr>
          <w:sz w:val="24"/>
        </w:rPr>
        <w:t>202</w:t>
      </w:r>
      <w:r>
        <w:rPr>
          <w:rFonts w:hint="eastAsia"/>
          <w:sz w:val="24"/>
          <w:lang w:val="en-US" w:eastAsia="zh-CN"/>
        </w:rPr>
        <w:t>5</w:t>
      </w:r>
      <w:r>
        <w:rPr>
          <w:rFonts w:hint="eastAsia"/>
          <w:sz w:val="24"/>
        </w:rPr>
        <w:t>年</w:t>
      </w:r>
      <w:r>
        <w:rPr>
          <w:rFonts w:hint="eastAsia"/>
          <w:sz w:val="24"/>
          <w:lang w:val="en-US" w:eastAsia="zh-CN"/>
        </w:rPr>
        <w:t xml:space="preserve">3 </w:t>
      </w:r>
      <w:r>
        <w:rPr>
          <w:rFonts w:hint="eastAsia"/>
          <w:sz w:val="24"/>
        </w:rPr>
        <w:t>月</w:t>
      </w:r>
      <w:r>
        <w:rPr>
          <w:rFonts w:hint="eastAsia"/>
          <w:sz w:val="24"/>
          <w:lang w:val="en-US" w:eastAsia="zh-CN"/>
        </w:rPr>
        <w:t xml:space="preserve">18 </w:t>
      </w:r>
      <w:r>
        <w:rPr>
          <w:rFonts w:hint="eastAsia"/>
          <w:sz w:val="24"/>
        </w:rPr>
        <w:t>日</w:t>
      </w:r>
      <w:r>
        <w:rPr>
          <w:rFonts w:hint="eastAsia"/>
          <w:sz w:val="24"/>
          <w:lang w:val="en-US" w:eastAsia="zh-CN"/>
        </w:rPr>
        <w:t>8</w:t>
      </w:r>
      <w:r>
        <w:rPr>
          <w:rFonts w:hint="eastAsia"/>
          <w:sz w:val="24"/>
        </w:rPr>
        <w:t>时</w:t>
      </w:r>
      <w:r>
        <w:rPr>
          <w:rFonts w:hint="eastAsia"/>
          <w:sz w:val="24"/>
          <w:lang w:val="en-US" w:eastAsia="zh-CN"/>
        </w:rPr>
        <w:t>4</w:t>
      </w:r>
      <w:r>
        <w:rPr>
          <w:sz w:val="24"/>
        </w:rPr>
        <w:t>0</w:t>
      </w:r>
      <w:r>
        <w:rPr>
          <w:rFonts w:hint="eastAsia"/>
          <w:sz w:val="24"/>
        </w:rPr>
        <w:t xml:space="preserve">分（北京时间）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lang w:val="en-US" w:eastAsia="zh-CN"/>
        </w:rPr>
        <w:t>2、</w:t>
      </w:r>
      <w:r>
        <w:rPr>
          <w:rFonts w:hint="eastAsia"/>
          <w:sz w:val="24"/>
        </w:rPr>
        <w:t>地点：全国公共资源交易平台（河南省·平顶山市）》http://ggzy.pds.gov.cn/</w:t>
      </w:r>
    </w:p>
    <w:p>
      <w:pPr>
        <w:keepNext w:val="0"/>
        <w:keepLines w:val="0"/>
        <w:pageBreakBefore w:val="0"/>
        <w:widowControl w:val="0"/>
        <w:kinsoku/>
        <w:wordWrap/>
        <w:overflowPunct/>
        <w:topLinePunct w:val="0"/>
        <w:bidi w:val="0"/>
        <w:snapToGrid/>
        <w:spacing w:line="336" w:lineRule="auto"/>
        <w:textAlignment w:val="auto"/>
        <w:rPr>
          <w:b/>
          <w:bCs/>
          <w:sz w:val="24"/>
        </w:rPr>
      </w:pPr>
      <w:r>
        <w:rPr>
          <w:rFonts w:hint="eastAsia"/>
          <w:b/>
          <w:bCs/>
          <w:sz w:val="24"/>
        </w:rPr>
        <w:t>六、</w:t>
      </w:r>
      <w:r>
        <w:rPr>
          <w:rFonts w:hint="eastAsia"/>
          <w:b/>
          <w:bCs/>
          <w:sz w:val="24"/>
          <w:lang w:eastAsia="zh-CN"/>
        </w:rPr>
        <w:t>发布公告的媒介及招标公告期限</w:t>
      </w:r>
      <w:r>
        <w:rPr>
          <w:rFonts w:hint="eastAsia"/>
          <w:b/>
          <w:bCs/>
          <w:sz w:val="24"/>
        </w:rPr>
        <w:t xml:space="preserve"> </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default" w:eastAsia="宋体"/>
          <w:sz w:val="24"/>
          <w:lang w:val="en-US" w:eastAsia="zh-CN"/>
        </w:rPr>
      </w:pPr>
      <w:r>
        <w:rPr>
          <w:rFonts w:hint="eastAsia"/>
          <w:sz w:val="24"/>
        </w:rPr>
        <w:t>本次招标公告在《河南省政府采购网》、《平顶山市政府采购网》、《平顶山市石龙区政府采购网》、《全国公共资源交易平台（河南省·平顶山市）》、《全国公共资源交易平台（河南省）》上发布。 招标公告期限为五个工作日</w:t>
      </w:r>
      <w:r>
        <w:rPr>
          <w:rFonts w:hint="eastAsia"/>
          <w:sz w:val="24"/>
          <w:lang w:eastAsia="zh-CN"/>
        </w:rPr>
        <w:t>。</w:t>
      </w:r>
      <w:r>
        <w:rPr>
          <w:rFonts w:hint="eastAsia"/>
          <w:sz w:val="24"/>
          <w:lang w:val="en-US" w:eastAsia="zh-CN"/>
        </w:rPr>
        <w:tab/>
      </w:r>
    </w:p>
    <w:p>
      <w:pPr>
        <w:keepNext w:val="0"/>
        <w:keepLines w:val="0"/>
        <w:pageBreakBefore w:val="0"/>
        <w:widowControl w:val="0"/>
        <w:kinsoku/>
        <w:wordWrap/>
        <w:overflowPunct/>
        <w:topLinePunct w:val="0"/>
        <w:bidi w:val="0"/>
        <w:snapToGrid/>
        <w:spacing w:line="336" w:lineRule="auto"/>
        <w:textAlignment w:val="auto"/>
        <w:rPr>
          <w:b/>
          <w:bCs/>
          <w:sz w:val="24"/>
        </w:rPr>
      </w:pPr>
      <w:r>
        <w:rPr>
          <w:rFonts w:hint="eastAsia"/>
          <w:b/>
          <w:bCs/>
          <w:sz w:val="24"/>
        </w:rPr>
        <w:t>七、其他补充事宜</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rPr>
      </w:pPr>
      <w:r>
        <w:rPr>
          <w:rFonts w:hint="eastAsia"/>
          <w:sz w:val="24"/>
        </w:rPr>
        <w:t>1、本次开标全面实行在线“不见面”开标，投标人远程在线解密投标文件，不再到开标现场，投标人开标前应仔细阅读《“不见面”开标注意事项及操作流程》）。</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rPr>
      </w:pPr>
      <w:r>
        <w:rPr>
          <w:rFonts w:hint="eastAsia"/>
          <w:sz w:val="24"/>
        </w:rPr>
        <w:t>2、投标人可通过平顶山市公共资源交易平台向招标人（代理机构）、行政监督部门提出在线质疑（异议）、投诉。</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rPr>
      </w:pPr>
      <w:r>
        <w:rPr>
          <w:rFonts w:hint="eastAsia"/>
          <w:sz w:val="24"/>
        </w:rPr>
        <w:t>3、监督部门：平顶山市石龙区政府采购管理办公室</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rPr>
      </w:pPr>
      <w:r>
        <w:rPr>
          <w:rFonts w:hint="eastAsia"/>
          <w:sz w:val="24"/>
        </w:rPr>
        <w:t>联系人及电话：魏先生 0375-2527528</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rPr>
      </w:pPr>
      <w:r>
        <w:rPr>
          <w:rFonts w:hint="eastAsia"/>
          <w:sz w:val="24"/>
        </w:rPr>
        <w:t>统一社会信用代码：11410400005452110L</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4、该公告已同步至“平顶山市公共资源交易中心微信公众号,”可通过公众号中的服务栏目进行查阅。</w:t>
      </w:r>
    </w:p>
    <w:p>
      <w:pPr>
        <w:keepNext w:val="0"/>
        <w:keepLines w:val="0"/>
        <w:pageBreakBefore w:val="0"/>
        <w:widowControl w:val="0"/>
        <w:kinsoku/>
        <w:wordWrap/>
        <w:overflowPunct/>
        <w:topLinePunct w:val="0"/>
        <w:bidi w:val="0"/>
        <w:snapToGrid/>
        <w:spacing w:line="336" w:lineRule="auto"/>
        <w:textAlignment w:val="auto"/>
        <w:rPr>
          <w:b/>
          <w:bCs/>
          <w:sz w:val="24"/>
        </w:rPr>
      </w:pPr>
      <w:r>
        <w:rPr>
          <w:rFonts w:hint="eastAsia"/>
          <w:b/>
          <w:bCs/>
          <w:sz w:val="24"/>
        </w:rPr>
        <w:t xml:space="preserve">八、凡对本次采购提出询问，请按以下方式联系。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1. 采购人信息</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eastAsia="宋体"/>
          <w:sz w:val="24"/>
          <w:lang w:eastAsia="zh-CN"/>
        </w:rPr>
      </w:pPr>
      <w:r>
        <w:rPr>
          <w:rFonts w:hint="eastAsia"/>
          <w:sz w:val="24"/>
        </w:rPr>
        <w:t>名    称：</w:t>
      </w:r>
      <w:r>
        <w:rPr>
          <w:rFonts w:hint="eastAsia"/>
          <w:sz w:val="24"/>
          <w:lang w:eastAsia="zh-CN"/>
        </w:rPr>
        <w:t>平顶山市石龙区农业农村和水利局</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地    址：平顶山市石龙区昌茂大道35号</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highlight w:val="none"/>
        </w:rPr>
      </w:pPr>
      <w:r>
        <w:rPr>
          <w:rFonts w:hint="eastAsia"/>
          <w:sz w:val="24"/>
          <w:highlight w:val="none"/>
        </w:rPr>
        <w:t>联</w:t>
      </w:r>
      <w:r>
        <w:rPr>
          <w:rFonts w:hint="eastAsia"/>
          <w:sz w:val="24"/>
          <w:highlight w:val="none"/>
          <w:lang w:val="en-US" w:eastAsia="zh-CN"/>
        </w:rPr>
        <w:t xml:space="preserve"> </w:t>
      </w:r>
      <w:r>
        <w:rPr>
          <w:rFonts w:hint="eastAsia"/>
          <w:sz w:val="24"/>
          <w:highlight w:val="none"/>
        </w:rPr>
        <w:t>系</w:t>
      </w:r>
      <w:r>
        <w:rPr>
          <w:rFonts w:hint="eastAsia"/>
          <w:sz w:val="24"/>
          <w:highlight w:val="none"/>
          <w:lang w:val="en-US" w:eastAsia="zh-CN"/>
        </w:rPr>
        <w:t xml:space="preserve"> 人</w:t>
      </w:r>
      <w:r>
        <w:rPr>
          <w:rFonts w:hint="eastAsia"/>
          <w:sz w:val="24"/>
          <w:highlight w:val="none"/>
        </w:rPr>
        <w:t>：</w:t>
      </w:r>
      <w:r>
        <w:rPr>
          <w:rFonts w:hint="eastAsia"/>
          <w:sz w:val="24"/>
          <w:highlight w:val="none"/>
          <w:lang w:val="en-US" w:eastAsia="zh-CN"/>
        </w:rPr>
        <w:t>李先生</w:t>
      </w:r>
      <w:r>
        <w:rPr>
          <w:rFonts w:hint="eastAsia"/>
          <w:sz w:val="24"/>
          <w:highlight w:val="none"/>
        </w:rPr>
        <w:t xml:space="preserve">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highlight w:val="none"/>
          <w:lang w:val="en-US" w:eastAsia="zh-CN"/>
        </w:rPr>
        <w:t>联系方式：</w:t>
      </w:r>
      <w:r>
        <w:rPr>
          <w:rFonts w:hint="eastAsia"/>
          <w:sz w:val="24"/>
          <w:highlight w:val="none"/>
        </w:rPr>
        <w:t xml:space="preserve"> </w:t>
      </w:r>
      <w:r>
        <w:rPr>
          <w:rFonts w:hint="eastAsia"/>
          <w:sz w:val="24"/>
          <w:highlight w:val="none"/>
          <w:lang w:val="en-US" w:eastAsia="zh-CN"/>
        </w:rPr>
        <w:t>0375-2535229</w:t>
      </w:r>
      <w:r>
        <w:rPr>
          <w:rFonts w:hint="eastAsia"/>
          <w:sz w:val="24"/>
        </w:rPr>
        <w:t xml:space="preserve">    </w:t>
      </w:r>
    </w:p>
    <w:p>
      <w:pPr>
        <w:keepNext w:val="0"/>
        <w:keepLines w:val="0"/>
        <w:pageBreakBefore w:val="0"/>
        <w:widowControl w:val="0"/>
        <w:numPr>
          <w:ilvl w:val="0"/>
          <w:numId w:val="1"/>
        </w:numPr>
        <w:kinsoku/>
        <w:wordWrap/>
        <w:overflowPunct/>
        <w:topLinePunct w:val="0"/>
        <w:bidi w:val="0"/>
        <w:snapToGrid/>
        <w:spacing w:line="336" w:lineRule="auto"/>
        <w:ind w:firstLine="480" w:firstLineChars="200"/>
        <w:textAlignment w:val="auto"/>
        <w:rPr>
          <w:sz w:val="24"/>
        </w:rPr>
      </w:pPr>
      <w:r>
        <w:rPr>
          <w:rFonts w:hint="eastAsia"/>
          <w:sz w:val="24"/>
        </w:rPr>
        <w:t>采购代理机构信息</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eastAsia="宋体"/>
          <w:sz w:val="24"/>
          <w:lang w:eastAsia="zh-CN"/>
        </w:rPr>
      </w:pPr>
      <w:r>
        <w:rPr>
          <w:rFonts w:hint="eastAsia"/>
          <w:sz w:val="24"/>
        </w:rPr>
        <w:t>名    称：</w:t>
      </w:r>
      <w:r>
        <w:rPr>
          <w:rFonts w:hint="eastAsia"/>
          <w:sz w:val="24"/>
          <w:lang w:eastAsia="zh-CN"/>
        </w:rPr>
        <w:t>河南标翰工程咨询有限公司</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地    址：河南省平顶山市汝州市大时代购物公园A区2001号</w:t>
      </w:r>
    </w:p>
    <w:p>
      <w:pPr>
        <w:keepNext w:val="0"/>
        <w:keepLines w:val="0"/>
        <w:pageBreakBefore w:val="0"/>
        <w:widowControl w:val="0"/>
        <w:kinsoku/>
        <w:wordWrap/>
        <w:overflowPunct/>
        <w:topLinePunct w:val="0"/>
        <w:bidi w:val="0"/>
        <w:snapToGrid/>
        <w:spacing w:line="336" w:lineRule="auto"/>
        <w:ind w:firstLine="480" w:firstLineChars="200"/>
        <w:textAlignment w:val="auto"/>
        <w:rPr>
          <w:rFonts w:hint="eastAsia"/>
          <w:sz w:val="24"/>
        </w:rPr>
      </w:pPr>
      <w:r>
        <w:rPr>
          <w:rFonts w:hint="eastAsia"/>
          <w:sz w:val="24"/>
        </w:rPr>
        <w:t>联系</w:t>
      </w:r>
      <w:r>
        <w:rPr>
          <w:rFonts w:hint="eastAsia"/>
          <w:sz w:val="24"/>
          <w:lang w:val="en-US" w:eastAsia="zh-CN"/>
        </w:rPr>
        <w:t>人</w:t>
      </w:r>
      <w:r>
        <w:rPr>
          <w:rFonts w:hint="eastAsia"/>
          <w:sz w:val="24"/>
        </w:rPr>
        <w:t>：</w:t>
      </w:r>
      <w:r>
        <w:rPr>
          <w:rFonts w:hint="eastAsia"/>
          <w:sz w:val="24"/>
          <w:lang w:val="en-US" w:eastAsia="zh-CN"/>
        </w:rPr>
        <w:t>郭</w:t>
      </w:r>
      <w:r>
        <w:rPr>
          <w:rFonts w:hint="eastAsia"/>
          <w:sz w:val="24"/>
        </w:rPr>
        <w:t xml:space="preserve">女士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lang w:val="en-US" w:eastAsia="zh-CN"/>
        </w:rPr>
        <w:t>联系方式：13183329332</w:t>
      </w:r>
      <w:r>
        <w:rPr>
          <w:rFonts w:hint="eastAsia"/>
          <w:sz w:val="24"/>
        </w:rPr>
        <w:t xml:space="preserve"> </w:t>
      </w:r>
    </w:p>
    <w:p>
      <w:pPr>
        <w:keepNext w:val="0"/>
        <w:keepLines w:val="0"/>
        <w:pageBreakBefore w:val="0"/>
        <w:widowControl w:val="0"/>
        <w:numPr>
          <w:ilvl w:val="0"/>
          <w:numId w:val="1"/>
        </w:numPr>
        <w:kinsoku/>
        <w:wordWrap/>
        <w:overflowPunct/>
        <w:topLinePunct w:val="0"/>
        <w:bidi w:val="0"/>
        <w:snapToGrid/>
        <w:spacing w:line="336" w:lineRule="auto"/>
        <w:ind w:firstLine="480" w:firstLineChars="200"/>
        <w:textAlignment w:val="auto"/>
        <w:rPr>
          <w:sz w:val="24"/>
        </w:rPr>
      </w:pPr>
      <w:r>
        <w:rPr>
          <w:rFonts w:hint="eastAsia"/>
          <w:sz w:val="24"/>
        </w:rPr>
        <w:t>项目联系方式</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项目联系人：</w:t>
      </w:r>
      <w:r>
        <w:rPr>
          <w:rFonts w:hint="eastAsia"/>
          <w:sz w:val="24"/>
          <w:lang w:val="en-US" w:eastAsia="zh-CN"/>
        </w:rPr>
        <w:t>郭</w:t>
      </w:r>
      <w:r>
        <w:rPr>
          <w:rFonts w:hint="eastAsia"/>
          <w:sz w:val="24"/>
        </w:rPr>
        <w:t>女士</w:t>
      </w:r>
      <w:r>
        <w:rPr>
          <w:sz w:val="24"/>
        </w:rPr>
        <w:t xml:space="preserve">    </w:t>
      </w:r>
    </w:p>
    <w:p>
      <w:pPr>
        <w:keepNext w:val="0"/>
        <w:keepLines w:val="0"/>
        <w:pageBreakBefore w:val="0"/>
        <w:widowControl w:val="0"/>
        <w:kinsoku/>
        <w:wordWrap/>
        <w:overflowPunct/>
        <w:topLinePunct w:val="0"/>
        <w:bidi w:val="0"/>
        <w:snapToGrid/>
        <w:spacing w:line="336" w:lineRule="auto"/>
        <w:ind w:firstLine="480" w:firstLineChars="200"/>
        <w:textAlignment w:val="auto"/>
        <w:rPr>
          <w:sz w:val="24"/>
        </w:rPr>
      </w:pPr>
      <w:r>
        <w:rPr>
          <w:rFonts w:hint="eastAsia"/>
          <w:sz w:val="24"/>
        </w:rPr>
        <w:t>电    话：</w:t>
      </w:r>
      <w:r>
        <w:rPr>
          <w:rFonts w:hint="eastAsia"/>
          <w:sz w:val="24"/>
          <w:lang w:val="en-US" w:eastAsia="zh-CN"/>
        </w:rPr>
        <w:t>13183329332</w:t>
      </w:r>
    </w:p>
    <w:p>
      <w:pPr>
        <w:pStyle w:val="28"/>
        <w:keepNext w:val="0"/>
        <w:keepLines w:val="0"/>
        <w:pageBreakBefore w:val="0"/>
        <w:widowControl w:val="0"/>
        <w:kinsoku/>
        <w:wordWrap/>
        <w:overflowPunct/>
        <w:topLinePunct w:val="0"/>
        <w:bidi w:val="0"/>
        <w:snapToGrid/>
        <w:spacing w:line="336" w:lineRule="auto"/>
        <w:textAlignment w:val="auto"/>
      </w:pPr>
    </w:p>
    <w:p>
      <w:pPr>
        <w:keepNext w:val="0"/>
        <w:keepLines w:val="0"/>
        <w:pageBreakBefore w:val="0"/>
        <w:widowControl w:val="0"/>
        <w:kinsoku/>
        <w:wordWrap/>
        <w:overflowPunct/>
        <w:topLinePunct w:val="0"/>
        <w:bidi w:val="0"/>
        <w:snapToGrid/>
        <w:spacing w:line="336" w:lineRule="auto"/>
        <w:ind w:firstLine="4200" w:firstLineChars="1500"/>
        <w:textAlignment w:val="auto"/>
      </w:pPr>
    </w:p>
    <w:p>
      <w:pPr>
        <w:pStyle w:val="8"/>
        <w:jc w:val="center"/>
      </w:pPr>
      <w:bookmarkStart w:id="4" w:name="_Toc32759"/>
      <w:bookmarkStart w:id="5" w:name="_Toc16848"/>
      <w:r>
        <w:rPr>
          <w:rFonts w:hint="eastAsia"/>
          <w:lang w:eastAsia="zh-CN"/>
        </w:rPr>
        <w:t>第二章</w:t>
      </w:r>
      <w:r>
        <w:rPr>
          <w:rFonts w:hint="eastAsia"/>
        </w:rPr>
        <w:t xml:space="preserve"> 投标人须知</w:t>
      </w:r>
      <w:bookmarkEnd w:id="4"/>
      <w:bookmarkEnd w:id="5"/>
    </w:p>
    <w:p>
      <w:pPr>
        <w:jc w:val="center"/>
        <w:rPr>
          <w:rFonts w:ascii="宋体" w:hAnsi="宋体" w:cs="宋体"/>
          <w:b/>
          <w:bCs/>
        </w:rPr>
      </w:pPr>
      <w:r>
        <w:rPr>
          <w:rFonts w:hint="eastAsia" w:ascii="宋体" w:hAnsi="宋体" w:cs="宋体"/>
          <w:b/>
          <w:bCs/>
        </w:rPr>
        <w:t>投标人须知前附表</w:t>
      </w:r>
    </w:p>
    <w:tbl>
      <w:tblPr>
        <w:tblStyle w:val="21"/>
        <w:tblpPr w:leftFromText="180" w:rightFromText="180" w:vertAnchor="text" w:horzAnchor="page" w:tblpX="1113" w:tblpY="349"/>
        <w:tblOverlap w:val="never"/>
        <w:tblW w:w="9654"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26"/>
        <w:gridCol w:w="2717"/>
        <w:gridCol w:w="58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bottom w:val="single" w:color="000000" w:sz="6" w:space="0"/>
              <w:right w:val="single" w:color="000000" w:sz="6" w:space="0"/>
            </w:tcBorders>
            <w:noWrap/>
          </w:tcPr>
          <w:p>
            <w:pPr>
              <w:pStyle w:val="30"/>
              <w:spacing w:before="111"/>
              <w:jc w:val="center"/>
              <w:rPr>
                <w:sz w:val="21"/>
              </w:rPr>
            </w:pPr>
            <w:bookmarkStart w:id="6" w:name="_Toc441065665"/>
            <w:r>
              <w:rPr>
                <w:rFonts w:hint="eastAsia"/>
                <w:sz w:val="21"/>
              </w:rPr>
              <w:t>条款号</w:t>
            </w:r>
          </w:p>
        </w:tc>
        <w:tc>
          <w:tcPr>
            <w:tcW w:w="2717" w:type="dxa"/>
            <w:tcBorders>
              <w:left w:val="single" w:color="000000" w:sz="6" w:space="0"/>
              <w:bottom w:val="single" w:color="000000" w:sz="6" w:space="0"/>
              <w:right w:val="single" w:color="000000" w:sz="6" w:space="0"/>
            </w:tcBorders>
            <w:noWrap/>
          </w:tcPr>
          <w:p>
            <w:pPr>
              <w:pStyle w:val="30"/>
              <w:spacing w:before="111"/>
              <w:jc w:val="center"/>
              <w:rPr>
                <w:sz w:val="21"/>
                <w:szCs w:val="22"/>
              </w:rPr>
            </w:pPr>
            <w:r>
              <w:rPr>
                <w:rFonts w:hint="eastAsia"/>
                <w:sz w:val="21"/>
                <w:szCs w:val="22"/>
              </w:rPr>
              <w:t>条款名称</w:t>
            </w:r>
          </w:p>
        </w:tc>
        <w:tc>
          <w:tcPr>
            <w:tcW w:w="5811" w:type="dxa"/>
            <w:tcBorders>
              <w:left w:val="single" w:color="000000" w:sz="6" w:space="0"/>
              <w:bottom w:val="single" w:color="000000" w:sz="6" w:space="0"/>
            </w:tcBorders>
            <w:noWrap/>
          </w:tcPr>
          <w:p>
            <w:pPr>
              <w:pStyle w:val="30"/>
              <w:spacing w:before="111"/>
              <w:jc w:val="center"/>
              <w:rPr>
                <w:sz w:val="21"/>
                <w:szCs w:val="22"/>
              </w:rPr>
            </w:pPr>
            <w:r>
              <w:rPr>
                <w:rFonts w:hint="eastAsia"/>
                <w:sz w:val="21"/>
                <w:szCs w:val="22"/>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b/>
                <w:sz w:val="21"/>
              </w:rPr>
            </w:pPr>
          </w:p>
          <w:p>
            <w:pPr>
              <w:pStyle w:val="30"/>
              <w:jc w:val="center"/>
              <w:rPr>
                <w:sz w:val="21"/>
              </w:rPr>
            </w:pPr>
            <w:r>
              <w:rPr>
                <w:rFonts w:hint="eastAsia"/>
                <w:sz w:val="21"/>
              </w:rPr>
              <w:t>1.1.</w:t>
            </w:r>
            <w:r>
              <w:rPr>
                <w:rFonts w:hint="eastAsia"/>
                <w:sz w:val="21"/>
                <w:lang w:val="en-US"/>
              </w:rPr>
              <w:t>1</w:t>
            </w:r>
          </w:p>
        </w:tc>
        <w:tc>
          <w:tcPr>
            <w:tcW w:w="2717" w:type="dxa"/>
            <w:tcBorders>
              <w:top w:val="single" w:color="000000" w:sz="6" w:space="0"/>
              <w:left w:val="single" w:color="000000" w:sz="6" w:space="0"/>
              <w:bottom w:val="single" w:color="000000" w:sz="6" w:space="0"/>
              <w:right w:val="single" w:color="000000" w:sz="6" w:space="0"/>
            </w:tcBorders>
            <w:noWrap/>
          </w:tcPr>
          <w:p>
            <w:pPr>
              <w:pStyle w:val="30"/>
              <w:jc w:val="center"/>
              <w:rPr>
                <w:b/>
                <w:sz w:val="21"/>
              </w:rPr>
            </w:pPr>
          </w:p>
          <w:p>
            <w:pPr>
              <w:pStyle w:val="30"/>
              <w:ind w:left="150" w:right="123"/>
              <w:jc w:val="center"/>
              <w:rPr>
                <w:sz w:val="21"/>
              </w:rPr>
            </w:pPr>
            <w:r>
              <w:rPr>
                <w:rFonts w:hint="eastAsia"/>
                <w:sz w:val="21"/>
              </w:rPr>
              <w:t>招标人</w:t>
            </w:r>
          </w:p>
        </w:tc>
        <w:tc>
          <w:tcPr>
            <w:tcW w:w="5811" w:type="dxa"/>
            <w:tcBorders>
              <w:top w:val="single" w:color="000000" w:sz="6" w:space="0"/>
              <w:left w:val="single" w:color="000000" w:sz="6" w:space="0"/>
              <w:bottom w:val="single" w:color="000000" w:sz="6" w:space="0"/>
            </w:tcBorders>
            <w:noWrap/>
          </w:tcPr>
          <w:p>
            <w:pPr>
              <w:rPr>
                <w:rFonts w:hint="eastAsia" w:ascii="宋体" w:hAnsi="宋体" w:cs="宋体"/>
                <w:sz w:val="22"/>
                <w:szCs w:val="16"/>
              </w:rPr>
            </w:pPr>
            <w:r>
              <w:rPr>
                <w:rFonts w:hint="eastAsia" w:ascii="宋体" w:hAnsi="宋体" w:cs="宋体"/>
                <w:sz w:val="22"/>
                <w:szCs w:val="16"/>
              </w:rPr>
              <w:t>名    称：平顶山市石龙区农业农村和水利局</w:t>
            </w:r>
          </w:p>
          <w:p>
            <w:pPr>
              <w:rPr>
                <w:rFonts w:hint="eastAsia" w:ascii="宋体" w:hAnsi="宋体" w:cs="宋体"/>
                <w:sz w:val="22"/>
                <w:szCs w:val="16"/>
              </w:rPr>
            </w:pPr>
            <w:r>
              <w:rPr>
                <w:rFonts w:hint="eastAsia" w:ascii="宋体" w:hAnsi="宋体" w:cs="宋体"/>
                <w:sz w:val="22"/>
                <w:szCs w:val="16"/>
              </w:rPr>
              <w:t>地    址：平顶山市石龙区昌茂大道35号</w:t>
            </w:r>
          </w:p>
          <w:p>
            <w:pPr>
              <w:rPr>
                <w:rFonts w:hint="eastAsia" w:ascii="宋体" w:hAnsi="宋体" w:cs="宋体"/>
                <w:sz w:val="22"/>
                <w:szCs w:val="16"/>
              </w:rPr>
            </w:pPr>
            <w:r>
              <w:rPr>
                <w:rFonts w:hint="eastAsia" w:ascii="宋体" w:hAnsi="宋体" w:cs="宋体"/>
                <w:sz w:val="22"/>
                <w:szCs w:val="16"/>
              </w:rPr>
              <w:t xml:space="preserve">联 系 人：李先生  </w:t>
            </w:r>
          </w:p>
          <w:p>
            <w:pPr>
              <w:rPr>
                <w:rFonts w:ascii="宋体" w:hAnsi="宋体" w:cs="宋体"/>
                <w:sz w:val="22"/>
                <w:szCs w:val="16"/>
              </w:rPr>
            </w:pPr>
            <w:r>
              <w:rPr>
                <w:rFonts w:hint="eastAsia" w:ascii="宋体" w:hAnsi="宋体" w:cs="宋体"/>
                <w:sz w:val="22"/>
                <w:szCs w:val="16"/>
              </w:rPr>
              <w:t>联系方式： 0375-2535229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5" w:hRule="atLeast"/>
        </w:trPr>
        <w:tc>
          <w:tcPr>
            <w:tcW w:w="1126" w:type="dxa"/>
            <w:tcBorders>
              <w:top w:val="single" w:color="000000" w:sz="6" w:space="0"/>
              <w:bottom w:val="single" w:color="000000" w:sz="6" w:space="0"/>
              <w:right w:val="single" w:color="000000" w:sz="6" w:space="0"/>
            </w:tcBorders>
            <w:noWrap/>
            <w:vAlign w:val="center"/>
          </w:tcPr>
          <w:p>
            <w:pPr>
              <w:pStyle w:val="30"/>
              <w:spacing w:before="2"/>
              <w:jc w:val="center"/>
              <w:rPr>
                <w:b/>
                <w:sz w:val="21"/>
              </w:rPr>
            </w:pPr>
          </w:p>
          <w:p>
            <w:pPr>
              <w:pStyle w:val="30"/>
              <w:jc w:val="center"/>
              <w:rPr>
                <w:sz w:val="21"/>
              </w:rPr>
            </w:pPr>
            <w:r>
              <w:rPr>
                <w:rFonts w:hint="eastAsia"/>
                <w:sz w:val="21"/>
              </w:rPr>
              <w:t>1.1.</w:t>
            </w:r>
            <w:r>
              <w:rPr>
                <w:rFonts w:hint="eastAsia"/>
                <w:sz w:val="21"/>
                <w:lang w:val="en-US"/>
              </w:rPr>
              <w:t>2</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2"/>
              <w:jc w:val="center"/>
              <w:rPr>
                <w:b/>
                <w:sz w:val="21"/>
              </w:rPr>
            </w:pPr>
          </w:p>
          <w:p>
            <w:pPr>
              <w:pStyle w:val="30"/>
              <w:jc w:val="center"/>
              <w:rPr>
                <w:sz w:val="21"/>
              </w:rPr>
            </w:pPr>
            <w:r>
              <w:rPr>
                <w:rFonts w:hint="eastAsia"/>
                <w:sz w:val="21"/>
              </w:rPr>
              <w:t>招标代理机构</w:t>
            </w:r>
          </w:p>
        </w:tc>
        <w:tc>
          <w:tcPr>
            <w:tcW w:w="5811" w:type="dxa"/>
            <w:tcBorders>
              <w:top w:val="single" w:color="000000" w:sz="6" w:space="0"/>
              <w:left w:val="single" w:color="000000" w:sz="6" w:space="0"/>
              <w:bottom w:val="single" w:color="000000" w:sz="6" w:space="0"/>
            </w:tcBorders>
            <w:noWrap/>
          </w:tcPr>
          <w:p>
            <w:pPr>
              <w:rPr>
                <w:rFonts w:hint="eastAsia" w:ascii="宋体" w:hAnsi="宋体" w:cs="宋体"/>
                <w:sz w:val="22"/>
                <w:szCs w:val="16"/>
              </w:rPr>
            </w:pPr>
            <w:r>
              <w:rPr>
                <w:rFonts w:hint="eastAsia" w:ascii="宋体" w:hAnsi="宋体" w:cs="宋体"/>
                <w:sz w:val="22"/>
                <w:szCs w:val="16"/>
              </w:rPr>
              <w:t>名    称：河南标翰工程咨询有限公司</w:t>
            </w:r>
          </w:p>
          <w:p>
            <w:pPr>
              <w:rPr>
                <w:rFonts w:hint="eastAsia" w:ascii="宋体" w:hAnsi="宋体" w:cs="宋体"/>
                <w:sz w:val="22"/>
                <w:szCs w:val="16"/>
              </w:rPr>
            </w:pPr>
            <w:r>
              <w:rPr>
                <w:rFonts w:hint="eastAsia" w:ascii="宋体" w:hAnsi="宋体" w:cs="宋体"/>
                <w:sz w:val="22"/>
                <w:szCs w:val="16"/>
              </w:rPr>
              <w:t>地    址：河南省平顶山市汝州市大时代购物公园A区2001号</w:t>
            </w:r>
          </w:p>
          <w:p>
            <w:pPr>
              <w:rPr>
                <w:rFonts w:hint="eastAsia" w:ascii="宋体" w:hAnsi="宋体" w:cs="宋体"/>
                <w:sz w:val="22"/>
                <w:szCs w:val="16"/>
              </w:rPr>
            </w:pPr>
            <w:r>
              <w:rPr>
                <w:rFonts w:hint="eastAsia" w:ascii="宋体" w:hAnsi="宋体" w:cs="宋体"/>
                <w:sz w:val="22"/>
                <w:szCs w:val="16"/>
              </w:rPr>
              <w:t xml:space="preserve">联系人：郭女士        </w:t>
            </w:r>
          </w:p>
          <w:p>
            <w:pPr>
              <w:rPr>
                <w:rFonts w:ascii="宋体" w:hAnsi="宋体" w:cs="宋体"/>
                <w:sz w:val="22"/>
                <w:szCs w:val="16"/>
              </w:rPr>
            </w:pPr>
            <w:r>
              <w:rPr>
                <w:rFonts w:hint="eastAsia" w:ascii="宋体" w:hAnsi="宋体" w:cs="宋体"/>
                <w:sz w:val="22"/>
                <w:szCs w:val="16"/>
              </w:rPr>
              <w:t>联系方式：13183329332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1126" w:type="dxa"/>
            <w:tcBorders>
              <w:top w:val="single" w:color="000000" w:sz="6" w:space="0"/>
              <w:bottom w:val="single" w:color="000000" w:sz="6" w:space="0"/>
              <w:right w:val="single" w:color="000000" w:sz="6" w:space="0"/>
            </w:tcBorders>
            <w:noWrap/>
            <w:vAlign w:val="center"/>
          </w:tcPr>
          <w:p>
            <w:pPr>
              <w:pStyle w:val="30"/>
              <w:spacing w:before="109"/>
              <w:jc w:val="center"/>
              <w:rPr>
                <w:sz w:val="21"/>
              </w:rPr>
            </w:pPr>
            <w:r>
              <w:rPr>
                <w:rFonts w:hint="eastAsia"/>
                <w:sz w:val="21"/>
              </w:rPr>
              <w:t>1.1.</w:t>
            </w:r>
            <w:r>
              <w:rPr>
                <w:rFonts w:hint="eastAsia"/>
                <w:sz w:val="21"/>
                <w:lang w:val="en-US"/>
              </w:rPr>
              <w:t>3</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97"/>
              <w:ind w:left="147" w:right="123"/>
              <w:jc w:val="center"/>
              <w:rPr>
                <w:sz w:val="21"/>
              </w:rPr>
            </w:pPr>
            <w:r>
              <w:rPr>
                <w:rFonts w:hint="eastAsia"/>
                <w:sz w:val="21"/>
              </w:rPr>
              <w:t>项目名称</w:t>
            </w:r>
          </w:p>
        </w:tc>
        <w:tc>
          <w:tcPr>
            <w:tcW w:w="5811" w:type="dxa"/>
            <w:tcBorders>
              <w:top w:val="single" w:color="000000" w:sz="6" w:space="0"/>
              <w:left w:val="single" w:color="000000" w:sz="6" w:space="0"/>
              <w:bottom w:val="single" w:color="000000" w:sz="6" w:space="0"/>
            </w:tcBorders>
            <w:noWrap/>
            <w:vAlign w:val="center"/>
          </w:tcPr>
          <w:p>
            <w:pPr>
              <w:pStyle w:val="30"/>
              <w:spacing w:before="97"/>
              <w:jc w:val="left"/>
              <w:rPr>
                <w:rFonts w:hint="eastAsia" w:eastAsia="宋体"/>
                <w:sz w:val="21"/>
                <w:lang w:eastAsia="zh-CN"/>
              </w:rPr>
            </w:pPr>
            <w:r>
              <w:rPr>
                <w:rFonts w:hint="eastAsia"/>
                <w:sz w:val="21"/>
                <w:lang w:eastAsia="zh-CN"/>
              </w:rPr>
              <w:t>平顶山市石龙区农业农村和水利局平顶山市石龙区和美乡村先导片区策划设计服务项目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rPr>
            </w:pPr>
            <w:r>
              <w:rPr>
                <w:rFonts w:hint="eastAsia"/>
                <w:sz w:val="21"/>
              </w:rPr>
              <w:t>1.1.</w:t>
            </w:r>
            <w:r>
              <w:rPr>
                <w:rFonts w:hint="eastAsia"/>
                <w:sz w:val="21"/>
                <w:lang w:val="en-US"/>
              </w:rPr>
              <w:t>4</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98"/>
              <w:ind w:left="147" w:right="123"/>
              <w:jc w:val="center"/>
              <w:rPr>
                <w:sz w:val="21"/>
              </w:rPr>
            </w:pPr>
            <w:r>
              <w:rPr>
                <w:rFonts w:hint="eastAsia"/>
                <w:sz w:val="21"/>
                <w:lang w:val="en-US" w:eastAsia="zh-CN"/>
              </w:rPr>
              <w:t>服务</w:t>
            </w:r>
            <w:r>
              <w:rPr>
                <w:rFonts w:hint="eastAsia"/>
                <w:sz w:val="21"/>
              </w:rPr>
              <w:t>地点</w:t>
            </w:r>
          </w:p>
        </w:tc>
        <w:tc>
          <w:tcPr>
            <w:tcW w:w="5811" w:type="dxa"/>
            <w:tcBorders>
              <w:top w:val="single" w:color="000000" w:sz="6" w:space="0"/>
              <w:left w:val="single" w:color="000000" w:sz="6" w:space="0"/>
              <w:bottom w:val="single" w:color="000000" w:sz="6" w:space="0"/>
            </w:tcBorders>
            <w:noWrap/>
            <w:vAlign w:val="center"/>
          </w:tcPr>
          <w:p>
            <w:pPr>
              <w:pStyle w:val="30"/>
              <w:spacing w:before="98"/>
              <w:jc w:val="left"/>
              <w:rPr>
                <w:sz w:val="21"/>
              </w:rPr>
            </w:pPr>
            <w:r>
              <w:rPr>
                <w:rFonts w:hint="eastAsia"/>
                <w:sz w:val="21"/>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rPr>
            </w:pPr>
            <w:r>
              <w:rPr>
                <w:rFonts w:hint="eastAsia"/>
                <w:sz w:val="21"/>
              </w:rPr>
              <w:t>1.2.1</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10"/>
              <w:ind w:left="147" w:right="123"/>
              <w:jc w:val="center"/>
              <w:rPr>
                <w:sz w:val="21"/>
              </w:rPr>
            </w:pPr>
            <w:r>
              <w:rPr>
                <w:rFonts w:hint="eastAsia"/>
                <w:sz w:val="21"/>
              </w:rPr>
              <w:t>资金来源</w:t>
            </w:r>
          </w:p>
        </w:tc>
        <w:tc>
          <w:tcPr>
            <w:tcW w:w="5811" w:type="dxa"/>
            <w:tcBorders>
              <w:top w:val="single" w:color="000000" w:sz="6" w:space="0"/>
              <w:left w:val="single" w:color="000000" w:sz="6" w:space="0"/>
              <w:bottom w:val="single" w:color="000000" w:sz="6" w:space="0"/>
            </w:tcBorders>
            <w:noWrap/>
            <w:vAlign w:val="center"/>
          </w:tcPr>
          <w:p>
            <w:pPr>
              <w:pStyle w:val="30"/>
              <w:spacing w:before="98"/>
              <w:jc w:val="left"/>
              <w:rPr>
                <w:sz w:val="21"/>
              </w:rPr>
            </w:pPr>
            <w:r>
              <w:rPr>
                <w:rFonts w:hint="eastAsia"/>
                <w:sz w:val="21"/>
              </w:rPr>
              <w:t>财政资金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rPr>
            </w:pPr>
            <w:r>
              <w:rPr>
                <w:rFonts w:hint="eastAsia"/>
                <w:sz w:val="21"/>
              </w:rPr>
              <w:t>1.2.</w:t>
            </w:r>
            <w:r>
              <w:rPr>
                <w:rFonts w:hint="eastAsia"/>
                <w:sz w:val="21"/>
                <w:lang w:val="en-US"/>
              </w:rPr>
              <w:t>2</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10"/>
              <w:jc w:val="center"/>
              <w:rPr>
                <w:sz w:val="21"/>
              </w:rPr>
            </w:pPr>
            <w:r>
              <w:rPr>
                <w:rFonts w:hint="eastAsia"/>
                <w:sz w:val="21"/>
              </w:rPr>
              <w:t>资金落实情况</w:t>
            </w:r>
          </w:p>
        </w:tc>
        <w:tc>
          <w:tcPr>
            <w:tcW w:w="5811" w:type="dxa"/>
            <w:tcBorders>
              <w:top w:val="single" w:color="000000" w:sz="6" w:space="0"/>
              <w:left w:val="single" w:color="000000" w:sz="6" w:space="0"/>
              <w:bottom w:val="single" w:color="000000" w:sz="6" w:space="0"/>
            </w:tcBorders>
            <w:noWrap/>
            <w:vAlign w:val="center"/>
          </w:tcPr>
          <w:p>
            <w:pPr>
              <w:pStyle w:val="30"/>
              <w:spacing w:before="98"/>
              <w:jc w:val="left"/>
              <w:rPr>
                <w:sz w:val="21"/>
              </w:rPr>
            </w:pPr>
            <w:r>
              <w:rPr>
                <w:rFonts w:hint="eastAsia"/>
                <w:sz w:val="21"/>
              </w:rPr>
              <w:t>已落实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trPr>
        <w:tc>
          <w:tcPr>
            <w:tcW w:w="1126" w:type="dxa"/>
            <w:tcBorders>
              <w:top w:val="single" w:color="000000" w:sz="6" w:space="0"/>
              <w:bottom w:val="single" w:color="000000" w:sz="6" w:space="0"/>
              <w:right w:val="single" w:color="000000" w:sz="6" w:space="0"/>
            </w:tcBorders>
            <w:noWrap/>
            <w:vAlign w:val="center"/>
          </w:tcPr>
          <w:p>
            <w:pPr>
              <w:pStyle w:val="30"/>
              <w:spacing w:before="127"/>
              <w:jc w:val="center"/>
              <w:rPr>
                <w:sz w:val="21"/>
              </w:rPr>
            </w:pPr>
            <w:r>
              <w:rPr>
                <w:rFonts w:hint="eastAsia"/>
                <w:sz w:val="21"/>
              </w:rPr>
              <w:t>1.3.1</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pStyle w:val="30"/>
              <w:spacing w:before="127"/>
              <w:ind w:left="147" w:right="123"/>
              <w:jc w:val="center"/>
              <w:rPr>
                <w:rFonts w:hint="default" w:eastAsia="宋体"/>
                <w:sz w:val="21"/>
                <w:lang w:val="en-US" w:eastAsia="zh-CN"/>
              </w:rPr>
            </w:pPr>
            <w:r>
              <w:rPr>
                <w:rFonts w:hint="eastAsia"/>
                <w:sz w:val="21"/>
                <w:lang w:val="en-US" w:eastAsia="zh-CN"/>
              </w:rPr>
              <w:t>采购内容</w:t>
            </w:r>
          </w:p>
        </w:tc>
        <w:tc>
          <w:tcPr>
            <w:tcW w:w="5811" w:type="dxa"/>
            <w:tcBorders>
              <w:top w:val="single" w:color="000000" w:sz="6" w:space="0"/>
              <w:left w:val="single" w:color="000000" w:sz="6" w:space="0"/>
              <w:bottom w:val="single" w:color="000000" w:sz="6" w:space="0"/>
            </w:tcBorders>
            <w:noWrap/>
            <w:vAlign w:val="center"/>
          </w:tcPr>
          <w:p>
            <w:pPr>
              <w:pStyle w:val="30"/>
              <w:spacing w:before="15"/>
              <w:jc w:val="left"/>
              <w:rPr>
                <w:sz w:val="21"/>
              </w:rPr>
            </w:pPr>
            <w:r>
              <w:rPr>
                <w:rFonts w:hint="eastAsia"/>
                <w:sz w:val="21"/>
              </w:rPr>
              <w:t>重点社区(泉上社区、北郎店社区)项目策划、重点村详细规划设计。具体内容详见招标文件第五章服务内容。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2" w:hRule="atLeast"/>
        </w:trPr>
        <w:tc>
          <w:tcPr>
            <w:tcW w:w="1126" w:type="dxa"/>
            <w:tcBorders>
              <w:top w:val="single" w:color="000000" w:sz="6" w:space="0"/>
              <w:bottom w:val="single" w:color="000000" w:sz="6" w:space="0"/>
              <w:right w:val="single" w:color="000000" w:sz="6" w:space="0"/>
            </w:tcBorders>
            <w:noWrap/>
            <w:vAlign w:val="center"/>
          </w:tcPr>
          <w:p>
            <w:pPr>
              <w:pStyle w:val="30"/>
              <w:spacing w:before="154"/>
              <w:jc w:val="center"/>
              <w:rPr>
                <w:sz w:val="21"/>
              </w:rPr>
            </w:pPr>
            <w:r>
              <w:rPr>
                <w:rFonts w:hint="eastAsia"/>
                <w:sz w:val="21"/>
              </w:rPr>
              <w:t>1.3.2</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54"/>
              <w:ind w:left="150" w:right="123"/>
              <w:jc w:val="center"/>
              <w:rPr>
                <w:sz w:val="21"/>
              </w:rPr>
            </w:pPr>
            <w:r>
              <w:rPr>
                <w:rFonts w:hint="eastAsia"/>
                <w:sz w:val="21"/>
                <w:lang w:val="en-US" w:eastAsia="zh-CN"/>
              </w:rPr>
              <w:t>服务期限</w:t>
            </w:r>
          </w:p>
        </w:tc>
        <w:tc>
          <w:tcPr>
            <w:tcW w:w="5811" w:type="dxa"/>
            <w:tcBorders>
              <w:top w:val="single" w:color="000000" w:sz="6" w:space="0"/>
              <w:left w:val="single" w:color="000000" w:sz="6" w:space="0"/>
              <w:bottom w:val="single" w:color="000000" w:sz="6" w:space="0"/>
            </w:tcBorders>
            <w:noWrap/>
            <w:vAlign w:val="center"/>
          </w:tcPr>
          <w:p>
            <w:pPr>
              <w:pStyle w:val="30"/>
              <w:spacing w:before="142"/>
              <w:jc w:val="left"/>
              <w:rPr>
                <w:rFonts w:hint="default" w:eastAsia="宋体"/>
                <w:sz w:val="21"/>
                <w:lang w:val="en-US" w:eastAsia="zh-CN"/>
              </w:rPr>
            </w:pPr>
            <w:r>
              <w:rPr>
                <w:rFonts w:hint="default" w:eastAsia="宋体"/>
                <w:sz w:val="21"/>
                <w:lang w:val="en-US" w:eastAsia="zh-CN"/>
              </w:rPr>
              <w:t>12个月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rPr>
            </w:pPr>
            <w:r>
              <w:rPr>
                <w:rFonts w:hint="eastAsia"/>
                <w:sz w:val="21"/>
              </w:rPr>
              <w:t>1.3.3</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10"/>
              <w:ind w:left="147" w:right="123"/>
              <w:jc w:val="center"/>
              <w:rPr>
                <w:sz w:val="21"/>
              </w:rPr>
            </w:pPr>
            <w:r>
              <w:rPr>
                <w:rFonts w:hint="eastAsia"/>
                <w:sz w:val="21"/>
              </w:rPr>
              <w:t>质量要求</w:t>
            </w:r>
          </w:p>
        </w:tc>
        <w:tc>
          <w:tcPr>
            <w:tcW w:w="5811" w:type="dxa"/>
            <w:tcBorders>
              <w:top w:val="single" w:color="000000" w:sz="6" w:space="0"/>
              <w:left w:val="single" w:color="000000" w:sz="6" w:space="0"/>
              <w:bottom w:val="single" w:color="000000" w:sz="6" w:space="0"/>
            </w:tcBorders>
            <w:noWrap/>
            <w:vAlign w:val="center"/>
          </w:tcPr>
          <w:p>
            <w:pPr>
              <w:pStyle w:val="30"/>
              <w:spacing w:before="98"/>
              <w:jc w:val="left"/>
              <w:rPr>
                <w:sz w:val="21"/>
              </w:rPr>
            </w:pPr>
            <w:r>
              <w:rPr>
                <w:rFonts w:hint="eastAsia"/>
                <w:sz w:val="21"/>
              </w:rPr>
              <w:t>符合国家或行业规定的合格标准，满足采购人提出的技术标准及要求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9"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b/>
                <w:sz w:val="20"/>
              </w:rPr>
            </w:pPr>
          </w:p>
          <w:p>
            <w:pPr>
              <w:pStyle w:val="30"/>
              <w:jc w:val="center"/>
              <w:rPr>
                <w:b/>
                <w:sz w:val="20"/>
              </w:rPr>
            </w:pPr>
          </w:p>
          <w:p>
            <w:pPr>
              <w:pStyle w:val="30"/>
              <w:jc w:val="center"/>
              <w:rPr>
                <w:b/>
                <w:sz w:val="20"/>
              </w:rPr>
            </w:pPr>
          </w:p>
          <w:p>
            <w:pPr>
              <w:pStyle w:val="30"/>
              <w:jc w:val="center"/>
              <w:rPr>
                <w:b/>
                <w:sz w:val="20"/>
              </w:rPr>
            </w:pPr>
          </w:p>
          <w:p>
            <w:pPr>
              <w:pStyle w:val="30"/>
              <w:jc w:val="center"/>
              <w:rPr>
                <w:b/>
                <w:sz w:val="20"/>
              </w:rPr>
            </w:pPr>
          </w:p>
          <w:p>
            <w:pPr>
              <w:pStyle w:val="30"/>
              <w:jc w:val="center"/>
              <w:rPr>
                <w:b/>
                <w:sz w:val="20"/>
              </w:rPr>
            </w:pPr>
          </w:p>
          <w:p>
            <w:pPr>
              <w:pStyle w:val="30"/>
              <w:spacing w:before="129"/>
              <w:jc w:val="center"/>
              <w:rPr>
                <w:sz w:val="21"/>
              </w:rPr>
            </w:pPr>
            <w:r>
              <w:rPr>
                <w:rFonts w:hint="eastAsia"/>
                <w:sz w:val="21"/>
              </w:rPr>
              <w:t>1.4.1</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pStyle w:val="30"/>
              <w:spacing w:before="129"/>
              <w:jc w:val="center"/>
              <w:rPr>
                <w:sz w:val="21"/>
              </w:rPr>
            </w:pPr>
            <w:r>
              <w:rPr>
                <w:rFonts w:hint="eastAsia"/>
                <w:sz w:val="21"/>
              </w:rPr>
              <w:t>投标人资格要求</w:t>
            </w:r>
          </w:p>
        </w:tc>
        <w:tc>
          <w:tcPr>
            <w:tcW w:w="5811" w:type="dxa"/>
            <w:tcBorders>
              <w:top w:val="single" w:color="000000" w:sz="6" w:space="0"/>
              <w:left w:val="single" w:color="000000" w:sz="6" w:space="0"/>
              <w:bottom w:val="single" w:color="000000" w:sz="6" w:space="0"/>
            </w:tcBorders>
            <w:noWrap/>
          </w:tcPr>
          <w:p>
            <w:pPr>
              <w:pStyle w:val="30"/>
              <w:spacing w:before="108"/>
              <w:ind w:left="115"/>
              <w:rPr>
                <w:rFonts w:hint="eastAsia"/>
                <w:sz w:val="21"/>
              </w:rPr>
            </w:pPr>
            <w:r>
              <w:rPr>
                <w:rFonts w:hint="eastAsia"/>
                <w:sz w:val="21"/>
              </w:rPr>
              <w:t>1.满足《中华人民共和国政府采购法》第二十二条的规定；</w:t>
            </w:r>
          </w:p>
          <w:p>
            <w:pPr>
              <w:pStyle w:val="30"/>
              <w:spacing w:before="108"/>
              <w:ind w:left="115"/>
              <w:rPr>
                <w:rFonts w:hint="eastAsia"/>
                <w:sz w:val="21"/>
              </w:rPr>
            </w:pPr>
            <w:r>
              <w:rPr>
                <w:rFonts w:hint="eastAsia"/>
                <w:sz w:val="21"/>
              </w:rPr>
              <w:t>2.落实政府采购政策需满足的资格要求：根据《政府采购促进中小企业发展管理办法》（财库[2020]46号）的规定，本项目属于专门面向中小企业采购的项目，供应商应为中小微企业、监狱企业、残疾人福利性单位，须提供相关有效声明材料，中小企业划型标准请依据工信部联企业〔2011〕300号文件之规定。</w:t>
            </w:r>
          </w:p>
          <w:p>
            <w:pPr>
              <w:pStyle w:val="30"/>
              <w:spacing w:before="108"/>
              <w:ind w:left="115"/>
              <w:rPr>
                <w:rFonts w:hint="eastAsia"/>
                <w:sz w:val="21"/>
              </w:rPr>
            </w:pPr>
            <w:r>
              <w:rPr>
                <w:rFonts w:hint="eastAsia"/>
                <w:sz w:val="21"/>
              </w:rPr>
              <w:t>3.本项目的特定资格要求：</w:t>
            </w:r>
          </w:p>
          <w:p>
            <w:pPr>
              <w:pStyle w:val="30"/>
              <w:spacing w:before="108"/>
              <w:ind w:left="115"/>
              <w:rPr>
                <w:rFonts w:hint="eastAsia"/>
                <w:sz w:val="21"/>
              </w:rPr>
            </w:pPr>
            <w:r>
              <w:rPr>
                <w:rFonts w:hint="eastAsia"/>
                <w:sz w:val="21"/>
              </w:rPr>
              <w:t>3.1、具有独立承担民事责任的能力（提供有效的营业执照扫描件或复印件，也可提供电子营业执照）；</w:t>
            </w:r>
          </w:p>
          <w:p>
            <w:pPr>
              <w:pStyle w:val="30"/>
              <w:spacing w:before="108"/>
              <w:ind w:left="115"/>
              <w:rPr>
                <w:rFonts w:hint="eastAsia"/>
                <w:sz w:val="21"/>
              </w:rPr>
            </w:pPr>
            <w:r>
              <w:rPr>
                <w:rFonts w:hint="eastAsia"/>
                <w:sz w:val="21"/>
              </w:rPr>
              <w:t>3.2、具有履行合同所必需的设备和专业技术能力（供应商自行承诺，格式自拟）；</w:t>
            </w:r>
          </w:p>
          <w:p>
            <w:pPr>
              <w:pStyle w:val="30"/>
              <w:spacing w:before="108"/>
              <w:ind w:left="115"/>
              <w:rPr>
                <w:rFonts w:hint="eastAsia"/>
                <w:sz w:val="21"/>
              </w:rPr>
            </w:pPr>
            <w:r>
              <w:rPr>
                <w:rFonts w:hint="eastAsia"/>
                <w:sz w:val="21"/>
              </w:rPr>
              <w:t>3.3、具有良好的商业信誉和健全的财务会计制度（供应商自行承诺，格式自拟）；</w:t>
            </w:r>
          </w:p>
          <w:p>
            <w:pPr>
              <w:pStyle w:val="30"/>
              <w:spacing w:before="108"/>
              <w:ind w:left="115"/>
              <w:rPr>
                <w:rFonts w:hint="eastAsia"/>
                <w:sz w:val="21"/>
              </w:rPr>
            </w:pPr>
            <w:r>
              <w:rPr>
                <w:rFonts w:hint="eastAsia"/>
                <w:sz w:val="21"/>
              </w:rPr>
              <w:t>3.4、有依法缴纳税收和社会保障资金的良好记录（供应商自行承诺，格式自拟）；</w:t>
            </w:r>
          </w:p>
          <w:p>
            <w:pPr>
              <w:pStyle w:val="30"/>
              <w:spacing w:before="108"/>
              <w:ind w:left="115"/>
              <w:rPr>
                <w:rFonts w:hint="eastAsia"/>
                <w:sz w:val="21"/>
              </w:rPr>
            </w:pPr>
            <w:r>
              <w:rPr>
                <w:rFonts w:hint="eastAsia"/>
                <w:sz w:val="21"/>
              </w:rPr>
              <w:t>3.5、参加政府采购活动近三年内，在经营活动中没有重大的违法记录（供应商自行承诺，格式自拟）；</w:t>
            </w:r>
          </w:p>
          <w:p>
            <w:pPr>
              <w:pStyle w:val="30"/>
              <w:spacing w:before="108"/>
              <w:ind w:left="115"/>
              <w:rPr>
                <w:rFonts w:hint="eastAsia"/>
                <w:sz w:val="21"/>
              </w:rPr>
            </w:pPr>
            <w:r>
              <w:rPr>
                <w:rFonts w:hint="eastAsia"/>
                <w:sz w:val="21"/>
              </w:rPr>
              <w:t>3.6、投标人须提供的“中国执行信息公开网”网站的“失信被执行人”、“信用中国”网站的“重大税收违法失信主体”、“中国政府采购”网站的“政府采购严重违法失信行为记录名单”查询结果页面，若未按要求提供或有不良记录，资格审查不予通过（执行财库【2016】125号文）；</w:t>
            </w:r>
          </w:p>
          <w:p>
            <w:pPr>
              <w:pStyle w:val="30"/>
              <w:spacing w:before="108"/>
              <w:ind w:left="115"/>
              <w:rPr>
                <w:sz w:val="21"/>
              </w:rPr>
            </w:pPr>
            <w:r>
              <w:rPr>
                <w:rFonts w:hint="eastAsia"/>
                <w:sz w:val="21"/>
              </w:rPr>
              <w:t>3.7、本项目不接受联合体投标，资格审查方式为资格后审。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08"/>
              <w:jc w:val="center"/>
              <w:rPr>
                <w:sz w:val="21"/>
              </w:rPr>
            </w:pPr>
            <w:r>
              <w:rPr>
                <w:rFonts w:hint="eastAsia"/>
                <w:sz w:val="21"/>
              </w:rPr>
              <w:t>1.4.2</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08"/>
              <w:jc w:val="center"/>
              <w:rPr>
                <w:sz w:val="21"/>
              </w:rPr>
            </w:pPr>
            <w:r>
              <w:rPr>
                <w:rFonts w:hint="eastAsia"/>
                <w:sz w:val="21"/>
              </w:rPr>
              <w:t>是否接受联合体投标</w:t>
            </w:r>
          </w:p>
        </w:tc>
        <w:tc>
          <w:tcPr>
            <w:tcW w:w="5811" w:type="dxa"/>
            <w:tcBorders>
              <w:top w:val="single" w:color="000000" w:sz="6" w:space="0"/>
              <w:left w:val="single" w:color="000000" w:sz="6" w:space="0"/>
              <w:bottom w:val="single" w:color="000000" w:sz="6" w:space="0"/>
            </w:tcBorders>
            <w:noWrap/>
          </w:tcPr>
          <w:p>
            <w:pPr>
              <w:pStyle w:val="30"/>
              <w:spacing w:before="108"/>
              <w:rPr>
                <w:sz w:val="21"/>
              </w:rPr>
            </w:pPr>
            <w:r>
              <w:rPr>
                <w:rFonts w:hint="eastAsia"/>
                <w:sz w:val="21"/>
              </w:rPr>
              <w:t>不接受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09"/>
              <w:jc w:val="center"/>
              <w:rPr>
                <w:sz w:val="21"/>
              </w:rPr>
            </w:pPr>
            <w:r>
              <w:rPr>
                <w:rFonts w:hint="eastAsia"/>
                <w:sz w:val="21"/>
              </w:rPr>
              <w:t>1.</w:t>
            </w:r>
            <w:r>
              <w:rPr>
                <w:rFonts w:hint="eastAsia"/>
                <w:sz w:val="21"/>
                <w:lang w:val="en-US"/>
              </w:rPr>
              <w:t>5</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09"/>
              <w:jc w:val="center"/>
              <w:rPr>
                <w:sz w:val="21"/>
              </w:rPr>
            </w:pPr>
            <w:r>
              <w:rPr>
                <w:rFonts w:hint="eastAsia"/>
                <w:sz w:val="21"/>
              </w:rPr>
              <w:t>踏勘现场及项目答疑</w:t>
            </w:r>
          </w:p>
        </w:tc>
        <w:tc>
          <w:tcPr>
            <w:tcW w:w="5811" w:type="dxa"/>
            <w:tcBorders>
              <w:top w:val="single" w:color="000000" w:sz="6" w:space="0"/>
              <w:left w:val="single" w:color="000000" w:sz="6" w:space="0"/>
              <w:bottom w:val="single" w:color="000000" w:sz="6" w:space="0"/>
            </w:tcBorders>
            <w:noWrap/>
          </w:tcPr>
          <w:p>
            <w:pPr>
              <w:pStyle w:val="30"/>
              <w:spacing w:before="109"/>
              <w:rPr>
                <w:sz w:val="21"/>
              </w:rPr>
            </w:pPr>
            <w:r>
              <w:rPr>
                <w:rFonts w:hint="eastAsia"/>
                <w:sz w:val="21"/>
              </w:rPr>
              <w:t>不组织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09"/>
              <w:jc w:val="center"/>
              <w:rPr>
                <w:sz w:val="21"/>
              </w:rPr>
            </w:pPr>
            <w:r>
              <w:rPr>
                <w:rFonts w:hint="eastAsia"/>
                <w:sz w:val="21"/>
              </w:rPr>
              <w:t>1.</w:t>
            </w:r>
            <w:r>
              <w:rPr>
                <w:rFonts w:hint="eastAsia"/>
                <w:sz w:val="21"/>
                <w:lang w:val="en-US"/>
              </w:rPr>
              <w:t>6</w:t>
            </w:r>
            <w:r>
              <w:rPr>
                <w:rFonts w:hint="eastAsia"/>
                <w:sz w:val="21"/>
              </w:rPr>
              <w:t>.1</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09"/>
              <w:jc w:val="center"/>
              <w:rPr>
                <w:sz w:val="21"/>
              </w:rPr>
            </w:pPr>
            <w:r>
              <w:rPr>
                <w:rFonts w:hint="eastAsia"/>
                <w:sz w:val="21"/>
              </w:rPr>
              <w:t>投标预备会</w:t>
            </w:r>
          </w:p>
        </w:tc>
        <w:tc>
          <w:tcPr>
            <w:tcW w:w="5811" w:type="dxa"/>
            <w:tcBorders>
              <w:top w:val="single" w:color="000000" w:sz="6" w:space="0"/>
              <w:left w:val="single" w:color="000000" w:sz="6" w:space="0"/>
              <w:bottom w:val="single" w:color="000000" w:sz="6" w:space="0"/>
            </w:tcBorders>
            <w:noWrap/>
          </w:tcPr>
          <w:p>
            <w:pPr>
              <w:pStyle w:val="30"/>
              <w:spacing w:before="109"/>
              <w:rPr>
                <w:sz w:val="21"/>
              </w:rPr>
            </w:pPr>
            <w:r>
              <w:rPr>
                <w:rFonts w:hint="eastAsia"/>
                <w:sz w:val="21"/>
              </w:rPr>
              <w:t>不召开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126" w:type="dxa"/>
            <w:tcBorders>
              <w:top w:val="single" w:color="000000" w:sz="6" w:space="0"/>
              <w:bottom w:val="single" w:color="000000" w:sz="6" w:space="0"/>
              <w:right w:val="single" w:color="000000" w:sz="6" w:space="0"/>
            </w:tcBorders>
            <w:noWrap/>
            <w:vAlign w:val="center"/>
          </w:tcPr>
          <w:p>
            <w:pPr>
              <w:pStyle w:val="30"/>
              <w:spacing w:before="1"/>
              <w:jc w:val="center"/>
              <w:rPr>
                <w:sz w:val="21"/>
              </w:rPr>
            </w:pPr>
            <w:r>
              <w:rPr>
                <w:rFonts w:hint="eastAsia"/>
                <w:sz w:val="21"/>
              </w:rPr>
              <w:t>1.</w:t>
            </w:r>
            <w:r>
              <w:rPr>
                <w:rFonts w:hint="eastAsia"/>
                <w:sz w:val="21"/>
                <w:lang w:val="en-US"/>
              </w:rPr>
              <w:t>6</w:t>
            </w:r>
            <w:r>
              <w:rPr>
                <w:rFonts w:hint="eastAsia"/>
                <w:sz w:val="21"/>
              </w:rPr>
              <w:t>.2</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pStyle w:val="30"/>
              <w:spacing w:before="132"/>
              <w:jc w:val="center"/>
              <w:rPr>
                <w:sz w:val="21"/>
              </w:rPr>
            </w:pPr>
            <w:r>
              <w:rPr>
                <w:rFonts w:hint="eastAsia"/>
                <w:sz w:val="21"/>
              </w:rPr>
              <w:t>投标人提出问题的截止时</w:t>
            </w:r>
            <w:r>
              <w:rPr>
                <w:rFonts w:hint="eastAsia"/>
                <w:sz w:val="21"/>
                <w:szCs w:val="22"/>
              </w:rPr>
              <w:t>间</w:t>
            </w:r>
          </w:p>
        </w:tc>
        <w:tc>
          <w:tcPr>
            <w:tcW w:w="5811" w:type="dxa"/>
            <w:tcBorders>
              <w:top w:val="single" w:color="000000" w:sz="6" w:space="0"/>
              <w:left w:val="single" w:color="000000" w:sz="6" w:space="0"/>
              <w:bottom w:val="single" w:color="000000" w:sz="6" w:space="0"/>
            </w:tcBorders>
            <w:noWrap/>
            <w:vAlign w:val="center"/>
          </w:tcPr>
          <w:p>
            <w:pPr>
              <w:pStyle w:val="30"/>
              <w:spacing w:before="109"/>
              <w:jc w:val="left"/>
              <w:rPr>
                <w:sz w:val="21"/>
              </w:rPr>
            </w:pPr>
            <w:r>
              <w:rPr>
                <w:rFonts w:hint="eastAsia"/>
                <w:sz w:val="21"/>
              </w:rPr>
              <w:t xml:space="preserve">投标截止时间 </w:t>
            </w:r>
            <w:r>
              <w:rPr>
                <w:rFonts w:hint="eastAsia"/>
                <w:sz w:val="21"/>
                <w:u w:val="single"/>
              </w:rPr>
              <w:t>15</w:t>
            </w:r>
            <w:r>
              <w:rPr>
                <w:rFonts w:hint="eastAsia"/>
                <w:sz w:val="21"/>
              </w:rPr>
              <w:t xml:space="preserve"> 天前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rPr>
            </w:pPr>
            <w:r>
              <w:rPr>
                <w:rFonts w:hint="eastAsia"/>
                <w:sz w:val="21"/>
              </w:rPr>
              <w:t>1.</w:t>
            </w:r>
            <w:r>
              <w:rPr>
                <w:rFonts w:hint="eastAsia"/>
                <w:sz w:val="21"/>
                <w:lang w:val="en-US"/>
              </w:rPr>
              <w:t>6</w:t>
            </w:r>
            <w:r>
              <w:rPr>
                <w:rFonts w:hint="eastAsia"/>
                <w:sz w:val="21"/>
              </w:rPr>
              <w:t>.3</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10"/>
              <w:jc w:val="center"/>
              <w:rPr>
                <w:sz w:val="21"/>
              </w:rPr>
            </w:pPr>
            <w:r>
              <w:rPr>
                <w:rFonts w:hint="eastAsia"/>
                <w:sz w:val="21"/>
              </w:rPr>
              <w:t>招标人书面澄清的时间</w:t>
            </w:r>
          </w:p>
        </w:tc>
        <w:tc>
          <w:tcPr>
            <w:tcW w:w="5811" w:type="dxa"/>
            <w:tcBorders>
              <w:top w:val="single" w:color="000000" w:sz="6" w:space="0"/>
              <w:left w:val="single" w:color="000000" w:sz="6" w:space="0"/>
              <w:bottom w:val="single" w:color="000000" w:sz="6" w:space="0"/>
            </w:tcBorders>
            <w:noWrap/>
          </w:tcPr>
          <w:p>
            <w:pPr>
              <w:pStyle w:val="30"/>
              <w:spacing w:before="110"/>
              <w:rPr>
                <w:sz w:val="21"/>
              </w:rPr>
            </w:pPr>
            <w:r>
              <w:rPr>
                <w:rFonts w:hint="eastAsia"/>
                <w:sz w:val="21"/>
              </w:rPr>
              <w:t xml:space="preserve">投标截止时间 </w:t>
            </w:r>
            <w:r>
              <w:rPr>
                <w:rFonts w:hint="eastAsia"/>
                <w:sz w:val="21"/>
                <w:u w:val="single"/>
              </w:rPr>
              <w:t>15</w:t>
            </w:r>
            <w:r>
              <w:rPr>
                <w:rFonts w:hint="eastAsia"/>
                <w:sz w:val="21"/>
              </w:rPr>
              <w:t xml:space="preserve"> 天前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5"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rPr>
            </w:pPr>
            <w:r>
              <w:rPr>
                <w:rFonts w:hint="eastAsia"/>
                <w:sz w:val="21"/>
                <w:lang w:val="en-US"/>
              </w:rPr>
              <w:t>1.7</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pStyle w:val="30"/>
              <w:jc w:val="center"/>
              <w:rPr>
                <w:sz w:val="21"/>
              </w:rPr>
            </w:pPr>
            <w:r>
              <w:rPr>
                <w:rFonts w:hint="eastAsia"/>
                <w:sz w:val="21"/>
              </w:rPr>
              <w:t>构成招标文件的其他材料</w:t>
            </w:r>
          </w:p>
        </w:tc>
        <w:tc>
          <w:tcPr>
            <w:tcW w:w="5811" w:type="dxa"/>
            <w:tcBorders>
              <w:top w:val="single" w:color="000000" w:sz="6" w:space="0"/>
              <w:left w:val="single" w:color="000000" w:sz="6" w:space="0"/>
              <w:bottom w:val="single" w:color="000000" w:sz="6" w:space="0"/>
            </w:tcBorders>
            <w:noWrap/>
          </w:tcPr>
          <w:p>
            <w:pPr>
              <w:pStyle w:val="30"/>
              <w:spacing w:line="400" w:lineRule="exact"/>
              <w:ind w:right="-29"/>
              <w:rPr>
                <w:sz w:val="21"/>
              </w:rPr>
            </w:pPr>
            <w:r>
              <w:rPr>
                <w:rFonts w:hint="eastAsia"/>
                <w:sz w:val="21"/>
              </w:rPr>
              <w:t>澄清、修改及补充通知等材料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7"/>
              </w:rPr>
            </w:pPr>
          </w:p>
          <w:p>
            <w:pPr>
              <w:pStyle w:val="30"/>
              <w:jc w:val="center"/>
              <w:rPr>
                <w:sz w:val="21"/>
              </w:rPr>
            </w:pPr>
            <w:r>
              <w:rPr>
                <w:rFonts w:hint="eastAsia"/>
                <w:sz w:val="21"/>
                <w:lang w:val="en-US"/>
              </w:rPr>
              <w:t>1.8.1</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09"/>
              <w:ind w:left="27"/>
              <w:jc w:val="center"/>
              <w:rPr>
                <w:sz w:val="21"/>
              </w:rPr>
            </w:pPr>
            <w:r>
              <w:rPr>
                <w:rFonts w:hint="eastAsia"/>
                <w:sz w:val="21"/>
              </w:rPr>
              <w:t>投标人要求澄清招标文件的截止时间</w:t>
            </w:r>
          </w:p>
        </w:tc>
        <w:tc>
          <w:tcPr>
            <w:tcW w:w="5811" w:type="dxa"/>
            <w:tcBorders>
              <w:top w:val="single" w:color="000000" w:sz="6" w:space="0"/>
              <w:left w:val="single" w:color="000000" w:sz="6" w:space="0"/>
              <w:bottom w:val="single" w:color="000000" w:sz="6" w:space="0"/>
            </w:tcBorders>
            <w:noWrap/>
            <w:vAlign w:val="center"/>
          </w:tcPr>
          <w:p>
            <w:pPr>
              <w:pStyle w:val="30"/>
              <w:jc w:val="left"/>
              <w:rPr>
                <w:sz w:val="21"/>
              </w:rPr>
            </w:pPr>
            <w:r>
              <w:rPr>
                <w:rFonts w:hint="eastAsia"/>
                <w:sz w:val="21"/>
              </w:rPr>
              <w:t xml:space="preserve">投标截止时间 </w:t>
            </w:r>
            <w:r>
              <w:rPr>
                <w:rFonts w:hint="eastAsia"/>
                <w:sz w:val="21"/>
                <w:u w:val="single"/>
              </w:rPr>
              <w:t>1</w:t>
            </w:r>
            <w:r>
              <w:rPr>
                <w:rFonts w:hint="eastAsia"/>
                <w:sz w:val="21"/>
                <w:u w:val="single"/>
                <w:lang w:val="en-US"/>
              </w:rPr>
              <w:t>0</w:t>
            </w:r>
            <w:r>
              <w:rPr>
                <w:rFonts w:hint="eastAsia"/>
                <w:sz w:val="21"/>
              </w:rPr>
              <w:t xml:space="preserve"> 天前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rPr>
            </w:pPr>
            <w:r>
              <w:rPr>
                <w:rFonts w:hint="eastAsia"/>
                <w:sz w:val="21"/>
                <w:lang w:val="en-US"/>
              </w:rPr>
              <w:t>1.8.</w:t>
            </w:r>
            <w:r>
              <w:rPr>
                <w:rFonts w:hint="eastAsia"/>
                <w:sz w:val="21"/>
              </w:rPr>
              <w:t>2</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pStyle w:val="30"/>
              <w:spacing w:before="110"/>
              <w:ind w:left="27"/>
              <w:jc w:val="center"/>
              <w:rPr>
                <w:sz w:val="21"/>
              </w:rPr>
            </w:pPr>
            <w:r>
              <w:rPr>
                <w:rFonts w:hint="eastAsia"/>
                <w:sz w:val="21"/>
              </w:rPr>
              <w:t>投标截止时间及地点</w:t>
            </w:r>
          </w:p>
        </w:tc>
        <w:tc>
          <w:tcPr>
            <w:tcW w:w="5811" w:type="dxa"/>
            <w:tcBorders>
              <w:top w:val="single" w:color="000000" w:sz="6" w:space="0"/>
              <w:left w:val="single" w:color="000000" w:sz="6" w:space="0"/>
              <w:bottom w:val="single" w:color="000000" w:sz="6" w:space="0"/>
            </w:tcBorders>
            <w:noWrap/>
            <w:vAlign w:val="center"/>
          </w:tcPr>
          <w:p>
            <w:pPr>
              <w:pStyle w:val="30"/>
              <w:tabs>
                <w:tab w:val="left" w:pos="1012"/>
                <w:tab w:val="left" w:pos="1538"/>
              </w:tabs>
              <w:spacing w:before="110"/>
              <w:jc w:val="left"/>
              <w:rPr>
                <w:sz w:val="21"/>
              </w:rPr>
            </w:pPr>
            <w:r>
              <w:rPr>
                <w:rFonts w:hint="eastAsia"/>
                <w:sz w:val="21"/>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lang w:val="en-US"/>
              </w:rPr>
            </w:pPr>
            <w:r>
              <w:rPr>
                <w:rFonts w:hint="eastAsia"/>
                <w:sz w:val="21"/>
                <w:lang w:val="en-US"/>
              </w:rPr>
              <w:t>1.8.3</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10"/>
              <w:ind w:left="27"/>
              <w:jc w:val="center"/>
              <w:rPr>
                <w:sz w:val="21"/>
              </w:rPr>
            </w:pPr>
            <w:r>
              <w:rPr>
                <w:rFonts w:hint="eastAsia"/>
                <w:sz w:val="21"/>
              </w:rPr>
              <w:t>投标文件递交方式</w:t>
            </w:r>
          </w:p>
        </w:tc>
        <w:tc>
          <w:tcPr>
            <w:tcW w:w="5811" w:type="dxa"/>
            <w:tcBorders>
              <w:top w:val="single" w:color="000000" w:sz="6" w:space="0"/>
              <w:left w:val="single" w:color="000000" w:sz="6" w:space="0"/>
              <w:bottom w:val="single" w:color="000000" w:sz="6" w:space="0"/>
            </w:tcBorders>
            <w:noWrap/>
          </w:tcPr>
          <w:p>
            <w:pPr>
              <w:pStyle w:val="30"/>
              <w:tabs>
                <w:tab w:val="left" w:pos="1012"/>
                <w:tab w:val="left" w:pos="1538"/>
              </w:tabs>
              <w:spacing w:before="110"/>
              <w:rPr>
                <w:b/>
                <w:sz w:val="21"/>
              </w:rPr>
            </w:pPr>
            <w:r>
              <w:rPr>
                <w:rFonts w:hint="eastAsia"/>
                <w:bCs/>
                <w:sz w:val="21"/>
              </w:rPr>
              <w:t>详见招标公告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0"/>
              <w:jc w:val="center"/>
              <w:rPr>
                <w:sz w:val="26"/>
              </w:rPr>
            </w:pPr>
          </w:p>
          <w:p>
            <w:pPr>
              <w:pStyle w:val="30"/>
              <w:jc w:val="center"/>
              <w:rPr>
                <w:sz w:val="21"/>
              </w:rPr>
            </w:pPr>
            <w:r>
              <w:rPr>
                <w:rFonts w:hint="eastAsia"/>
                <w:sz w:val="21"/>
                <w:lang w:val="en-US"/>
              </w:rPr>
              <w:t>1.8.4</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10"/>
              <w:ind w:left="27"/>
              <w:jc w:val="center"/>
              <w:rPr>
                <w:sz w:val="21"/>
              </w:rPr>
            </w:pPr>
            <w:r>
              <w:rPr>
                <w:rFonts w:hint="eastAsia"/>
                <w:sz w:val="21"/>
              </w:rPr>
              <w:t>投标人确认收到招标文件澄清的时间</w:t>
            </w:r>
          </w:p>
        </w:tc>
        <w:tc>
          <w:tcPr>
            <w:tcW w:w="5811" w:type="dxa"/>
            <w:tcBorders>
              <w:top w:val="single" w:color="000000" w:sz="6" w:space="0"/>
              <w:left w:val="single" w:color="000000" w:sz="6" w:space="0"/>
              <w:bottom w:val="single" w:color="000000" w:sz="6" w:space="0"/>
            </w:tcBorders>
            <w:noWrap/>
            <w:vAlign w:val="center"/>
          </w:tcPr>
          <w:p>
            <w:pPr>
              <w:pStyle w:val="30"/>
              <w:rPr>
                <w:sz w:val="21"/>
              </w:rPr>
            </w:pPr>
            <w:r>
              <w:rPr>
                <w:rFonts w:hint="eastAsia"/>
                <w:sz w:val="21"/>
              </w:rPr>
              <w:t xml:space="preserve">在收到相应澄清文件后 </w:t>
            </w:r>
            <w:r>
              <w:rPr>
                <w:rFonts w:hint="eastAsia"/>
                <w:sz w:val="21"/>
                <w:u w:val="single"/>
              </w:rPr>
              <w:t>24</w:t>
            </w:r>
            <w:r>
              <w:rPr>
                <w:rFonts w:hint="eastAsia"/>
                <w:sz w:val="21"/>
              </w:rPr>
              <w:t xml:space="preserve"> 小时内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7"/>
              </w:rPr>
            </w:pPr>
          </w:p>
          <w:p>
            <w:pPr>
              <w:pStyle w:val="30"/>
              <w:jc w:val="center"/>
              <w:rPr>
                <w:sz w:val="21"/>
              </w:rPr>
            </w:pPr>
            <w:r>
              <w:rPr>
                <w:rFonts w:hint="eastAsia"/>
                <w:sz w:val="21"/>
                <w:lang w:val="en-US"/>
              </w:rPr>
              <w:t>1.9</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3" w:line="398" w:lineRule="exact"/>
              <w:ind w:right="141"/>
              <w:jc w:val="center"/>
              <w:rPr>
                <w:sz w:val="21"/>
              </w:rPr>
            </w:pPr>
            <w:r>
              <w:rPr>
                <w:rFonts w:hint="eastAsia"/>
                <w:sz w:val="21"/>
              </w:rPr>
              <w:t>投标人确认收到招标文件修改的时间</w:t>
            </w:r>
          </w:p>
        </w:tc>
        <w:tc>
          <w:tcPr>
            <w:tcW w:w="5811" w:type="dxa"/>
            <w:tcBorders>
              <w:top w:val="single" w:color="000000" w:sz="6" w:space="0"/>
              <w:left w:val="single" w:color="000000" w:sz="6" w:space="0"/>
              <w:bottom w:val="single" w:color="000000" w:sz="6" w:space="0"/>
            </w:tcBorders>
            <w:noWrap/>
          </w:tcPr>
          <w:p>
            <w:pPr>
              <w:pStyle w:val="30"/>
              <w:rPr>
                <w:sz w:val="27"/>
              </w:rPr>
            </w:pPr>
          </w:p>
          <w:p>
            <w:pPr>
              <w:pStyle w:val="30"/>
              <w:rPr>
                <w:sz w:val="21"/>
              </w:rPr>
            </w:pPr>
            <w:r>
              <w:rPr>
                <w:rFonts w:hint="eastAsia"/>
                <w:sz w:val="21"/>
              </w:rPr>
              <w:t xml:space="preserve">在收到相应修改文件后 </w:t>
            </w:r>
            <w:r>
              <w:rPr>
                <w:rFonts w:hint="eastAsia"/>
                <w:sz w:val="21"/>
                <w:u w:val="single"/>
              </w:rPr>
              <w:t>24</w:t>
            </w:r>
            <w:r>
              <w:rPr>
                <w:rFonts w:hint="eastAsia"/>
                <w:sz w:val="21"/>
              </w:rPr>
              <w:t xml:space="preserve"> 小时内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spacing w:before="110"/>
              <w:jc w:val="center"/>
              <w:rPr>
                <w:sz w:val="21"/>
              </w:rPr>
            </w:pPr>
            <w:r>
              <w:rPr>
                <w:rFonts w:hint="eastAsia"/>
                <w:sz w:val="21"/>
                <w:lang w:val="en-US"/>
              </w:rPr>
              <w:t>2.1</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110"/>
              <w:ind w:left="29"/>
              <w:jc w:val="center"/>
              <w:rPr>
                <w:sz w:val="21"/>
              </w:rPr>
            </w:pPr>
            <w:r>
              <w:rPr>
                <w:rFonts w:hint="eastAsia"/>
                <w:sz w:val="21"/>
              </w:rPr>
              <w:t>投标有效期</w:t>
            </w:r>
          </w:p>
        </w:tc>
        <w:tc>
          <w:tcPr>
            <w:tcW w:w="5811" w:type="dxa"/>
            <w:tcBorders>
              <w:top w:val="single" w:color="000000" w:sz="6" w:space="0"/>
              <w:left w:val="single" w:color="000000" w:sz="6" w:space="0"/>
              <w:bottom w:val="single" w:color="000000" w:sz="6" w:space="0"/>
            </w:tcBorders>
            <w:noWrap/>
          </w:tcPr>
          <w:p>
            <w:pPr>
              <w:pStyle w:val="30"/>
              <w:spacing w:before="110"/>
              <w:rPr>
                <w:sz w:val="21"/>
              </w:rPr>
            </w:pPr>
            <w:r>
              <w:rPr>
                <w:rFonts w:hint="eastAsia"/>
                <w:sz w:val="21"/>
              </w:rPr>
              <w:t xml:space="preserve">投标截止期后 </w:t>
            </w:r>
            <w:r>
              <w:rPr>
                <w:rFonts w:hint="eastAsia"/>
                <w:sz w:val="21"/>
                <w:u w:val="single"/>
              </w:rPr>
              <w:t>60</w:t>
            </w:r>
            <w:r>
              <w:rPr>
                <w:rFonts w:hint="eastAsia"/>
                <w:sz w:val="21"/>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rPr>
            </w:pPr>
            <w:r>
              <w:rPr>
                <w:rFonts w:hint="eastAsia"/>
                <w:sz w:val="21"/>
                <w:lang w:val="en-US"/>
              </w:rPr>
              <w:t>2.2</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pStyle w:val="30"/>
              <w:spacing w:before="91" w:line="260" w:lineRule="exact"/>
              <w:ind w:left="29"/>
              <w:jc w:val="center"/>
              <w:rPr>
                <w:sz w:val="21"/>
              </w:rPr>
            </w:pPr>
            <w:r>
              <w:rPr>
                <w:rFonts w:hint="eastAsia"/>
                <w:sz w:val="21"/>
                <w:szCs w:val="22"/>
              </w:rPr>
              <w:t>投标承诺函</w:t>
            </w:r>
          </w:p>
        </w:tc>
        <w:tc>
          <w:tcPr>
            <w:tcW w:w="5811" w:type="dxa"/>
            <w:tcBorders>
              <w:top w:val="single" w:color="000000" w:sz="6" w:space="0"/>
              <w:left w:val="single" w:color="000000" w:sz="6" w:space="0"/>
              <w:bottom w:val="single" w:color="000000" w:sz="6" w:space="0"/>
            </w:tcBorders>
            <w:noWrap/>
          </w:tcPr>
          <w:p>
            <w:pPr>
              <w:pStyle w:val="30"/>
              <w:spacing w:before="77"/>
              <w:ind w:left="115"/>
              <w:rPr>
                <w:sz w:val="21"/>
              </w:rPr>
            </w:pPr>
            <w:r>
              <w:rPr>
                <w:rFonts w:hint="eastAsia"/>
                <w:sz w:val="21"/>
                <w:lang w:val="en-US"/>
              </w:rPr>
              <w:t>执行河南省财政厅颁发的《关于优化政府采购营商环境有关问题的通知》（豫财购【2019】4号）的规定取消投标保证金，以投标承诺函的形式替代投标保证金。供应商应承诺事项及违背承诺的责任追究措施：详见投标文件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6"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rPr>
            </w:pPr>
            <w:r>
              <w:rPr>
                <w:rFonts w:hint="eastAsia"/>
                <w:sz w:val="21"/>
                <w:lang w:val="en-US"/>
              </w:rPr>
              <w:t>2.3.1</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pStyle w:val="30"/>
              <w:spacing w:before="77"/>
              <w:ind w:left="27"/>
              <w:jc w:val="center"/>
              <w:rPr>
                <w:sz w:val="21"/>
              </w:rPr>
            </w:pPr>
            <w:r>
              <w:rPr>
                <w:rFonts w:hint="eastAsia"/>
                <w:sz w:val="21"/>
              </w:rPr>
              <w:t>是否允许递交备选投标方</w:t>
            </w:r>
            <w:r>
              <w:rPr>
                <w:rFonts w:hint="eastAsia"/>
                <w:sz w:val="21"/>
                <w:szCs w:val="22"/>
              </w:rPr>
              <w:t>案</w:t>
            </w:r>
          </w:p>
        </w:tc>
        <w:tc>
          <w:tcPr>
            <w:tcW w:w="5811" w:type="dxa"/>
            <w:tcBorders>
              <w:top w:val="single" w:color="000000" w:sz="6" w:space="0"/>
              <w:left w:val="single" w:color="000000" w:sz="6" w:space="0"/>
              <w:bottom w:val="single" w:color="000000" w:sz="6" w:space="0"/>
            </w:tcBorders>
            <w:noWrap/>
            <w:vAlign w:val="center"/>
          </w:tcPr>
          <w:p>
            <w:pPr>
              <w:pStyle w:val="30"/>
              <w:spacing w:before="77"/>
              <w:rPr>
                <w:sz w:val="21"/>
              </w:rPr>
            </w:pPr>
            <w:r>
              <w:rPr>
                <w:rFonts w:hint="eastAsia"/>
                <w:sz w:val="21"/>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lang w:val="en-US"/>
              </w:rPr>
            </w:pPr>
            <w:r>
              <w:rPr>
                <w:rFonts w:hint="eastAsia"/>
                <w:sz w:val="21"/>
                <w:lang w:val="en-US"/>
              </w:rPr>
              <w:t>2.4</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77"/>
              <w:ind w:left="27"/>
              <w:jc w:val="center"/>
              <w:rPr>
                <w:sz w:val="21"/>
              </w:rPr>
            </w:pPr>
            <w:r>
              <w:rPr>
                <w:rFonts w:hint="eastAsia"/>
                <w:sz w:val="21"/>
              </w:rPr>
              <w:t>履约保证金</w:t>
            </w:r>
          </w:p>
        </w:tc>
        <w:tc>
          <w:tcPr>
            <w:tcW w:w="5811" w:type="dxa"/>
            <w:tcBorders>
              <w:top w:val="single" w:color="000000" w:sz="6" w:space="0"/>
              <w:left w:val="single" w:color="000000" w:sz="6" w:space="0"/>
              <w:bottom w:val="single" w:color="000000" w:sz="6" w:space="0"/>
            </w:tcBorders>
            <w:noWrap/>
          </w:tcPr>
          <w:p>
            <w:pPr>
              <w:pStyle w:val="30"/>
              <w:spacing w:before="77"/>
              <w:rPr>
                <w:sz w:val="21"/>
              </w:rPr>
            </w:pPr>
            <w:r>
              <w:rPr>
                <w:rFonts w:hint="eastAsia"/>
                <w:sz w:val="21"/>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5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lang w:val="en-US"/>
              </w:rPr>
            </w:pPr>
            <w:r>
              <w:rPr>
                <w:rFonts w:hint="eastAsia"/>
                <w:sz w:val="21"/>
                <w:lang w:val="en-US"/>
              </w:rPr>
              <w:t>2.5</w:t>
            </w:r>
          </w:p>
        </w:tc>
        <w:tc>
          <w:tcPr>
            <w:tcW w:w="2717"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jc w:val="center"/>
              <w:rPr>
                <w:rFonts w:ascii="宋体" w:hAnsi="宋体" w:cs="宋体"/>
                <w:sz w:val="21"/>
                <w:szCs w:val="22"/>
                <w:lang w:val="zh-CN" w:bidi="zh-CN"/>
              </w:rPr>
            </w:pPr>
            <w:r>
              <w:rPr>
                <w:rFonts w:hint="eastAsia" w:ascii="宋体" w:hAnsi="宋体" w:cs="宋体"/>
                <w:sz w:val="21"/>
                <w:szCs w:val="22"/>
                <w:lang w:val="zh-CN" w:bidi="zh-CN"/>
              </w:rPr>
              <w:t>评标委员会</w:t>
            </w:r>
          </w:p>
          <w:p>
            <w:pPr>
              <w:spacing w:line="360" w:lineRule="auto"/>
              <w:jc w:val="center"/>
              <w:rPr>
                <w:rFonts w:ascii="宋体" w:hAnsi="宋体" w:cs="宋体"/>
                <w:sz w:val="21"/>
                <w:szCs w:val="22"/>
                <w:lang w:val="zh-CN" w:bidi="zh-CN"/>
              </w:rPr>
            </w:pPr>
            <w:r>
              <w:rPr>
                <w:rFonts w:hint="eastAsia" w:ascii="宋体" w:hAnsi="宋体" w:cs="宋体"/>
                <w:sz w:val="21"/>
                <w:szCs w:val="22"/>
                <w:lang w:val="zh-CN" w:bidi="zh-CN"/>
              </w:rPr>
              <w:t>的组建</w:t>
            </w:r>
          </w:p>
        </w:tc>
        <w:tc>
          <w:tcPr>
            <w:tcW w:w="5811" w:type="dxa"/>
            <w:tcBorders>
              <w:top w:val="single" w:color="000000" w:sz="6" w:space="0"/>
              <w:left w:val="single" w:color="000000" w:sz="6" w:space="0"/>
              <w:bottom w:val="single" w:color="000000" w:sz="6" w:space="0"/>
            </w:tcBorders>
            <w:noWrap/>
            <w:vAlign w:val="center"/>
          </w:tcPr>
          <w:p>
            <w:pPr>
              <w:spacing w:line="360" w:lineRule="auto"/>
              <w:rPr>
                <w:rFonts w:ascii="宋体" w:hAnsi="宋体" w:cs="宋体"/>
                <w:sz w:val="21"/>
                <w:szCs w:val="22"/>
                <w:lang w:val="zh-CN" w:bidi="zh-CN"/>
              </w:rPr>
            </w:pPr>
            <w:r>
              <w:rPr>
                <w:rFonts w:hint="eastAsia" w:ascii="宋体" w:hAnsi="宋体" w:cs="宋体"/>
                <w:sz w:val="21"/>
                <w:szCs w:val="22"/>
                <w:lang w:val="zh-CN" w:bidi="zh-CN"/>
              </w:rPr>
              <w:t>评标委员会构成：由相关的技术、经济专家4人，业主参与评标1人，共</w:t>
            </w:r>
            <w:r>
              <w:rPr>
                <w:rFonts w:hint="eastAsia" w:ascii="宋体" w:hAnsi="宋体" w:cs="宋体"/>
                <w:sz w:val="21"/>
                <w:szCs w:val="22"/>
                <w:lang w:val="en-US" w:bidi="zh-CN"/>
              </w:rPr>
              <w:t>5</w:t>
            </w:r>
            <w:r>
              <w:rPr>
                <w:rFonts w:hint="eastAsia" w:ascii="宋体" w:hAnsi="宋体" w:cs="宋体"/>
                <w:sz w:val="21"/>
                <w:szCs w:val="22"/>
                <w:lang w:val="zh-CN" w:bidi="zh-CN"/>
              </w:rPr>
              <w:t>人组成。</w:t>
            </w:r>
          </w:p>
          <w:p>
            <w:pPr>
              <w:spacing w:line="360" w:lineRule="auto"/>
              <w:rPr>
                <w:rFonts w:ascii="宋体" w:hAnsi="宋体" w:cs="宋体"/>
                <w:sz w:val="21"/>
                <w:szCs w:val="22"/>
                <w:lang w:val="zh-CN" w:bidi="zh-CN"/>
              </w:rPr>
            </w:pPr>
            <w:r>
              <w:rPr>
                <w:rFonts w:hint="eastAsia" w:ascii="宋体" w:hAnsi="宋体" w:cs="宋体"/>
                <w:sz w:val="21"/>
                <w:szCs w:val="22"/>
                <w:lang w:val="zh-CN" w:bidi="zh-CN"/>
              </w:rPr>
              <w:t>评标专家确定方式：经济、技术专家应在开标前从符合相关规定的评标专家库中随机抽取确定。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lang w:val="en-US"/>
              </w:rPr>
            </w:pPr>
            <w:r>
              <w:rPr>
                <w:rFonts w:hint="eastAsia"/>
                <w:sz w:val="21"/>
                <w:lang w:val="en-US"/>
              </w:rPr>
              <w:t>2.6</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77"/>
              <w:ind w:left="27"/>
              <w:jc w:val="center"/>
              <w:rPr>
                <w:sz w:val="21"/>
              </w:rPr>
            </w:pPr>
            <w:r>
              <w:rPr>
                <w:rFonts w:hint="eastAsia"/>
                <w:sz w:val="21"/>
              </w:rPr>
              <w:t>招标控制价</w:t>
            </w:r>
          </w:p>
        </w:tc>
        <w:tc>
          <w:tcPr>
            <w:tcW w:w="5811" w:type="dxa"/>
            <w:tcBorders>
              <w:top w:val="single" w:color="000000" w:sz="6" w:space="0"/>
              <w:left w:val="single" w:color="000000" w:sz="6" w:space="0"/>
              <w:bottom w:val="single" w:color="000000" w:sz="6" w:space="0"/>
            </w:tcBorders>
            <w:noWrap/>
          </w:tcPr>
          <w:p>
            <w:pPr>
              <w:pStyle w:val="30"/>
              <w:spacing w:before="77"/>
              <w:rPr>
                <w:sz w:val="21"/>
                <w:lang w:val="en-US"/>
              </w:rPr>
            </w:pPr>
            <w:r>
              <w:rPr>
                <w:rFonts w:hint="eastAsia"/>
                <w:sz w:val="21"/>
                <w:lang w:val="en-US" w:eastAsia="zh-CN"/>
              </w:rPr>
              <w:t>2600000.00</w:t>
            </w:r>
            <w:r>
              <w:rPr>
                <w:rFonts w:hint="eastAsia"/>
                <w:sz w:val="21"/>
                <w:lang w:val="en-US"/>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lang w:val="en-US"/>
              </w:rPr>
            </w:pPr>
            <w:r>
              <w:rPr>
                <w:rFonts w:hint="eastAsia"/>
                <w:sz w:val="21"/>
                <w:lang w:val="en-US"/>
              </w:rPr>
              <w:t>2.7</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77"/>
              <w:ind w:left="27"/>
              <w:jc w:val="center"/>
              <w:rPr>
                <w:sz w:val="21"/>
              </w:rPr>
            </w:pPr>
            <w:r>
              <w:rPr>
                <w:rFonts w:hint="eastAsia"/>
                <w:sz w:val="21"/>
              </w:rPr>
              <w:t>推荐中标候选人</w:t>
            </w:r>
          </w:p>
        </w:tc>
        <w:tc>
          <w:tcPr>
            <w:tcW w:w="5811" w:type="dxa"/>
            <w:tcBorders>
              <w:top w:val="single" w:color="000000" w:sz="6" w:space="0"/>
              <w:left w:val="single" w:color="000000" w:sz="6" w:space="0"/>
              <w:bottom w:val="single" w:color="000000" w:sz="6" w:space="0"/>
            </w:tcBorders>
            <w:noWrap/>
          </w:tcPr>
          <w:p>
            <w:pPr>
              <w:pStyle w:val="30"/>
              <w:spacing w:before="77"/>
              <w:rPr>
                <w:sz w:val="21"/>
              </w:rPr>
            </w:pPr>
            <w:r>
              <w:rPr>
                <w:rFonts w:hint="eastAsia"/>
                <w:sz w:val="21"/>
              </w:rPr>
              <w:t>评标委员会推荐</w:t>
            </w:r>
            <w:r>
              <w:rPr>
                <w:rFonts w:hint="eastAsia"/>
                <w:sz w:val="21"/>
                <w:lang w:val="en-US"/>
              </w:rPr>
              <w:t>3</w:t>
            </w:r>
            <w:r>
              <w:rPr>
                <w:rFonts w:hint="eastAsia"/>
                <w:sz w:val="21"/>
              </w:rPr>
              <w:t>名中标候选人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sz w:val="21"/>
                <w:lang w:val="en-US"/>
              </w:rPr>
            </w:pPr>
            <w:r>
              <w:rPr>
                <w:rFonts w:hint="eastAsia"/>
                <w:sz w:val="21"/>
                <w:lang w:val="en-US"/>
              </w:rPr>
              <w:t>2.8</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77"/>
              <w:ind w:left="27"/>
              <w:jc w:val="center"/>
              <w:rPr>
                <w:sz w:val="21"/>
              </w:rPr>
            </w:pPr>
            <w:r>
              <w:rPr>
                <w:rFonts w:hint="eastAsia"/>
                <w:sz w:val="21"/>
              </w:rPr>
              <w:t>招标代理费</w:t>
            </w:r>
          </w:p>
        </w:tc>
        <w:tc>
          <w:tcPr>
            <w:tcW w:w="5811" w:type="dxa"/>
            <w:tcBorders>
              <w:top w:val="single" w:color="000000" w:sz="6" w:space="0"/>
              <w:left w:val="single" w:color="000000" w:sz="6" w:space="0"/>
              <w:bottom w:val="single" w:color="000000" w:sz="6" w:space="0"/>
            </w:tcBorders>
            <w:noWrap/>
          </w:tcPr>
          <w:p>
            <w:pPr>
              <w:pStyle w:val="30"/>
              <w:spacing w:before="77"/>
              <w:rPr>
                <w:sz w:val="21"/>
              </w:rPr>
            </w:pPr>
            <w:r>
              <w:rPr>
                <w:rFonts w:hint="eastAsia"/>
                <w:sz w:val="21"/>
              </w:rPr>
              <w:t>本项目招标代理服务费在发出中标通知书的同时向中标单位收取，</w:t>
            </w:r>
            <w:r>
              <w:rPr>
                <w:rFonts w:hint="eastAsia"/>
                <w:sz w:val="21"/>
                <w:lang w:val="en-US" w:eastAsia="zh-CN"/>
              </w:rPr>
              <w:t>收费金额36200元</w:t>
            </w:r>
            <w:r>
              <w:rPr>
                <w:rFonts w:hint="eastAsia"/>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1126" w:type="dxa"/>
            <w:tcBorders>
              <w:top w:val="single" w:color="000000" w:sz="6" w:space="0"/>
              <w:bottom w:val="single" w:color="000000" w:sz="6" w:space="0"/>
              <w:right w:val="single" w:color="000000" w:sz="6" w:space="0"/>
            </w:tcBorders>
            <w:noWrap/>
            <w:vAlign w:val="center"/>
          </w:tcPr>
          <w:p>
            <w:pPr>
              <w:pStyle w:val="30"/>
              <w:jc w:val="center"/>
              <w:rPr>
                <w:rFonts w:hint="default" w:eastAsia="宋体"/>
                <w:sz w:val="21"/>
                <w:lang w:val="en-US" w:eastAsia="zh-CN"/>
              </w:rPr>
            </w:pPr>
            <w:r>
              <w:rPr>
                <w:rFonts w:hint="eastAsia"/>
                <w:sz w:val="21"/>
                <w:lang w:val="en-US" w:eastAsia="zh-CN"/>
              </w:rPr>
              <w:t>2.9</w:t>
            </w:r>
          </w:p>
        </w:tc>
        <w:tc>
          <w:tcPr>
            <w:tcW w:w="2717" w:type="dxa"/>
            <w:tcBorders>
              <w:top w:val="single" w:color="000000" w:sz="6" w:space="0"/>
              <w:left w:val="single" w:color="000000" w:sz="6" w:space="0"/>
              <w:bottom w:val="single" w:color="000000" w:sz="6" w:space="0"/>
              <w:right w:val="single" w:color="000000" w:sz="6" w:space="0"/>
            </w:tcBorders>
            <w:noWrap/>
          </w:tcPr>
          <w:p>
            <w:pPr>
              <w:pStyle w:val="30"/>
              <w:spacing w:before="77"/>
              <w:ind w:left="27"/>
              <w:jc w:val="center"/>
              <w:rPr>
                <w:rFonts w:hint="default" w:eastAsia="宋体"/>
                <w:sz w:val="21"/>
                <w:lang w:val="en-US" w:eastAsia="zh-CN"/>
              </w:rPr>
            </w:pPr>
            <w:r>
              <w:rPr>
                <w:rFonts w:hint="eastAsia"/>
                <w:sz w:val="21"/>
                <w:lang w:val="en-US" w:eastAsia="zh-CN"/>
              </w:rPr>
              <w:t>付款比例</w:t>
            </w:r>
          </w:p>
        </w:tc>
        <w:tc>
          <w:tcPr>
            <w:tcW w:w="5811" w:type="dxa"/>
            <w:tcBorders>
              <w:top w:val="single" w:color="000000" w:sz="6" w:space="0"/>
              <w:left w:val="single" w:color="000000" w:sz="6" w:space="0"/>
              <w:bottom w:val="single" w:color="000000" w:sz="6" w:space="0"/>
            </w:tcBorders>
            <w:noWrap/>
          </w:tcPr>
          <w:p>
            <w:pPr>
              <w:pStyle w:val="30"/>
              <w:spacing w:before="77"/>
              <w:rPr>
                <w:rFonts w:hint="eastAsia"/>
                <w:sz w:val="21"/>
              </w:rPr>
            </w:pPr>
            <w:r>
              <w:rPr>
                <w:rFonts w:hint="eastAsia"/>
                <w:sz w:val="21"/>
              </w:rPr>
              <w:t>签订合同 15 个工作日内支付 50%;</w:t>
            </w:r>
          </w:p>
          <w:p>
            <w:pPr>
              <w:pStyle w:val="30"/>
              <w:spacing w:before="77"/>
              <w:rPr>
                <w:rFonts w:hint="eastAsia"/>
                <w:sz w:val="21"/>
              </w:rPr>
            </w:pPr>
            <w:r>
              <w:rPr>
                <w:rFonts w:hint="eastAsia"/>
                <w:sz w:val="21"/>
              </w:rPr>
              <w:t>甲方认可验收提交的策划设计方案后 15 个工作日内支付 40%;</w:t>
            </w:r>
          </w:p>
          <w:p>
            <w:pPr>
              <w:pStyle w:val="30"/>
              <w:spacing w:before="77"/>
              <w:rPr>
                <w:rFonts w:hint="eastAsia"/>
                <w:sz w:val="21"/>
              </w:rPr>
            </w:pPr>
            <w:r>
              <w:rPr>
                <w:rFonts w:hint="eastAsia"/>
                <w:sz w:val="21"/>
              </w:rPr>
              <w:t>项目工作全部完成验收五个工作日内支付 10%。</w:t>
            </w:r>
          </w:p>
        </w:tc>
      </w:tr>
    </w:tbl>
    <w:p>
      <w:pPr>
        <w:spacing w:before="32"/>
        <w:ind w:right="4077"/>
        <w:rPr>
          <w:rFonts w:ascii="宋体" w:hAnsi="宋体" w:cs="宋体"/>
          <w:b/>
        </w:rPr>
      </w:pPr>
      <w:bookmarkStart w:id="7" w:name="投标人须知前附表"/>
      <w:bookmarkEnd w:id="7"/>
    </w:p>
    <w:p>
      <w:pPr>
        <w:tabs>
          <w:tab w:val="left" w:pos="477"/>
        </w:tabs>
        <w:spacing w:before="122"/>
        <w:ind w:left="234"/>
        <w:jc w:val="center"/>
        <w:rPr>
          <w:rFonts w:ascii="宋体" w:hAnsi="宋体" w:cs="宋体"/>
          <w:sz w:val="21"/>
          <w:szCs w:val="21"/>
        </w:rPr>
      </w:pPr>
      <w:r>
        <w:rPr>
          <w:rFonts w:hint="eastAsia" w:ascii="宋体" w:hAnsi="宋体" w:cs="宋体"/>
          <w:b/>
          <w:bCs/>
        </w:rPr>
        <w:t>投标人须知正文</w:t>
      </w:r>
    </w:p>
    <w:p>
      <w:pPr>
        <w:numPr>
          <w:ilvl w:val="0"/>
          <w:numId w:val="2"/>
        </w:numPr>
        <w:tabs>
          <w:tab w:val="left" w:pos="477"/>
        </w:tabs>
        <w:spacing w:before="122"/>
        <w:ind w:hanging="242"/>
        <w:rPr>
          <w:rFonts w:ascii="宋体" w:hAnsi="宋体" w:cs="宋体"/>
          <w:b/>
          <w:bCs/>
          <w:sz w:val="21"/>
          <w:szCs w:val="21"/>
        </w:rPr>
      </w:pPr>
      <w:r>
        <w:rPr>
          <w:rFonts w:hint="eastAsia" w:ascii="宋体" w:hAnsi="宋体" w:cs="宋体"/>
          <w:b/>
          <w:bCs/>
          <w:sz w:val="21"/>
          <w:szCs w:val="21"/>
        </w:rPr>
        <w:t>总则</w:t>
      </w:r>
    </w:p>
    <w:p>
      <w:pPr>
        <w:spacing w:line="360" w:lineRule="auto"/>
        <w:rPr>
          <w:rFonts w:ascii="宋体" w:hAnsi="宋体" w:cs="宋体"/>
          <w:b/>
          <w:bCs/>
          <w:sz w:val="21"/>
          <w:szCs w:val="21"/>
        </w:rPr>
      </w:pPr>
      <w:r>
        <w:rPr>
          <w:rFonts w:hint="eastAsia" w:ascii="宋体" w:hAnsi="宋体" w:cs="宋体"/>
          <w:b/>
          <w:bCs/>
          <w:sz w:val="21"/>
          <w:szCs w:val="21"/>
        </w:rPr>
        <w:t>1.1项目概况</w:t>
      </w:r>
    </w:p>
    <w:p>
      <w:pPr>
        <w:spacing w:line="360" w:lineRule="auto"/>
        <w:ind w:firstLine="840" w:firstLineChars="400"/>
        <w:rPr>
          <w:rFonts w:ascii="宋体" w:hAnsi="宋体" w:cs="宋体"/>
          <w:sz w:val="21"/>
          <w:szCs w:val="21"/>
        </w:rPr>
      </w:pPr>
      <w:r>
        <w:rPr>
          <w:rFonts w:hint="eastAsia" w:ascii="宋体" w:hAnsi="宋体" w:cs="宋体"/>
          <w:sz w:val="21"/>
          <w:szCs w:val="21"/>
        </w:rPr>
        <w:t>1.1.1根据《中华人民共和国政府采购法》等有关法律、法规和规章的规定，本招标项目已具备招标条件，现对本项目进行招标。</w:t>
      </w:r>
    </w:p>
    <w:p>
      <w:pPr>
        <w:spacing w:line="360" w:lineRule="auto"/>
        <w:ind w:firstLine="840" w:firstLineChars="400"/>
        <w:rPr>
          <w:rFonts w:ascii="宋体" w:hAnsi="宋体" w:cs="宋体"/>
          <w:sz w:val="21"/>
          <w:szCs w:val="21"/>
        </w:rPr>
      </w:pPr>
      <w:r>
        <w:rPr>
          <w:rFonts w:hint="eastAsia" w:ascii="宋体" w:hAnsi="宋体" w:cs="宋体"/>
          <w:sz w:val="21"/>
          <w:szCs w:val="21"/>
        </w:rPr>
        <w:t>1.1.2本招标项目招标人：见投标人须知前附表。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1.1.3本招标项目招标代理机构：见投标人须知前附表。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1.1.4本招标项目名称：见投标人须知前附表。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1.1.5本招标项目</w:t>
      </w:r>
      <w:r>
        <w:rPr>
          <w:rFonts w:hint="eastAsia" w:ascii="宋体" w:hAnsi="宋体" w:cs="宋体"/>
          <w:sz w:val="21"/>
          <w:szCs w:val="21"/>
          <w:lang w:val="en-US" w:eastAsia="zh-CN"/>
        </w:rPr>
        <w:t>服务</w:t>
      </w:r>
      <w:r>
        <w:rPr>
          <w:rFonts w:hint="eastAsia" w:ascii="宋体" w:hAnsi="宋体" w:cs="宋体"/>
          <w:sz w:val="21"/>
          <w:szCs w:val="21"/>
        </w:rPr>
        <w:t>地点：见投标人须知前附表。</w:t>
      </w:r>
    </w:p>
    <w:p>
      <w:pPr>
        <w:spacing w:line="360" w:lineRule="auto"/>
        <w:rPr>
          <w:rFonts w:ascii="宋体" w:hAnsi="宋体" w:cs="宋体"/>
          <w:b/>
          <w:bCs/>
          <w:sz w:val="21"/>
          <w:szCs w:val="21"/>
        </w:rPr>
      </w:pPr>
      <w:r>
        <w:rPr>
          <w:rFonts w:hint="eastAsia" w:ascii="宋体" w:hAnsi="宋体" w:cs="宋体"/>
          <w:b/>
          <w:bCs/>
          <w:sz w:val="21"/>
          <w:szCs w:val="21"/>
        </w:rPr>
        <w:t>1.2资金来源和落实情况</w:t>
      </w:r>
    </w:p>
    <w:p>
      <w:pPr>
        <w:spacing w:line="360" w:lineRule="auto"/>
        <w:ind w:firstLine="840" w:firstLineChars="400"/>
        <w:rPr>
          <w:rFonts w:ascii="宋体" w:hAnsi="宋体" w:cs="宋体"/>
          <w:sz w:val="21"/>
          <w:szCs w:val="21"/>
        </w:rPr>
      </w:pPr>
      <w:r>
        <w:rPr>
          <w:rFonts w:hint="eastAsia" w:ascii="宋体" w:hAnsi="宋体" w:cs="宋体"/>
          <w:sz w:val="21"/>
          <w:szCs w:val="21"/>
        </w:rPr>
        <w:t>1.2.1本招标项目的资金来源：见投标人须知前附表。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1.2.2本招标项目的出资比例：见投标人须知前附表。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1.2.3本招标项目的资金落实情况：见投标人须知前附表。</w:t>
      </w:r>
    </w:p>
    <w:p>
      <w:pPr>
        <w:spacing w:line="360" w:lineRule="auto"/>
        <w:rPr>
          <w:rFonts w:ascii="宋体" w:hAnsi="宋体" w:cs="宋体"/>
          <w:b/>
          <w:bCs/>
          <w:sz w:val="21"/>
          <w:szCs w:val="21"/>
        </w:rPr>
      </w:pPr>
      <w:r>
        <w:rPr>
          <w:rFonts w:hint="eastAsia" w:ascii="宋体" w:hAnsi="宋体" w:cs="宋体"/>
          <w:b/>
          <w:bCs/>
          <w:sz w:val="21"/>
          <w:szCs w:val="21"/>
        </w:rPr>
        <w:t>1.3招标范围、</w:t>
      </w:r>
      <w:r>
        <w:rPr>
          <w:rFonts w:hint="eastAsia" w:ascii="宋体" w:hAnsi="宋体" w:cs="宋体"/>
          <w:b/>
          <w:bCs/>
          <w:sz w:val="21"/>
          <w:szCs w:val="21"/>
          <w:lang w:val="en-US" w:eastAsia="zh-CN"/>
        </w:rPr>
        <w:t>服务期限</w:t>
      </w:r>
      <w:r>
        <w:rPr>
          <w:rFonts w:hint="eastAsia" w:ascii="宋体" w:hAnsi="宋体" w:cs="宋体"/>
          <w:b/>
          <w:bCs/>
          <w:sz w:val="21"/>
          <w:szCs w:val="21"/>
        </w:rPr>
        <w:t>和质量要求</w:t>
      </w:r>
    </w:p>
    <w:p>
      <w:pPr>
        <w:spacing w:line="360" w:lineRule="auto"/>
        <w:ind w:firstLine="840" w:firstLineChars="400"/>
        <w:rPr>
          <w:rFonts w:ascii="宋体" w:hAnsi="宋体" w:cs="宋体"/>
          <w:sz w:val="21"/>
          <w:szCs w:val="21"/>
        </w:rPr>
      </w:pPr>
      <w:r>
        <w:rPr>
          <w:rFonts w:hint="eastAsia" w:ascii="宋体" w:hAnsi="宋体" w:cs="宋体"/>
          <w:sz w:val="21"/>
          <w:szCs w:val="21"/>
        </w:rPr>
        <w:t>1.3.1本次招标范围：见投标人须知前附表。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1.3.2本招标项目的</w:t>
      </w:r>
      <w:r>
        <w:rPr>
          <w:rFonts w:hint="eastAsia" w:ascii="宋体" w:hAnsi="宋体" w:cs="宋体"/>
          <w:sz w:val="21"/>
          <w:szCs w:val="21"/>
          <w:lang w:val="en-US" w:eastAsia="zh-CN"/>
        </w:rPr>
        <w:t>服务期限</w:t>
      </w:r>
      <w:r>
        <w:rPr>
          <w:rFonts w:hint="eastAsia" w:ascii="宋体" w:hAnsi="宋体" w:cs="宋体"/>
          <w:sz w:val="21"/>
          <w:szCs w:val="21"/>
        </w:rPr>
        <w:t>：见投标人须知前附表。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1.3.3本招标项目的质量要求：见投标人须知前附表。</w:t>
      </w:r>
    </w:p>
    <w:p>
      <w:pPr>
        <w:spacing w:line="360" w:lineRule="auto"/>
        <w:rPr>
          <w:rFonts w:ascii="宋体" w:hAnsi="宋体" w:cs="宋体"/>
          <w:b/>
          <w:bCs/>
          <w:sz w:val="21"/>
          <w:szCs w:val="21"/>
        </w:rPr>
      </w:pPr>
      <w:r>
        <w:rPr>
          <w:rFonts w:hint="eastAsia" w:ascii="宋体" w:hAnsi="宋体" w:cs="宋体"/>
          <w:b/>
          <w:bCs/>
          <w:sz w:val="21"/>
          <w:szCs w:val="21"/>
        </w:rPr>
        <w:t>1.4投标人资格要求</w:t>
      </w:r>
    </w:p>
    <w:p>
      <w:pPr>
        <w:spacing w:line="360" w:lineRule="auto"/>
        <w:ind w:firstLine="840" w:firstLineChars="400"/>
        <w:rPr>
          <w:rFonts w:ascii="宋体" w:hAnsi="宋体" w:cs="宋体"/>
          <w:sz w:val="21"/>
          <w:szCs w:val="21"/>
        </w:rPr>
      </w:pPr>
      <w:r>
        <w:rPr>
          <w:rFonts w:hint="eastAsia" w:ascii="宋体" w:hAnsi="宋体" w:cs="宋体"/>
          <w:sz w:val="21"/>
          <w:szCs w:val="21"/>
        </w:rPr>
        <w:t>1.4.1投标人资格要求：见投标人须知前附表。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1.4.2是否组织联合体投标：见投标人须知前附表。</w:t>
      </w:r>
    </w:p>
    <w:p>
      <w:pPr>
        <w:spacing w:line="360" w:lineRule="auto"/>
        <w:ind w:firstLine="840" w:firstLineChars="400"/>
        <w:rPr>
          <w:rFonts w:ascii="宋体" w:hAnsi="宋体" w:cs="宋体"/>
          <w:sz w:val="21"/>
          <w:szCs w:val="21"/>
        </w:rPr>
      </w:pPr>
      <w:r>
        <w:rPr>
          <w:rFonts w:hint="eastAsia" w:ascii="宋体" w:hAnsi="宋体" w:cs="宋体"/>
          <w:sz w:val="21"/>
          <w:szCs w:val="21"/>
        </w:rPr>
        <w:t>1.4.3投标人不得存在下列情形之一：</w:t>
      </w:r>
    </w:p>
    <w:p>
      <w:pPr>
        <w:spacing w:line="360" w:lineRule="auto"/>
        <w:ind w:firstLine="840" w:firstLineChars="400"/>
        <w:rPr>
          <w:rFonts w:ascii="宋体" w:hAnsi="宋体" w:cs="宋体"/>
          <w:sz w:val="21"/>
          <w:szCs w:val="21"/>
        </w:rPr>
      </w:pPr>
      <w:r>
        <w:rPr>
          <w:rFonts w:hint="eastAsia" w:ascii="宋体" w:hAnsi="宋体" w:cs="宋体"/>
          <w:sz w:val="21"/>
          <w:szCs w:val="21"/>
        </w:rPr>
        <w:t>(l）为招标人不具有独立法人资格的附属机构（单位）;</w:t>
      </w:r>
    </w:p>
    <w:p>
      <w:pPr>
        <w:spacing w:line="360" w:lineRule="auto"/>
        <w:ind w:firstLine="840" w:firstLineChars="400"/>
        <w:rPr>
          <w:rFonts w:ascii="宋体" w:hAnsi="宋体" w:cs="宋体"/>
          <w:sz w:val="21"/>
          <w:szCs w:val="21"/>
        </w:rPr>
      </w:pPr>
      <w:r>
        <w:rPr>
          <w:rFonts w:hint="eastAsia" w:ascii="宋体" w:hAnsi="宋体" w:cs="宋体"/>
          <w:sz w:val="21"/>
          <w:szCs w:val="21"/>
        </w:rPr>
        <w:t>(2）为本项目提供招标代理服务的；</w:t>
      </w:r>
    </w:p>
    <w:p>
      <w:pPr>
        <w:spacing w:line="360" w:lineRule="auto"/>
        <w:ind w:firstLine="840" w:firstLineChars="400"/>
        <w:rPr>
          <w:rFonts w:ascii="宋体" w:hAnsi="宋体" w:cs="宋体"/>
          <w:sz w:val="21"/>
          <w:szCs w:val="21"/>
        </w:rPr>
      </w:pPr>
      <w:r>
        <w:rPr>
          <w:rFonts w:hint="eastAsia" w:ascii="宋体" w:hAnsi="宋体" w:cs="宋体"/>
          <w:sz w:val="21"/>
          <w:szCs w:val="21"/>
        </w:rPr>
        <w:t>(3）与本项目的招标代理机构同为一个法定代表人的；</w:t>
      </w:r>
    </w:p>
    <w:p>
      <w:pPr>
        <w:spacing w:line="360" w:lineRule="auto"/>
        <w:ind w:firstLine="840" w:firstLineChars="400"/>
        <w:rPr>
          <w:rFonts w:ascii="宋体" w:hAnsi="宋体" w:cs="宋体"/>
          <w:sz w:val="21"/>
          <w:szCs w:val="21"/>
        </w:rPr>
      </w:pPr>
      <w:r>
        <w:rPr>
          <w:rFonts w:hint="eastAsia" w:ascii="宋体" w:hAnsi="宋体" w:cs="宋体"/>
          <w:sz w:val="21"/>
          <w:szCs w:val="21"/>
        </w:rPr>
        <w:t>(4）与本项目的招标代理机构相互控股或参股的；</w:t>
      </w:r>
    </w:p>
    <w:p>
      <w:pPr>
        <w:spacing w:line="360" w:lineRule="auto"/>
        <w:ind w:firstLine="840" w:firstLineChars="400"/>
        <w:rPr>
          <w:rFonts w:ascii="宋体" w:hAnsi="宋体" w:cs="宋体"/>
          <w:sz w:val="21"/>
          <w:szCs w:val="21"/>
        </w:rPr>
      </w:pPr>
      <w:r>
        <w:rPr>
          <w:rFonts w:hint="eastAsia" w:ascii="宋体" w:hAnsi="宋体" w:cs="宋体"/>
          <w:sz w:val="21"/>
          <w:szCs w:val="21"/>
        </w:rPr>
        <w:t>(5）与本项目的招标代理机构相互任职或工作的；</w:t>
      </w:r>
    </w:p>
    <w:p>
      <w:pPr>
        <w:spacing w:line="360" w:lineRule="auto"/>
        <w:ind w:firstLine="840" w:firstLineChars="400"/>
        <w:rPr>
          <w:rFonts w:ascii="宋体" w:hAnsi="宋体" w:cs="宋体"/>
          <w:sz w:val="21"/>
          <w:szCs w:val="21"/>
        </w:rPr>
      </w:pPr>
      <w:r>
        <w:rPr>
          <w:rFonts w:hint="eastAsia" w:ascii="宋体" w:hAnsi="宋体" w:cs="宋体"/>
          <w:sz w:val="21"/>
          <w:szCs w:val="21"/>
        </w:rPr>
        <w:t>(6）被责令停业的；</w:t>
      </w:r>
    </w:p>
    <w:p>
      <w:pPr>
        <w:spacing w:line="360" w:lineRule="auto"/>
        <w:ind w:firstLine="840" w:firstLineChars="400"/>
        <w:rPr>
          <w:rFonts w:ascii="宋体" w:hAnsi="宋体" w:cs="宋体"/>
          <w:sz w:val="21"/>
          <w:szCs w:val="21"/>
        </w:rPr>
      </w:pPr>
      <w:r>
        <w:rPr>
          <w:rFonts w:hint="eastAsia" w:ascii="宋体" w:hAnsi="宋体" w:cs="宋体"/>
          <w:sz w:val="21"/>
          <w:szCs w:val="21"/>
        </w:rPr>
        <w:t>(7）被暂停或取消投标资格的；</w:t>
      </w:r>
    </w:p>
    <w:p>
      <w:pPr>
        <w:spacing w:line="360" w:lineRule="auto"/>
        <w:ind w:firstLine="840" w:firstLineChars="400"/>
        <w:rPr>
          <w:rFonts w:ascii="宋体" w:hAnsi="宋体" w:cs="宋体"/>
          <w:sz w:val="21"/>
          <w:szCs w:val="21"/>
        </w:rPr>
      </w:pPr>
      <w:r>
        <w:rPr>
          <w:rFonts w:hint="eastAsia" w:ascii="宋体" w:hAnsi="宋体" w:cs="宋体"/>
          <w:sz w:val="21"/>
          <w:szCs w:val="21"/>
        </w:rPr>
        <w:t>(8）财产被接管或冻结的；</w:t>
      </w:r>
    </w:p>
    <w:p>
      <w:pPr>
        <w:spacing w:line="360" w:lineRule="auto"/>
        <w:ind w:firstLine="840" w:firstLineChars="400"/>
        <w:rPr>
          <w:rFonts w:ascii="宋体" w:hAnsi="宋体" w:cs="宋体"/>
          <w:sz w:val="21"/>
          <w:szCs w:val="21"/>
        </w:rPr>
      </w:pPr>
      <w:r>
        <w:rPr>
          <w:rFonts w:hint="eastAsia" w:ascii="宋体" w:hAnsi="宋体" w:cs="宋体"/>
          <w:sz w:val="21"/>
          <w:szCs w:val="21"/>
        </w:rPr>
        <w:t>(9）在最近三年内有骗取中标或严重违约情况的。</w:t>
      </w:r>
    </w:p>
    <w:p>
      <w:pPr>
        <w:spacing w:line="360" w:lineRule="auto"/>
        <w:rPr>
          <w:rFonts w:ascii="宋体" w:hAnsi="宋体" w:cs="宋体"/>
          <w:b/>
          <w:bCs/>
          <w:sz w:val="21"/>
          <w:szCs w:val="21"/>
        </w:rPr>
      </w:pPr>
      <w:r>
        <w:rPr>
          <w:rFonts w:hint="eastAsia" w:ascii="宋体" w:hAnsi="宋体" w:cs="宋体"/>
          <w:b/>
          <w:bCs/>
          <w:sz w:val="21"/>
          <w:szCs w:val="21"/>
        </w:rPr>
        <w:t>1.5费用承担</w:t>
      </w:r>
    </w:p>
    <w:p>
      <w:pPr>
        <w:spacing w:line="360" w:lineRule="auto"/>
        <w:ind w:firstLine="420" w:firstLineChars="200"/>
        <w:rPr>
          <w:rFonts w:ascii="宋体" w:hAnsi="宋体" w:cs="宋体"/>
          <w:sz w:val="21"/>
          <w:szCs w:val="21"/>
        </w:rPr>
      </w:pPr>
      <w:r>
        <w:rPr>
          <w:rFonts w:hint="eastAsia" w:ascii="宋体" w:hAnsi="宋体" w:cs="宋体"/>
          <w:sz w:val="21"/>
          <w:szCs w:val="21"/>
        </w:rPr>
        <w:t>1.5.1投标人准备和参加投标活动发生的费用自理。</w:t>
      </w:r>
    </w:p>
    <w:p>
      <w:pPr>
        <w:pStyle w:val="3"/>
        <w:spacing w:before="49" w:line="360" w:lineRule="auto"/>
        <w:ind w:right="667" w:firstLine="420" w:firstLineChars="200"/>
        <w:rPr>
          <w:rFonts w:ascii="宋体" w:hAnsi="宋体" w:cs="宋体"/>
          <w:sz w:val="21"/>
          <w:szCs w:val="21"/>
        </w:rPr>
      </w:pPr>
      <w:r>
        <w:rPr>
          <w:rFonts w:hint="eastAsia" w:ascii="宋体" w:hAnsi="宋体" w:cs="宋体"/>
          <w:sz w:val="21"/>
          <w:szCs w:val="21"/>
        </w:rPr>
        <w:t>1.5.2本项目招标代理服务费在发出中标通知书的同时向中标单位收取，参照豫招协【2023】002号文规定计取。</w:t>
      </w:r>
    </w:p>
    <w:p>
      <w:pPr>
        <w:spacing w:line="360" w:lineRule="auto"/>
        <w:rPr>
          <w:rFonts w:ascii="宋体" w:hAnsi="宋体" w:cs="宋体"/>
          <w:b/>
          <w:bCs/>
          <w:sz w:val="21"/>
          <w:szCs w:val="21"/>
        </w:rPr>
      </w:pPr>
      <w:bookmarkStart w:id="8" w:name="1.6_保密"/>
      <w:bookmarkEnd w:id="8"/>
      <w:r>
        <w:rPr>
          <w:rFonts w:hint="eastAsia" w:ascii="宋体" w:hAnsi="宋体" w:cs="宋体"/>
          <w:b/>
          <w:bCs/>
          <w:sz w:val="21"/>
          <w:szCs w:val="21"/>
        </w:rPr>
        <w:t>1.6保密</w:t>
      </w:r>
    </w:p>
    <w:p>
      <w:pPr>
        <w:spacing w:line="360" w:lineRule="auto"/>
        <w:ind w:firstLine="420" w:firstLineChars="200"/>
        <w:rPr>
          <w:rFonts w:ascii="宋体" w:hAnsi="宋体" w:cs="宋体"/>
          <w:sz w:val="21"/>
          <w:szCs w:val="21"/>
        </w:rPr>
      </w:pPr>
      <w:r>
        <w:rPr>
          <w:rFonts w:hint="eastAsia" w:ascii="宋体" w:hAnsi="宋体" w:cs="宋体"/>
          <w:sz w:val="21"/>
          <w:szCs w:val="21"/>
        </w:rPr>
        <w:t>参与招标投标活动的各方应对招标文件和投标文件中的商业和技术等秘密保密，违者应对由此造成的后果承担法律责任。</w:t>
      </w:r>
    </w:p>
    <w:p>
      <w:pPr>
        <w:spacing w:line="360" w:lineRule="auto"/>
        <w:rPr>
          <w:rFonts w:ascii="宋体" w:hAnsi="宋体" w:cs="宋体"/>
          <w:b/>
          <w:bCs/>
          <w:sz w:val="21"/>
          <w:szCs w:val="21"/>
        </w:rPr>
      </w:pPr>
      <w:bookmarkStart w:id="9" w:name="1.7_语言文字"/>
      <w:bookmarkEnd w:id="9"/>
      <w:r>
        <w:rPr>
          <w:rFonts w:hint="eastAsia" w:ascii="宋体" w:hAnsi="宋体" w:cs="宋体"/>
          <w:b/>
          <w:bCs/>
          <w:sz w:val="21"/>
          <w:szCs w:val="21"/>
        </w:rPr>
        <w:t>1.7语言文字</w:t>
      </w:r>
    </w:p>
    <w:p>
      <w:pPr>
        <w:spacing w:line="360" w:lineRule="auto"/>
        <w:ind w:firstLine="420" w:firstLineChars="200"/>
        <w:rPr>
          <w:rFonts w:ascii="宋体" w:hAnsi="宋体" w:cs="宋体"/>
          <w:sz w:val="21"/>
          <w:szCs w:val="21"/>
        </w:rPr>
      </w:pPr>
      <w:r>
        <w:rPr>
          <w:rFonts w:hint="eastAsia" w:ascii="宋体" w:hAnsi="宋体" w:cs="宋体"/>
          <w:sz w:val="21"/>
          <w:szCs w:val="21"/>
        </w:rPr>
        <w:t>除专用术语外，与招标投标有关的语言均使用中文。必要时专用术语应附有中文注释。</w:t>
      </w:r>
    </w:p>
    <w:p>
      <w:pPr>
        <w:spacing w:line="360" w:lineRule="auto"/>
        <w:rPr>
          <w:rFonts w:ascii="宋体" w:hAnsi="宋体" w:cs="宋体"/>
          <w:b/>
          <w:bCs/>
          <w:sz w:val="21"/>
          <w:szCs w:val="21"/>
        </w:rPr>
      </w:pPr>
      <w:bookmarkStart w:id="10" w:name="1.8_计量单位"/>
      <w:bookmarkEnd w:id="10"/>
      <w:r>
        <w:rPr>
          <w:rFonts w:hint="eastAsia" w:ascii="宋体" w:hAnsi="宋体" w:cs="宋体"/>
          <w:b/>
          <w:bCs/>
          <w:sz w:val="21"/>
          <w:szCs w:val="21"/>
        </w:rPr>
        <w:t>1.8计量单位</w:t>
      </w:r>
    </w:p>
    <w:p>
      <w:pPr>
        <w:spacing w:line="360" w:lineRule="auto"/>
        <w:ind w:firstLine="420" w:firstLineChars="200"/>
        <w:rPr>
          <w:rFonts w:ascii="宋体" w:hAnsi="宋体" w:cs="宋体"/>
          <w:sz w:val="21"/>
          <w:szCs w:val="21"/>
        </w:rPr>
      </w:pPr>
      <w:r>
        <w:rPr>
          <w:rFonts w:hint="eastAsia" w:ascii="宋体" w:hAnsi="宋体" w:cs="宋体"/>
          <w:sz w:val="21"/>
          <w:szCs w:val="21"/>
        </w:rPr>
        <w:t>所有计量均采用中华人民共和国法定计量单位。</w:t>
      </w:r>
    </w:p>
    <w:p>
      <w:pPr>
        <w:spacing w:line="360" w:lineRule="auto"/>
        <w:rPr>
          <w:rFonts w:ascii="宋体" w:hAnsi="宋体" w:cs="宋体"/>
          <w:b/>
          <w:bCs/>
          <w:sz w:val="21"/>
          <w:szCs w:val="21"/>
        </w:rPr>
      </w:pPr>
      <w:bookmarkStart w:id="11" w:name="1.19_投标预备会"/>
      <w:bookmarkEnd w:id="11"/>
      <w:r>
        <w:rPr>
          <w:rFonts w:hint="eastAsia" w:ascii="宋体" w:hAnsi="宋体" w:cs="宋体"/>
          <w:b/>
          <w:bCs/>
          <w:sz w:val="21"/>
          <w:szCs w:val="21"/>
        </w:rPr>
        <w:t>2招标文件</w:t>
      </w:r>
    </w:p>
    <w:p>
      <w:pPr>
        <w:spacing w:line="360" w:lineRule="auto"/>
        <w:rPr>
          <w:rFonts w:ascii="宋体" w:hAnsi="宋体" w:cs="宋体"/>
          <w:b/>
          <w:bCs/>
          <w:sz w:val="21"/>
          <w:szCs w:val="21"/>
        </w:rPr>
      </w:pPr>
      <w:bookmarkStart w:id="12" w:name="2.1_招标文件的组成"/>
      <w:bookmarkEnd w:id="12"/>
      <w:r>
        <w:rPr>
          <w:rFonts w:hint="eastAsia" w:ascii="宋体" w:hAnsi="宋体" w:cs="宋体"/>
          <w:b/>
          <w:bCs/>
          <w:sz w:val="21"/>
          <w:szCs w:val="21"/>
        </w:rPr>
        <w:t>2.1招标文件的组成</w:t>
      </w:r>
    </w:p>
    <w:p>
      <w:pPr>
        <w:spacing w:line="360" w:lineRule="auto"/>
        <w:ind w:firstLine="420" w:firstLineChars="200"/>
        <w:rPr>
          <w:rFonts w:ascii="宋体" w:hAnsi="宋体" w:cs="宋体"/>
          <w:sz w:val="21"/>
          <w:szCs w:val="21"/>
        </w:rPr>
      </w:pPr>
      <w:r>
        <w:rPr>
          <w:rFonts w:hint="eastAsia" w:ascii="宋体" w:hAnsi="宋体" w:cs="宋体"/>
          <w:sz w:val="21"/>
          <w:szCs w:val="21"/>
        </w:rPr>
        <w:t>本招标文件包括：</w:t>
      </w:r>
    </w:p>
    <w:p>
      <w:pPr>
        <w:spacing w:line="360" w:lineRule="auto"/>
        <w:ind w:firstLine="420" w:firstLineChars="200"/>
        <w:rPr>
          <w:rFonts w:ascii="宋体" w:hAnsi="宋体" w:cs="宋体"/>
          <w:sz w:val="21"/>
          <w:szCs w:val="21"/>
        </w:rPr>
      </w:pPr>
      <w:r>
        <w:rPr>
          <w:rFonts w:hint="eastAsia" w:ascii="宋体" w:hAnsi="宋体" w:cs="宋体"/>
          <w:sz w:val="21"/>
          <w:szCs w:val="21"/>
        </w:rPr>
        <w:t>第一</w:t>
      </w:r>
      <w:r>
        <w:rPr>
          <w:rFonts w:hint="eastAsia" w:ascii="宋体" w:hAnsi="宋体" w:cs="宋体"/>
          <w:sz w:val="21"/>
          <w:szCs w:val="21"/>
          <w:lang w:val="en-US" w:eastAsia="zh-CN"/>
        </w:rPr>
        <w:t>章</w:t>
      </w:r>
      <w:r>
        <w:rPr>
          <w:rFonts w:hint="eastAsia" w:ascii="宋体" w:hAnsi="宋体" w:cs="宋体"/>
          <w:sz w:val="21"/>
          <w:szCs w:val="21"/>
        </w:rPr>
        <w:t xml:space="preserve"> 招标公告</w:t>
      </w:r>
    </w:p>
    <w:p>
      <w:pPr>
        <w:spacing w:line="360" w:lineRule="auto"/>
        <w:ind w:firstLine="420" w:firstLineChars="200"/>
        <w:rPr>
          <w:rFonts w:ascii="宋体" w:hAnsi="宋体" w:cs="宋体"/>
          <w:sz w:val="21"/>
          <w:szCs w:val="21"/>
        </w:rPr>
      </w:pPr>
      <w:r>
        <w:rPr>
          <w:rFonts w:hint="eastAsia" w:ascii="宋体" w:hAnsi="宋体" w:cs="宋体"/>
          <w:sz w:val="21"/>
          <w:szCs w:val="21"/>
        </w:rPr>
        <w:t>第二</w:t>
      </w:r>
      <w:r>
        <w:rPr>
          <w:rFonts w:hint="eastAsia" w:ascii="宋体" w:hAnsi="宋体" w:cs="宋体"/>
          <w:sz w:val="21"/>
          <w:szCs w:val="21"/>
          <w:lang w:val="en-US" w:eastAsia="zh-CN"/>
        </w:rPr>
        <w:t>章</w:t>
      </w:r>
      <w:r>
        <w:rPr>
          <w:rFonts w:hint="eastAsia" w:ascii="宋体" w:hAnsi="宋体" w:cs="宋体"/>
          <w:sz w:val="21"/>
          <w:szCs w:val="21"/>
        </w:rPr>
        <w:t xml:space="preserve"> 投标人须知</w:t>
      </w:r>
    </w:p>
    <w:p>
      <w:pPr>
        <w:spacing w:line="360" w:lineRule="auto"/>
        <w:ind w:firstLine="420" w:firstLineChars="200"/>
        <w:rPr>
          <w:rFonts w:ascii="宋体" w:hAnsi="宋体" w:cs="宋体"/>
          <w:sz w:val="21"/>
          <w:szCs w:val="21"/>
        </w:rPr>
      </w:pPr>
      <w:r>
        <w:rPr>
          <w:rFonts w:hint="eastAsia" w:ascii="宋体" w:hAnsi="宋体" w:cs="宋体"/>
          <w:sz w:val="21"/>
          <w:szCs w:val="21"/>
        </w:rPr>
        <w:t>第三</w:t>
      </w:r>
      <w:r>
        <w:rPr>
          <w:rFonts w:hint="eastAsia" w:ascii="宋体" w:hAnsi="宋体" w:cs="宋体"/>
          <w:sz w:val="21"/>
          <w:szCs w:val="21"/>
          <w:lang w:val="en-US" w:eastAsia="zh-CN"/>
        </w:rPr>
        <w:t>章</w:t>
      </w:r>
      <w:r>
        <w:rPr>
          <w:rFonts w:hint="eastAsia" w:ascii="宋体" w:hAnsi="宋体" w:cs="宋体"/>
          <w:sz w:val="21"/>
          <w:szCs w:val="21"/>
        </w:rPr>
        <w:t xml:space="preserve"> 评标办法</w:t>
      </w:r>
    </w:p>
    <w:p>
      <w:pPr>
        <w:spacing w:line="360" w:lineRule="auto"/>
        <w:ind w:firstLine="420" w:firstLineChars="200"/>
        <w:rPr>
          <w:rFonts w:ascii="宋体" w:hAnsi="宋体" w:cs="宋体"/>
          <w:sz w:val="21"/>
          <w:szCs w:val="21"/>
        </w:rPr>
      </w:pPr>
      <w:r>
        <w:rPr>
          <w:rFonts w:hint="eastAsia" w:ascii="宋体" w:hAnsi="宋体" w:cs="宋体"/>
          <w:sz w:val="21"/>
          <w:szCs w:val="21"/>
        </w:rPr>
        <w:t>第四</w:t>
      </w:r>
      <w:r>
        <w:rPr>
          <w:rFonts w:hint="eastAsia" w:ascii="宋体" w:hAnsi="宋体" w:cs="宋体"/>
          <w:sz w:val="21"/>
          <w:szCs w:val="21"/>
          <w:lang w:val="en-US" w:eastAsia="zh-CN"/>
        </w:rPr>
        <w:t>章</w:t>
      </w:r>
      <w:r>
        <w:rPr>
          <w:rFonts w:hint="eastAsia" w:ascii="宋体" w:hAnsi="宋体" w:cs="宋体"/>
          <w:sz w:val="21"/>
          <w:szCs w:val="21"/>
        </w:rPr>
        <w:t xml:space="preserve"> 合同条款</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第五</w:t>
      </w:r>
      <w:r>
        <w:rPr>
          <w:rFonts w:hint="eastAsia" w:ascii="宋体" w:hAnsi="宋体" w:cs="宋体"/>
          <w:sz w:val="21"/>
          <w:szCs w:val="21"/>
          <w:lang w:val="en-US" w:eastAsia="zh-CN"/>
        </w:rPr>
        <w:t>章</w:t>
      </w:r>
      <w:r>
        <w:rPr>
          <w:rFonts w:hint="eastAsia" w:ascii="宋体" w:hAnsi="宋体" w:cs="宋体"/>
          <w:sz w:val="21"/>
          <w:szCs w:val="21"/>
        </w:rPr>
        <w:t xml:space="preserve"> </w:t>
      </w:r>
      <w:r>
        <w:rPr>
          <w:rFonts w:hint="eastAsia" w:ascii="宋体" w:hAnsi="宋体" w:cs="宋体"/>
          <w:sz w:val="21"/>
          <w:szCs w:val="21"/>
          <w:lang w:val="en-US" w:eastAsia="zh-CN"/>
        </w:rPr>
        <w:t>服务内容</w:t>
      </w:r>
    </w:p>
    <w:p>
      <w:pPr>
        <w:spacing w:line="360" w:lineRule="auto"/>
        <w:ind w:firstLine="420" w:firstLineChars="200"/>
      </w:pPr>
      <w:r>
        <w:rPr>
          <w:rFonts w:hint="eastAsia" w:ascii="宋体" w:hAnsi="宋体" w:cs="宋体"/>
          <w:sz w:val="21"/>
          <w:szCs w:val="21"/>
        </w:rPr>
        <w:t>第六</w:t>
      </w:r>
      <w:r>
        <w:rPr>
          <w:rFonts w:hint="eastAsia" w:ascii="宋体" w:hAnsi="宋体" w:cs="宋体"/>
          <w:sz w:val="21"/>
          <w:szCs w:val="21"/>
          <w:lang w:val="en-US" w:eastAsia="zh-CN"/>
        </w:rPr>
        <w:t>章</w:t>
      </w:r>
      <w:r>
        <w:rPr>
          <w:rFonts w:hint="eastAsia" w:ascii="宋体" w:hAnsi="宋体" w:cs="宋体"/>
          <w:sz w:val="21"/>
          <w:szCs w:val="21"/>
        </w:rPr>
        <w:t xml:space="preserve"> 投标文件格式</w:t>
      </w:r>
    </w:p>
    <w:p>
      <w:pPr>
        <w:spacing w:line="360" w:lineRule="auto"/>
        <w:ind w:firstLine="420" w:firstLineChars="200"/>
        <w:rPr>
          <w:rFonts w:ascii="宋体" w:hAnsi="宋体" w:cs="宋体"/>
          <w:sz w:val="21"/>
          <w:szCs w:val="21"/>
        </w:rPr>
      </w:pPr>
      <w:r>
        <w:rPr>
          <w:rFonts w:hint="eastAsia" w:ascii="宋体" w:hAnsi="宋体" w:cs="宋体"/>
          <w:sz w:val="21"/>
          <w:szCs w:val="21"/>
        </w:rPr>
        <w:t>招标文件所作的澄清、修改，构成招标文件的组成部分。</w:t>
      </w:r>
    </w:p>
    <w:p>
      <w:pPr>
        <w:spacing w:line="360" w:lineRule="auto"/>
        <w:rPr>
          <w:rFonts w:ascii="宋体" w:hAnsi="宋体" w:cs="宋体"/>
          <w:b/>
          <w:bCs/>
          <w:sz w:val="21"/>
          <w:szCs w:val="21"/>
        </w:rPr>
      </w:pPr>
      <w:bookmarkStart w:id="13" w:name="2.2_招标文件的澄清"/>
      <w:bookmarkEnd w:id="13"/>
      <w:r>
        <w:rPr>
          <w:rFonts w:hint="eastAsia" w:ascii="宋体" w:hAnsi="宋体" w:cs="宋体"/>
          <w:b/>
          <w:bCs/>
          <w:sz w:val="21"/>
          <w:szCs w:val="21"/>
        </w:rPr>
        <w:t>2.2招标文件的澄清</w:t>
      </w:r>
    </w:p>
    <w:p>
      <w:pPr>
        <w:pStyle w:val="31"/>
        <w:tabs>
          <w:tab w:val="left" w:pos="1286"/>
        </w:tabs>
        <w:spacing w:before="159" w:line="360" w:lineRule="auto"/>
        <w:ind w:right="669"/>
        <w:rPr>
          <w:rFonts w:ascii="宋体" w:hAnsi="宋体" w:cs="宋体"/>
          <w:sz w:val="21"/>
          <w:szCs w:val="21"/>
        </w:rPr>
      </w:pPr>
      <w:r>
        <w:rPr>
          <w:rFonts w:hint="eastAsia" w:ascii="宋体" w:hAnsi="宋体" w:cs="宋体"/>
          <w:sz w:val="21"/>
          <w:szCs w:val="21"/>
        </w:rPr>
        <w:t>2.2.1投标人应仔细阅读和检查招标文件的全部内容。如有疑问，应在投标人须知前附表规定的时间前以网上质疑的方式提出。招标人将视情况对投标人的澄清要求以网上公告的形式予以答复。</w:t>
      </w:r>
    </w:p>
    <w:p>
      <w:pPr>
        <w:spacing w:line="360" w:lineRule="auto"/>
        <w:ind w:firstLine="420" w:firstLineChars="200"/>
        <w:rPr>
          <w:rFonts w:ascii="宋体" w:hAnsi="宋体" w:cs="宋体"/>
          <w:sz w:val="21"/>
          <w:szCs w:val="21"/>
        </w:rPr>
      </w:pPr>
      <w:r>
        <w:rPr>
          <w:rFonts w:hint="eastAsia" w:ascii="宋体" w:hAnsi="宋体" w:cs="宋体"/>
          <w:sz w:val="21"/>
          <w:szCs w:val="21"/>
        </w:rPr>
        <w:t>2.2.2招标文件的澄清将在投标人须知前附表规定的投标截止时间 15 天前以网上公告的形式发给投标人，但不指明澄清问题的来源。如果澄清发出的时间距投标截止时间不足15天且影响投标文件的编制的，相应延长投标截止时间。</w:t>
      </w:r>
    </w:p>
    <w:p>
      <w:pPr>
        <w:spacing w:line="360" w:lineRule="auto"/>
        <w:rPr>
          <w:rFonts w:ascii="宋体" w:hAnsi="宋体" w:cs="宋体"/>
          <w:b/>
          <w:bCs/>
          <w:sz w:val="21"/>
          <w:szCs w:val="21"/>
        </w:rPr>
      </w:pPr>
      <w:bookmarkStart w:id="14" w:name="2.3_招标文件的修改"/>
      <w:bookmarkEnd w:id="14"/>
      <w:r>
        <w:rPr>
          <w:rFonts w:hint="eastAsia" w:ascii="宋体" w:hAnsi="宋体" w:cs="宋体"/>
          <w:b/>
          <w:bCs/>
          <w:sz w:val="21"/>
          <w:szCs w:val="21"/>
        </w:rPr>
        <w:t>2.3招标文件的修改</w:t>
      </w:r>
    </w:p>
    <w:p>
      <w:pPr>
        <w:spacing w:line="360" w:lineRule="auto"/>
        <w:rPr>
          <w:rFonts w:ascii="宋体" w:hAnsi="宋体" w:cs="宋体"/>
          <w:sz w:val="21"/>
          <w:szCs w:val="21"/>
        </w:rPr>
      </w:pPr>
      <w:r>
        <w:rPr>
          <w:rFonts w:hint="eastAsia" w:ascii="宋体" w:hAnsi="宋体" w:cs="宋体"/>
          <w:sz w:val="21"/>
          <w:szCs w:val="21"/>
        </w:rPr>
        <w:t>2.3.1在投标截止时间 15 天前，招标人可以网上公告的形式修改招标文件。如果修改招标文件的时间距投标截止时间不足15天且影响投标文件的编制的，相应延长投标截止时间。修改、澄清、变更公告等是招标文件的组成部分，与招标文件具有同等效力。</w:t>
      </w:r>
    </w:p>
    <w:p>
      <w:pPr>
        <w:spacing w:line="360" w:lineRule="auto"/>
        <w:rPr>
          <w:rFonts w:ascii="宋体" w:hAnsi="宋体" w:cs="宋体"/>
          <w:b/>
          <w:bCs/>
          <w:sz w:val="21"/>
          <w:szCs w:val="21"/>
        </w:rPr>
      </w:pPr>
      <w:bookmarkStart w:id="15" w:name="3.投标文件"/>
      <w:bookmarkEnd w:id="15"/>
      <w:r>
        <w:rPr>
          <w:rFonts w:hint="eastAsia" w:ascii="宋体" w:hAnsi="宋体" w:cs="宋体"/>
          <w:b/>
          <w:bCs/>
          <w:sz w:val="21"/>
          <w:szCs w:val="21"/>
        </w:rPr>
        <w:t>3.投标文件</w:t>
      </w:r>
    </w:p>
    <w:p>
      <w:pPr>
        <w:spacing w:line="360" w:lineRule="auto"/>
        <w:rPr>
          <w:rFonts w:ascii="宋体" w:hAnsi="宋体" w:cs="宋体"/>
          <w:b/>
          <w:bCs/>
          <w:sz w:val="21"/>
          <w:szCs w:val="21"/>
        </w:rPr>
      </w:pPr>
      <w:bookmarkStart w:id="16" w:name="3.1_投标文件的组成"/>
      <w:bookmarkEnd w:id="16"/>
      <w:r>
        <w:rPr>
          <w:rFonts w:hint="eastAsia" w:ascii="宋体" w:hAnsi="宋体" w:cs="宋体"/>
          <w:b/>
          <w:bCs/>
          <w:sz w:val="21"/>
          <w:szCs w:val="21"/>
        </w:rPr>
        <w:t>3.1投标文件的组成</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3.1.1投标文件应包括下列内容：</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一、投标函</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二、投标函附录</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三、法定代表人身份证明</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四、法定代表人授权书</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五、投标承诺函</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六</w:t>
      </w:r>
      <w:r>
        <w:rPr>
          <w:rFonts w:hint="eastAsia" w:ascii="宋体" w:hAnsi="宋体" w:cs="宋体"/>
          <w:sz w:val="21"/>
          <w:szCs w:val="21"/>
        </w:rPr>
        <w:t>、无重大违法记录声明函（格式自拟）</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七</w:t>
      </w:r>
      <w:r>
        <w:rPr>
          <w:rFonts w:hint="eastAsia" w:ascii="宋体" w:hAnsi="宋体" w:cs="宋体"/>
          <w:sz w:val="21"/>
          <w:szCs w:val="21"/>
        </w:rPr>
        <w:t>、资格证明文件</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八</w:t>
      </w:r>
      <w:r>
        <w:rPr>
          <w:rFonts w:hint="eastAsia" w:ascii="宋体" w:hAnsi="宋体" w:cs="宋体"/>
          <w:sz w:val="21"/>
          <w:szCs w:val="21"/>
        </w:rPr>
        <w:t>、质量保证措施</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九</w:t>
      </w:r>
      <w:r>
        <w:rPr>
          <w:rFonts w:hint="eastAsia" w:ascii="宋体" w:hAnsi="宋体" w:cs="宋体"/>
          <w:sz w:val="21"/>
          <w:szCs w:val="21"/>
        </w:rPr>
        <w:t>、服务承诺</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十、其他证明材料</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十</w:t>
      </w:r>
      <w:r>
        <w:rPr>
          <w:rFonts w:hint="eastAsia" w:ascii="宋体" w:hAnsi="宋体" w:cs="宋体"/>
          <w:sz w:val="21"/>
          <w:szCs w:val="21"/>
          <w:lang w:val="en-US" w:eastAsia="zh-CN"/>
        </w:rPr>
        <w:t>一</w:t>
      </w:r>
      <w:r>
        <w:rPr>
          <w:rFonts w:hint="eastAsia" w:ascii="宋体" w:hAnsi="宋体" w:cs="宋体"/>
          <w:sz w:val="21"/>
          <w:szCs w:val="21"/>
        </w:rPr>
        <w:t>、反商业贿赂承诺书</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十二、中小企业声明函（工程、服务）</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cs="宋体"/>
          <w:b/>
          <w:bCs/>
          <w:sz w:val="21"/>
          <w:szCs w:val="21"/>
        </w:rPr>
      </w:pPr>
      <w:r>
        <w:rPr>
          <w:rFonts w:hint="eastAsia" w:ascii="宋体" w:hAnsi="宋体" w:cs="宋体"/>
          <w:b/>
          <w:bCs/>
          <w:sz w:val="21"/>
          <w:szCs w:val="21"/>
        </w:rPr>
        <w:t>3.2投标报价</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sz w:val="21"/>
          <w:szCs w:val="21"/>
        </w:rPr>
      </w:pPr>
      <w:r>
        <w:rPr>
          <w:rFonts w:hint="eastAsia" w:ascii="宋体" w:hAnsi="宋体" w:cs="宋体"/>
          <w:sz w:val="21"/>
          <w:szCs w:val="21"/>
        </w:rPr>
        <w:t>投标报价只有一个有效报价，且不高于最高限价。</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b/>
          <w:bCs/>
          <w:sz w:val="21"/>
          <w:szCs w:val="21"/>
        </w:rPr>
      </w:pPr>
      <w:r>
        <w:rPr>
          <w:rFonts w:hint="eastAsia" w:ascii="宋体" w:hAnsi="宋体" w:cs="宋体"/>
          <w:b/>
          <w:bCs/>
          <w:sz w:val="21"/>
          <w:szCs w:val="21"/>
        </w:rPr>
        <w:t>3.3投标有效期</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3.3.1在投标人须知前附表规定的投标有效期内，投标人不得要求撤销或修改其投标文件。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3.3.2出现特殊情况需要延长投标有效期的，招标人在电子交易信息系统中通知所有投标人延长投标有效期。投标人同意延长的，应相应延长其投标保证金的有效期，但不得要求或被允许修改或撤销其投标文件；投标人拒绝延长的，其投标失效。</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b/>
          <w:bCs/>
          <w:sz w:val="21"/>
          <w:szCs w:val="21"/>
        </w:rPr>
      </w:pPr>
      <w:r>
        <w:rPr>
          <w:rFonts w:hint="eastAsia" w:ascii="宋体" w:hAnsi="宋体" w:cs="宋体"/>
          <w:b/>
          <w:bCs/>
          <w:sz w:val="21"/>
          <w:szCs w:val="21"/>
        </w:rPr>
        <w:t>3.4投标承诺函</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bookmarkStart w:id="17" w:name="3.5_资格审查资料"/>
      <w:bookmarkEnd w:id="17"/>
      <w:r>
        <w:rPr>
          <w:rFonts w:hint="eastAsia" w:ascii="宋体" w:hAnsi="宋体" w:cs="宋体"/>
          <w:sz w:val="21"/>
          <w:szCs w:val="21"/>
        </w:rPr>
        <w:t>执行河南省财政厅颁发的《关于优化政府采购营商环境有关问题的通知》（豫财购【2019】4号）的规定取消投标保证金，以投标承诺函的形式替代投标保证金。供应商应承诺事项及违背承诺的责任追究措施：</w:t>
      </w:r>
      <w:r>
        <w:rPr>
          <w:rFonts w:hint="eastAsia" w:ascii="宋体" w:hAnsi="宋体" w:cs="宋体"/>
          <w:sz w:val="21"/>
        </w:rPr>
        <w:t>详见</w:t>
      </w:r>
      <w:r>
        <w:rPr>
          <w:rFonts w:hint="eastAsia" w:ascii="宋体" w:hAnsi="宋体" w:cs="宋体"/>
          <w:sz w:val="21"/>
          <w:lang w:eastAsia="zh-CN"/>
        </w:rPr>
        <w:t>第六章</w:t>
      </w:r>
      <w:r>
        <w:rPr>
          <w:rFonts w:hint="eastAsia" w:ascii="宋体" w:hAnsi="宋体" w:cs="宋体"/>
          <w:sz w:val="21"/>
        </w:rPr>
        <w:t>投标文件格式五、投标承诺函</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b/>
          <w:bCs/>
          <w:sz w:val="21"/>
          <w:szCs w:val="21"/>
        </w:rPr>
      </w:pPr>
      <w:bookmarkStart w:id="18" w:name="6.评标"/>
      <w:bookmarkEnd w:id="18"/>
      <w:bookmarkStart w:id="19" w:name="4.投标"/>
      <w:bookmarkEnd w:id="19"/>
      <w:bookmarkStart w:id="20" w:name="4.2_投标文件的递交"/>
      <w:bookmarkEnd w:id="20"/>
      <w:bookmarkStart w:id="21" w:name="5.开标"/>
      <w:bookmarkEnd w:id="21"/>
      <w:bookmarkStart w:id="22" w:name="6.2_评标原则"/>
      <w:bookmarkEnd w:id="22"/>
      <w:r>
        <w:rPr>
          <w:rFonts w:hint="eastAsia" w:ascii="宋体" w:hAnsi="宋体" w:cs="宋体"/>
          <w:b/>
          <w:bCs/>
          <w:sz w:val="21"/>
          <w:szCs w:val="21"/>
        </w:rPr>
        <w:t>3.5资格审查资料</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投标人在编制投标文件时，应按照招标文件要求提供资格要求的资料，以证实其各项资格条件能继续满足投标资格要求，具备承担本项目的资质条件、能力和信誉。</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b/>
          <w:bCs/>
          <w:sz w:val="21"/>
          <w:szCs w:val="21"/>
        </w:rPr>
      </w:pPr>
      <w:bookmarkStart w:id="23" w:name="3.6_备选投标方案"/>
      <w:bookmarkEnd w:id="23"/>
      <w:r>
        <w:rPr>
          <w:rFonts w:hint="eastAsia" w:ascii="宋体" w:hAnsi="宋体" w:cs="宋体"/>
          <w:b/>
          <w:bCs/>
          <w:sz w:val="21"/>
          <w:szCs w:val="21"/>
        </w:rPr>
        <w:t>3.6备选投标方案</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b/>
          <w:bCs/>
          <w:sz w:val="21"/>
          <w:szCs w:val="21"/>
        </w:rPr>
      </w:pPr>
      <w:bookmarkStart w:id="24" w:name="3.7_投标文件的编制"/>
      <w:bookmarkEnd w:id="24"/>
      <w:r>
        <w:rPr>
          <w:rFonts w:hint="eastAsia" w:ascii="宋体" w:hAnsi="宋体" w:cs="宋体"/>
          <w:b/>
          <w:bCs/>
          <w:sz w:val="21"/>
          <w:szCs w:val="21"/>
        </w:rPr>
        <w:t>3.7投标文件的编制</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3.7.1投标人只需要递交电子投标文件，不用再提供纸质投标文件。</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3.7.2投标文件应当对招标文件有关</w:t>
      </w:r>
      <w:r>
        <w:rPr>
          <w:rFonts w:hint="eastAsia" w:ascii="宋体" w:hAnsi="宋体" w:cs="宋体"/>
          <w:sz w:val="21"/>
          <w:szCs w:val="21"/>
          <w:lang w:val="en-US" w:eastAsia="zh-CN"/>
        </w:rPr>
        <w:t>服务期限</w:t>
      </w:r>
      <w:r>
        <w:rPr>
          <w:rFonts w:hint="eastAsia" w:ascii="宋体" w:hAnsi="宋体" w:cs="宋体"/>
          <w:sz w:val="21"/>
          <w:szCs w:val="21"/>
        </w:rPr>
        <w:t>、投标有效期、质量要求等实质性内容作出响应。</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cs="宋体"/>
          <w:b/>
          <w:bCs/>
          <w:sz w:val="21"/>
          <w:szCs w:val="21"/>
        </w:rPr>
      </w:pPr>
      <w:r>
        <w:rPr>
          <w:rFonts w:hint="eastAsia" w:ascii="宋体" w:hAnsi="宋体" w:cs="宋体"/>
          <w:b/>
          <w:bCs/>
          <w:sz w:val="21"/>
          <w:szCs w:val="21"/>
        </w:rPr>
        <w:t>4.投标</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en-US" w:eastAsia="zh-CN"/>
        </w:rPr>
        <w:t>1</w:t>
      </w:r>
      <w:r>
        <w:rPr>
          <w:rFonts w:hint="eastAsia" w:ascii="宋体" w:hAnsi="宋体" w:cs="宋体"/>
          <w:sz w:val="21"/>
          <w:szCs w:val="21"/>
        </w:rPr>
        <w:t>投标人应在投标人须知前附表项规定的投标截止时间前上传投标文件。</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cs="宋体"/>
          <w:sz w:val="21"/>
          <w:szCs w:val="21"/>
        </w:rPr>
      </w:pPr>
      <w:r>
        <w:rPr>
          <w:rFonts w:hint="eastAsia" w:ascii="宋体" w:hAnsi="宋体" w:cs="宋体"/>
          <w:sz w:val="21"/>
          <w:szCs w:val="21"/>
        </w:rPr>
        <w:t>4.2投标人应仔细阅读和检查招标文件的全部内容，如发现缺少或附件不全，应向招标人或招标代理机构提出，以便补齐，如有疑问，应在投标人前附表规定的时间前以网上质询形式，要求对招标人对招标文件予以澄清。</w:t>
      </w:r>
    </w:p>
    <w:p>
      <w:pPr>
        <w:spacing w:line="360" w:lineRule="auto"/>
        <w:rPr>
          <w:rFonts w:ascii="宋体" w:hAnsi="宋体" w:cs="宋体"/>
          <w:b/>
          <w:bCs/>
          <w:sz w:val="21"/>
          <w:szCs w:val="21"/>
        </w:rPr>
      </w:pPr>
      <w:bookmarkStart w:id="25" w:name="4.3_投标文件的修改与撤回"/>
      <w:bookmarkEnd w:id="25"/>
      <w:r>
        <w:rPr>
          <w:rFonts w:hint="eastAsia" w:ascii="宋体" w:hAnsi="宋体" w:cs="宋体"/>
          <w:b/>
          <w:bCs/>
          <w:sz w:val="21"/>
          <w:szCs w:val="21"/>
        </w:rPr>
        <w:t>5开标</w:t>
      </w:r>
    </w:p>
    <w:p>
      <w:pPr>
        <w:spacing w:line="360" w:lineRule="auto"/>
        <w:rPr>
          <w:rFonts w:ascii="宋体" w:hAnsi="宋体" w:cs="宋体"/>
          <w:b/>
          <w:bCs/>
          <w:sz w:val="21"/>
          <w:szCs w:val="21"/>
        </w:rPr>
      </w:pPr>
      <w:bookmarkStart w:id="26" w:name="5.1_开标时间和地点"/>
      <w:bookmarkEnd w:id="26"/>
      <w:r>
        <w:rPr>
          <w:rFonts w:hint="eastAsia" w:ascii="宋体" w:hAnsi="宋体" w:cs="宋体"/>
          <w:b/>
          <w:bCs/>
          <w:sz w:val="21"/>
          <w:szCs w:val="21"/>
        </w:rPr>
        <w:t>5.1开标时间和地点</w:t>
      </w:r>
    </w:p>
    <w:p>
      <w:pPr>
        <w:spacing w:line="360" w:lineRule="auto"/>
        <w:ind w:firstLine="420" w:firstLineChars="200"/>
        <w:rPr>
          <w:rFonts w:ascii="宋体" w:hAnsi="宋体" w:cs="宋体"/>
          <w:sz w:val="21"/>
          <w:szCs w:val="21"/>
        </w:rPr>
      </w:pPr>
      <w:r>
        <w:rPr>
          <w:rFonts w:hint="eastAsia" w:ascii="宋体" w:hAnsi="宋体" w:cs="宋体"/>
          <w:sz w:val="21"/>
          <w:szCs w:val="21"/>
        </w:rPr>
        <w:t>本次开标全面实行在线“不见面”开标，投标人远程在线解密投标文件，不再到开标现场，投标人开标前应仔细阅读《“不见面”开标注意事项及操作流程》）。</w:t>
      </w:r>
    </w:p>
    <w:p>
      <w:pPr>
        <w:spacing w:line="360" w:lineRule="auto"/>
        <w:rPr>
          <w:rFonts w:ascii="宋体" w:hAnsi="宋体" w:cs="宋体"/>
          <w:b/>
          <w:bCs/>
          <w:sz w:val="21"/>
          <w:szCs w:val="21"/>
        </w:rPr>
      </w:pPr>
      <w:bookmarkStart w:id="27" w:name="5.2_开标程序"/>
      <w:bookmarkEnd w:id="27"/>
      <w:r>
        <w:rPr>
          <w:rFonts w:hint="eastAsia" w:ascii="宋体" w:hAnsi="宋体" w:cs="宋体"/>
          <w:b/>
          <w:bCs/>
          <w:sz w:val="21"/>
          <w:szCs w:val="21"/>
        </w:rPr>
        <w:t>6.评标</w:t>
      </w:r>
    </w:p>
    <w:p>
      <w:pPr>
        <w:spacing w:line="360" w:lineRule="auto"/>
        <w:rPr>
          <w:rFonts w:ascii="宋体" w:hAnsi="宋体" w:cs="宋体"/>
          <w:sz w:val="21"/>
          <w:szCs w:val="21"/>
        </w:rPr>
      </w:pPr>
      <w:r>
        <w:rPr>
          <w:rFonts w:hint="eastAsia" w:ascii="宋体" w:hAnsi="宋体" w:cs="宋体"/>
          <w:b/>
          <w:bCs/>
          <w:sz w:val="21"/>
          <w:szCs w:val="21"/>
        </w:rPr>
        <w:t>6.1评标委员会</w:t>
      </w:r>
    </w:p>
    <w:p>
      <w:pPr>
        <w:spacing w:line="360" w:lineRule="auto"/>
        <w:ind w:firstLine="630" w:firstLineChars="300"/>
        <w:rPr>
          <w:rFonts w:ascii="宋体" w:hAnsi="宋体" w:cs="宋体"/>
          <w:sz w:val="21"/>
          <w:szCs w:val="21"/>
        </w:rPr>
      </w:pPr>
      <w:r>
        <w:rPr>
          <w:rFonts w:hint="eastAsia" w:ascii="宋体" w:hAnsi="宋体" w:cs="宋体"/>
          <w:sz w:val="21"/>
          <w:szCs w:val="21"/>
        </w:rPr>
        <w:t>6.1.1评标由招标人依法组建的评标委员会负责。评标委员会由招标人依据有关法律、法规、规章的规定组织。评标委员会由业主代表和相关的经济、技术专家组成，评标委员会成员的确定方式见投标人须知前附表。</w:t>
      </w:r>
    </w:p>
    <w:p>
      <w:pPr>
        <w:spacing w:line="360" w:lineRule="auto"/>
        <w:ind w:firstLine="630" w:firstLineChars="300"/>
        <w:rPr>
          <w:rFonts w:ascii="宋体" w:hAnsi="宋体" w:cs="宋体"/>
          <w:sz w:val="21"/>
          <w:szCs w:val="21"/>
        </w:rPr>
      </w:pPr>
      <w:r>
        <w:rPr>
          <w:rFonts w:hint="eastAsia" w:ascii="宋体" w:hAnsi="宋体" w:cs="宋体"/>
          <w:sz w:val="21"/>
          <w:szCs w:val="21"/>
        </w:rPr>
        <w:t>6.1.2评标委员会成员有下列情形之一的，应当回避：</w:t>
      </w:r>
    </w:p>
    <w:p>
      <w:pPr>
        <w:spacing w:line="360" w:lineRule="auto"/>
        <w:ind w:firstLine="630" w:firstLineChars="300"/>
        <w:rPr>
          <w:rFonts w:ascii="宋体" w:hAnsi="宋体" w:cs="宋体"/>
          <w:sz w:val="21"/>
          <w:szCs w:val="21"/>
        </w:rPr>
      </w:pPr>
      <w:r>
        <w:rPr>
          <w:rFonts w:hint="eastAsia" w:ascii="宋体" w:hAnsi="宋体" w:cs="宋体"/>
          <w:sz w:val="21"/>
          <w:szCs w:val="21"/>
        </w:rPr>
        <w:t>(1）投标人或投标人的主要负责人的近亲属；</w:t>
      </w:r>
    </w:p>
    <w:p>
      <w:pPr>
        <w:spacing w:line="360" w:lineRule="auto"/>
        <w:ind w:firstLine="630" w:firstLineChars="300"/>
        <w:rPr>
          <w:rFonts w:ascii="宋体" w:hAnsi="宋体" w:cs="宋体"/>
          <w:sz w:val="21"/>
          <w:szCs w:val="21"/>
        </w:rPr>
      </w:pPr>
      <w:r>
        <w:rPr>
          <w:rFonts w:hint="eastAsia" w:ascii="宋体" w:hAnsi="宋体" w:cs="宋体"/>
          <w:sz w:val="21"/>
          <w:szCs w:val="21"/>
        </w:rPr>
        <w:t>(2）项目主管部门或者行政监督部门的人员：</w:t>
      </w:r>
    </w:p>
    <w:p>
      <w:pPr>
        <w:spacing w:line="360" w:lineRule="auto"/>
        <w:ind w:firstLine="630" w:firstLineChars="300"/>
        <w:rPr>
          <w:rFonts w:ascii="宋体" w:hAnsi="宋体" w:cs="宋体"/>
          <w:sz w:val="21"/>
          <w:szCs w:val="21"/>
        </w:rPr>
      </w:pPr>
      <w:r>
        <w:rPr>
          <w:rFonts w:hint="eastAsia" w:ascii="宋体" w:hAnsi="宋体" w:cs="宋体"/>
          <w:sz w:val="21"/>
          <w:szCs w:val="21"/>
        </w:rPr>
        <w:t>(3）与投标人有经济利益关系，可能影响对投标公正评审的；</w:t>
      </w:r>
    </w:p>
    <w:p>
      <w:pPr>
        <w:spacing w:line="360" w:lineRule="auto"/>
        <w:ind w:firstLine="630" w:firstLineChars="300"/>
        <w:rPr>
          <w:rFonts w:ascii="宋体" w:hAnsi="宋体" w:cs="宋体"/>
          <w:sz w:val="21"/>
          <w:szCs w:val="21"/>
        </w:rPr>
      </w:pPr>
      <w:r>
        <w:rPr>
          <w:rFonts w:hint="eastAsia" w:ascii="宋体" w:hAnsi="宋体" w:cs="宋体"/>
          <w:sz w:val="21"/>
          <w:szCs w:val="21"/>
        </w:rPr>
        <w:t>(4）曾因在招标、评标以及其他与招标投标有关活动中从事违法行为而受过行政处罚或刑事处罚的。</w:t>
      </w:r>
    </w:p>
    <w:p>
      <w:pPr>
        <w:spacing w:line="360" w:lineRule="auto"/>
        <w:rPr>
          <w:rFonts w:ascii="宋体" w:hAnsi="宋体" w:cs="宋体"/>
          <w:b/>
          <w:bCs/>
          <w:sz w:val="21"/>
          <w:szCs w:val="21"/>
        </w:rPr>
      </w:pPr>
      <w:r>
        <w:rPr>
          <w:rFonts w:hint="eastAsia" w:ascii="宋体" w:hAnsi="宋体" w:cs="宋体"/>
          <w:b/>
          <w:bCs/>
          <w:sz w:val="21"/>
          <w:szCs w:val="21"/>
        </w:rPr>
        <w:t>6.2评标原则</w:t>
      </w:r>
    </w:p>
    <w:p>
      <w:pPr>
        <w:spacing w:line="360" w:lineRule="auto"/>
        <w:ind w:firstLine="420" w:firstLineChars="200"/>
        <w:rPr>
          <w:rFonts w:ascii="宋体" w:hAnsi="宋体" w:cs="宋体"/>
          <w:sz w:val="21"/>
          <w:szCs w:val="21"/>
        </w:rPr>
      </w:pPr>
      <w:r>
        <w:rPr>
          <w:rFonts w:hint="eastAsia" w:ascii="宋体" w:hAnsi="宋体" w:cs="宋体"/>
          <w:sz w:val="21"/>
          <w:szCs w:val="21"/>
        </w:rPr>
        <w:t>评标活动遵循公平、公正、科学和择优的原则。</w:t>
      </w:r>
    </w:p>
    <w:p>
      <w:pPr>
        <w:spacing w:line="360" w:lineRule="auto"/>
        <w:rPr>
          <w:rFonts w:ascii="宋体" w:hAnsi="宋体" w:cs="宋体"/>
          <w:b/>
          <w:bCs/>
          <w:sz w:val="21"/>
          <w:szCs w:val="21"/>
        </w:rPr>
      </w:pPr>
      <w:bookmarkStart w:id="28" w:name="6.3_评标"/>
      <w:bookmarkEnd w:id="28"/>
      <w:r>
        <w:rPr>
          <w:rFonts w:hint="eastAsia" w:ascii="宋体" w:hAnsi="宋体" w:cs="宋体"/>
          <w:b/>
          <w:bCs/>
          <w:sz w:val="21"/>
          <w:szCs w:val="21"/>
        </w:rPr>
        <w:t>6.3评标</w:t>
      </w:r>
    </w:p>
    <w:p>
      <w:pPr>
        <w:spacing w:line="360" w:lineRule="auto"/>
        <w:ind w:firstLine="420" w:firstLineChars="200"/>
        <w:rPr>
          <w:rFonts w:ascii="宋体" w:hAnsi="宋体" w:cs="宋体"/>
          <w:sz w:val="21"/>
          <w:szCs w:val="21"/>
        </w:rPr>
      </w:pPr>
      <w:r>
        <w:rPr>
          <w:rFonts w:hint="eastAsia" w:ascii="宋体" w:hAnsi="宋体" w:cs="宋体"/>
          <w:sz w:val="21"/>
          <w:szCs w:val="21"/>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cs="宋体"/>
          <w:b/>
          <w:bCs/>
          <w:sz w:val="21"/>
          <w:szCs w:val="21"/>
        </w:rPr>
      </w:pPr>
      <w:bookmarkStart w:id="29" w:name="7.合同授予"/>
      <w:bookmarkEnd w:id="29"/>
      <w:r>
        <w:rPr>
          <w:rFonts w:hint="eastAsia" w:ascii="宋体" w:hAnsi="宋体" w:cs="宋体"/>
          <w:b/>
          <w:bCs/>
          <w:sz w:val="21"/>
          <w:szCs w:val="21"/>
        </w:rPr>
        <w:t>7.合同授予</w:t>
      </w:r>
    </w:p>
    <w:p>
      <w:pPr>
        <w:spacing w:line="360" w:lineRule="auto"/>
        <w:rPr>
          <w:rFonts w:ascii="宋体" w:hAnsi="宋体" w:cs="宋体"/>
          <w:b/>
          <w:bCs/>
          <w:sz w:val="21"/>
          <w:szCs w:val="21"/>
        </w:rPr>
      </w:pPr>
      <w:bookmarkStart w:id="30" w:name="7.1_定标方式"/>
      <w:bookmarkEnd w:id="30"/>
      <w:r>
        <w:rPr>
          <w:rFonts w:hint="eastAsia" w:ascii="宋体" w:hAnsi="宋体" w:cs="宋体"/>
          <w:b/>
          <w:bCs/>
          <w:sz w:val="21"/>
          <w:szCs w:val="21"/>
        </w:rPr>
        <w:t>7.1定标方式</w:t>
      </w:r>
    </w:p>
    <w:p>
      <w:pPr>
        <w:spacing w:line="360" w:lineRule="auto"/>
        <w:ind w:firstLine="420" w:firstLineChars="200"/>
        <w:rPr>
          <w:rFonts w:ascii="宋体" w:hAnsi="宋体" w:cs="宋体"/>
          <w:sz w:val="21"/>
          <w:szCs w:val="21"/>
        </w:rPr>
      </w:pPr>
      <w:r>
        <w:rPr>
          <w:rFonts w:hint="eastAsia" w:ascii="宋体" w:hAnsi="宋体" w:cs="宋体"/>
          <w:sz w:val="21"/>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cs="宋体"/>
          <w:b/>
          <w:bCs/>
          <w:sz w:val="21"/>
          <w:szCs w:val="21"/>
        </w:rPr>
      </w:pPr>
      <w:r>
        <w:rPr>
          <w:rFonts w:hint="eastAsia" w:ascii="宋体" w:hAnsi="宋体" w:cs="宋体"/>
          <w:b/>
          <w:bCs/>
          <w:sz w:val="21"/>
          <w:szCs w:val="21"/>
        </w:rPr>
        <w:t>7.2履约保证金</w:t>
      </w:r>
    </w:p>
    <w:p>
      <w:pPr>
        <w:spacing w:line="360" w:lineRule="auto"/>
        <w:ind w:firstLine="420" w:firstLineChars="200"/>
        <w:rPr>
          <w:rFonts w:ascii="宋体" w:hAnsi="宋体" w:cs="宋体"/>
          <w:sz w:val="21"/>
          <w:szCs w:val="21"/>
        </w:rPr>
      </w:pPr>
      <w:bookmarkStart w:id="31" w:name="7.3_中标通知"/>
      <w:bookmarkEnd w:id="31"/>
      <w:r>
        <w:rPr>
          <w:rFonts w:hint="eastAsia" w:ascii="宋体" w:hAnsi="宋体" w:cs="宋体"/>
          <w:sz w:val="21"/>
          <w:szCs w:val="21"/>
        </w:rPr>
        <w:t>详见本章投标人须知前附表第</w:t>
      </w:r>
      <w:r>
        <w:rPr>
          <w:rFonts w:hint="eastAsia" w:ascii="宋体" w:hAnsi="宋体" w:cs="宋体"/>
          <w:sz w:val="21"/>
        </w:rPr>
        <w:t>2.4</w:t>
      </w:r>
      <w:r>
        <w:rPr>
          <w:rFonts w:hint="eastAsia" w:ascii="宋体" w:hAnsi="宋体" w:cs="宋体"/>
          <w:sz w:val="21"/>
          <w:szCs w:val="21"/>
        </w:rPr>
        <w:t>的规定</w:t>
      </w:r>
    </w:p>
    <w:p>
      <w:pPr>
        <w:spacing w:line="360" w:lineRule="auto"/>
        <w:rPr>
          <w:rFonts w:ascii="宋体" w:hAnsi="宋体" w:cs="宋体"/>
          <w:b/>
          <w:bCs/>
          <w:sz w:val="21"/>
          <w:szCs w:val="21"/>
        </w:rPr>
      </w:pPr>
      <w:r>
        <w:rPr>
          <w:rFonts w:hint="eastAsia" w:ascii="宋体" w:hAnsi="宋体" w:cs="宋体"/>
          <w:b/>
          <w:bCs/>
          <w:sz w:val="21"/>
          <w:szCs w:val="21"/>
        </w:rPr>
        <w:t>7.3中标通知</w:t>
      </w:r>
    </w:p>
    <w:p>
      <w:pPr>
        <w:spacing w:line="360" w:lineRule="auto"/>
        <w:ind w:firstLine="420" w:firstLineChars="200"/>
        <w:rPr>
          <w:rFonts w:ascii="宋体" w:hAnsi="宋体" w:cs="宋体"/>
          <w:sz w:val="21"/>
          <w:szCs w:val="21"/>
        </w:rPr>
      </w:pPr>
      <w:r>
        <w:rPr>
          <w:rFonts w:hint="eastAsia" w:ascii="宋体" w:hAnsi="宋体" w:cs="宋体"/>
          <w:sz w:val="21"/>
          <w:szCs w:val="21"/>
        </w:rPr>
        <w:t>在本章第 2.1 款规定的投标有效期内，招标人以书面形式向中标人发出中标通知书，同时将中标结果通知未中标的投标人。</w:t>
      </w:r>
    </w:p>
    <w:p>
      <w:pPr>
        <w:spacing w:line="360" w:lineRule="auto"/>
        <w:rPr>
          <w:rFonts w:ascii="宋体" w:hAnsi="宋体" w:cs="宋体"/>
          <w:b/>
          <w:bCs/>
          <w:sz w:val="21"/>
          <w:szCs w:val="21"/>
        </w:rPr>
      </w:pPr>
      <w:r>
        <w:rPr>
          <w:rFonts w:hint="eastAsia" w:ascii="宋体" w:hAnsi="宋体" w:cs="宋体"/>
          <w:b/>
          <w:bCs/>
          <w:sz w:val="21"/>
          <w:szCs w:val="21"/>
        </w:rPr>
        <w:t>7.4签订合同</w:t>
      </w:r>
    </w:p>
    <w:p>
      <w:pPr>
        <w:spacing w:line="360" w:lineRule="auto"/>
        <w:ind w:firstLine="420" w:firstLineChars="200"/>
        <w:rPr>
          <w:rFonts w:ascii="宋体" w:hAnsi="宋体" w:cs="宋体"/>
          <w:sz w:val="21"/>
          <w:szCs w:val="21"/>
        </w:rPr>
      </w:pPr>
      <w:r>
        <w:rPr>
          <w:rFonts w:hint="eastAsia" w:ascii="宋体" w:hAnsi="宋体" w:cs="宋体"/>
          <w:sz w:val="21"/>
          <w:szCs w:val="21"/>
        </w:rPr>
        <w:t>7.4.1招标人和中标人应当自中标通知书发出之日起15天内，根据招标文件和中标人的投标文件订立书面合同。中标人无正当理由拒签合同的，招标人取消其中标资格，并承担相应的法律责任。（政府采购合同签订期限由法定30日内压缩至15日内，合同备案时限由法定7个工作日内压缩至3个工作日内。采购人应当在政府采购合同签订2个工作日内，及时在“河南政府采购网”依法公开政府采购合同信息）。</w:t>
      </w:r>
    </w:p>
    <w:p>
      <w:pPr>
        <w:spacing w:line="360" w:lineRule="auto"/>
        <w:ind w:firstLine="420" w:firstLineChars="200"/>
        <w:rPr>
          <w:rFonts w:ascii="宋体" w:hAnsi="宋体" w:cs="宋体"/>
          <w:sz w:val="21"/>
          <w:szCs w:val="21"/>
        </w:rPr>
      </w:pPr>
      <w:r>
        <w:rPr>
          <w:rFonts w:hint="eastAsia" w:ascii="宋体" w:hAnsi="宋体" w:cs="宋体"/>
          <w:sz w:val="21"/>
          <w:szCs w:val="21"/>
        </w:rPr>
        <w:t>7.4.2发出中标通知书后，招标人无正当理由拒签合同的，招标人应承担相应的法律责任。</w:t>
      </w:r>
    </w:p>
    <w:p>
      <w:pPr>
        <w:spacing w:line="360" w:lineRule="auto"/>
        <w:rPr>
          <w:rFonts w:ascii="宋体" w:hAnsi="宋体" w:cs="宋体"/>
          <w:b/>
          <w:bCs/>
          <w:sz w:val="21"/>
          <w:szCs w:val="21"/>
        </w:rPr>
      </w:pPr>
      <w:bookmarkStart w:id="32" w:name="8.重新招标和不再招标"/>
      <w:bookmarkEnd w:id="32"/>
      <w:r>
        <w:rPr>
          <w:rFonts w:hint="eastAsia" w:ascii="宋体" w:hAnsi="宋体" w:cs="宋体"/>
          <w:b/>
          <w:bCs/>
          <w:sz w:val="21"/>
          <w:szCs w:val="21"/>
        </w:rPr>
        <w:t>8.重新招标和不再招标</w:t>
      </w:r>
    </w:p>
    <w:p>
      <w:pPr>
        <w:spacing w:line="360" w:lineRule="auto"/>
        <w:rPr>
          <w:rFonts w:ascii="宋体" w:hAnsi="宋体" w:cs="宋体"/>
          <w:b/>
          <w:bCs/>
          <w:sz w:val="21"/>
          <w:szCs w:val="21"/>
        </w:rPr>
      </w:pPr>
      <w:bookmarkStart w:id="33" w:name="8.1_重新招标"/>
      <w:bookmarkEnd w:id="33"/>
      <w:r>
        <w:rPr>
          <w:rFonts w:hint="eastAsia" w:ascii="宋体" w:hAnsi="宋体" w:cs="宋体"/>
          <w:b/>
          <w:bCs/>
          <w:sz w:val="21"/>
          <w:szCs w:val="21"/>
        </w:rPr>
        <w:t>8.1重新招标</w:t>
      </w:r>
    </w:p>
    <w:p>
      <w:pPr>
        <w:spacing w:line="360" w:lineRule="auto"/>
        <w:ind w:firstLine="420" w:firstLineChars="200"/>
        <w:rPr>
          <w:rFonts w:ascii="宋体" w:hAnsi="宋体" w:cs="宋体"/>
          <w:sz w:val="21"/>
          <w:szCs w:val="21"/>
        </w:rPr>
      </w:pPr>
      <w:r>
        <w:rPr>
          <w:rFonts w:hint="eastAsia" w:ascii="宋体" w:hAnsi="宋体" w:cs="宋体"/>
          <w:sz w:val="21"/>
          <w:szCs w:val="21"/>
        </w:rPr>
        <w:t>有下列情形之一的，招标人将重新招标：</w:t>
      </w:r>
    </w:p>
    <w:p>
      <w:pPr>
        <w:spacing w:line="360" w:lineRule="auto"/>
        <w:ind w:firstLine="420" w:firstLineChars="200"/>
        <w:rPr>
          <w:rFonts w:ascii="宋体" w:hAnsi="宋体" w:cs="宋体"/>
          <w:sz w:val="21"/>
          <w:szCs w:val="21"/>
        </w:rPr>
      </w:pPr>
      <w:r>
        <w:rPr>
          <w:rFonts w:hint="eastAsia" w:ascii="宋体" w:hAnsi="宋体" w:cs="宋体"/>
          <w:sz w:val="21"/>
          <w:szCs w:val="21"/>
        </w:rPr>
        <w:t>(l）投标截止时间止，投标人少于3个的；</w:t>
      </w:r>
    </w:p>
    <w:p>
      <w:pPr>
        <w:spacing w:line="360" w:lineRule="auto"/>
        <w:ind w:firstLine="420" w:firstLineChars="200"/>
        <w:rPr>
          <w:rFonts w:ascii="宋体" w:hAnsi="宋体" w:cs="宋体"/>
          <w:sz w:val="21"/>
          <w:szCs w:val="21"/>
        </w:rPr>
      </w:pPr>
      <w:r>
        <w:rPr>
          <w:rFonts w:hint="eastAsia" w:ascii="宋体" w:hAnsi="宋体" w:cs="宋体"/>
          <w:sz w:val="21"/>
          <w:szCs w:val="21"/>
        </w:rPr>
        <w:t>(2）经评标委员会评审后否决所有投标的。</w:t>
      </w:r>
    </w:p>
    <w:p>
      <w:pPr>
        <w:spacing w:line="360" w:lineRule="auto"/>
        <w:rPr>
          <w:rFonts w:ascii="宋体" w:hAnsi="宋体" w:cs="宋体"/>
          <w:b/>
          <w:bCs/>
          <w:sz w:val="21"/>
          <w:szCs w:val="21"/>
        </w:rPr>
      </w:pPr>
      <w:bookmarkStart w:id="34" w:name="8.2_不再招标"/>
      <w:bookmarkEnd w:id="34"/>
      <w:r>
        <w:rPr>
          <w:rFonts w:hint="eastAsia" w:ascii="宋体" w:hAnsi="宋体" w:cs="宋体"/>
          <w:b/>
          <w:bCs/>
          <w:sz w:val="21"/>
          <w:szCs w:val="21"/>
        </w:rPr>
        <w:t>8.2不再招标</w:t>
      </w:r>
    </w:p>
    <w:p>
      <w:pPr>
        <w:spacing w:line="360" w:lineRule="auto"/>
        <w:ind w:firstLine="420" w:firstLineChars="200"/>
        <w:rPr>
          <w:rFonts w:ascii="宋体" w:hAnsi="宋体" w:cs="宋体"/>
          <w:sz w:val="21"/>
          <w:szCs w:val="21"/>
        </w:rPr>
      </w:pPr>
      <w:r>
        <w:rPr>
          <w:rFonts w:hint="eastAsia" w:ascii="宋体" w:hAnsi="宋体" w:cs="宋体"/>
          <w:sz w:val="21"/>
          <w:szCs w:val="21"/>
        </w:rPr>
        <w:t>重新招标后投标人仍少于3个或者所有投标被否决的，招标人可以不再进行招标。</w:t>
      </w:r>
    </w:p>
    <w:p>
      <w:pPr>
        <w:spacing w:line="360" w:lineRule="auto"/>
        <w:rPr>
          <w:rFonts w:ascii="宋体" w:hAnsi="宋体" w:cs="宋体"/>
          <w:b/>
          <w:bCs/>
          <w:sz w:val="21"/>
          <w:szCs w:val="21"/>
        </w:rPr>
      </w:pPr>
      <w:r>
        <w:rPr>
          <w:rFonts w:hint="eastAsia" w:ascii="宋体" w:hAnsi="宋体" w:cs="宋体"/>
          <w:b/>
          <w:bCs/>
          <w:sz w:val="21"/>
          <w:szCs w:val="21"/>
        </w:rPr>
        <w:t>9.纪律和监督</w:t>
      </w:r>
    </w:p>
    <w:p>
      <w:pPr>
        <w:spacing w:line="360" w:lineRule="auto"/>
        <w:rPr>
          <w:rFonts w:ascii="宋体" w:hAnsi="宋体" w:cs="宋体"/>
          <w:b/>
          <w:bCs/>
          <w:sz w:val="21"/>
          <w:szCs w:val="21"/>
        </w:rPr>
      </w:pPr>
      <w:bookmarkStart w:id="35" w:name="9.1_对招标人的纪律要求"/>
      <w:bookmarkEnd w:id="35"/>
      <w:r>
        <w:rPr>
          <w:rFonts w:hint="eastAsia" w:ascii="宋体" w:hAnsi="宋体" w:cs="宋体"/>
          <w:b/>
          <w:bCs/>
          <w:sz w:val="21"/>
          <w:szCs w:val="21"/>
        </w:rPr>
        <w:t>9.1对招标人的纪律要求</w:t>
      </w:r>
    </w:p>
    <w:p>
      <w:pPr>
        <w:spacing w:line="360" w:lineRule="auto"/>
        <w:ind w:firstLine="420" w:firstLineChars="200"/>
        <w:rPr>
          <w:rFonts w:ascii="宋体" w:hAnsi="宋体" w:cs="宋体"/>
          <w:sz w:val="21"/>
          <w:szCs w:val="21"/>
        </w:rPr>
      </w:pPr>
      <w:r>
        <w:rPr>
          <w:rFonts w:hint="eastAsia" w:ascii="宋体" w:hAnsi="宋体" w:cs="宋体"/>
          <w:sz w:val="21"/>
          <w:szCs w:val="21"/>
        </w:rPr>
        <w:t>招标人不得泄漏招标投标活动中应当保密的情况和资料，不得与投标人串通损害国家利益、社会公共</w:t>
      </w:r>
    </w:p>
    <w:p>
      <w:pPr>
        <w:spacing w:line="360" w:lineRule="auto"/>
        <w:rPr>
          <w:rFonts w:ascii="宋体" w:hAnsi="宋体" w:cs="宋体"/>
          <w:sz w:val="21"/>
          <w:szCs w:val="21"/>
        </w:rPr>
      </w:pPr>
      <w:r>
        <w:rPr>
          <w:rFonts w:hint="eastAsia" w:ascii="宋体" w:hAnsi="宋体" w:cs="宋体"/>
          <w:sz w:val="21"/>
          <w:szCs w:val="21"/>
        </w:rPr>
        <w:t>利益或者他人合法权益。</w:t>
      </w:r>
    </w:p>
    <w:p>
      <w:pPr>
        <w:spacing w:line="360" w:lineRule="auto"/>
        <w:rPr>
          <w:rFonts w:ascii="宋体" w:hAnsi="宋体" w:cs="宋体"/>
          <w:b/>
          <w:bCs/>
          <w:sz w:val="21"/>
          <w:szCs w:val="21"/>
        </w:rPr>
      </w:pPr>
      <w:r>
        <w:rPr>
          <w:rFonts w:hint="eastAsia" w:ascii="宋体" w:hAnsi="宋体" w:cs="宋体"/>
          <w:b/>
          <w:bCs/>
          <w:sz w:val="21"/>
          <w:szCs w:val="21"/>
        </w:rPr>
        <w:t>9.2对投标人的纪律要求</w:t>
      </w:r>
    </w:p>
    <w:p>
      <w:pPr>
        <w:spacing w:line="360" w:lineRule="auto"/>
        <w:ind w:firstLine="420" w:firstLineChars="200"/>
        <w:rPr>
          <w:rFonts w:ascii="宋体" w:hAnsi="宋体" w:cs="宋体"/>
          <w:sz w:val="21"/>
          <w:szCs w:val="21"/>
        </w:rPr>
      </w:pPr>
      <w:r>
        <w:rPr>
          <w:rFonts w:hint="eastAsia" w:ascii="宋体" w:hAnsi="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cs="宋体"/>
          <w:b/>
          <w:bCs/>
          <w:sz w:val="21"/>
          <w:szCs w:val="21"/>
        </w:rPr>
      </w:pPr>
      <w:bookmarkStart w:id="36" w:name="9.3_对评标委员会成员的纪律要求"/>
      <w:bookmarkEnd w:id="36"/>
      <w:r>
        <w:rPr>
          <w:rFonts w:hint="eastAsia" w:ascii="宋体" w:hAnsi="宋体" w:cs="宋体"/>
          <w:b/>
          <w:bCs/>
          <w:sz w:val="21"/>
          <w:szCs w:val="21"/>
        </w:rPr>
        <w:t>9.3对评标委员会成员的纪律要求</w:t>
      </w:r>
    </w:p>
    <w:p>
      <w:pPr>
        <w:spacing w:line="360" w:lineRule="auto"/>
        <w:ind w:firstLine="420" w:firstLineChars="200"/>
        <w:rPr>
          <w:rFonts w:ascii="宋体" w:hAnsi="宋体" w:cs="宋体"/>
          <w:sz w:val="21"/>
          <w:szCs w:val="21"/>
        </w:rPr>
      </w:pPr>
      <w:r>
        <w:rPr>
          <w:rFonts w:hint="eastAsia" w:ascii="宋体" w:hAnsi="宋体" w:cs="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cs="宋体"/>
          <w:b/>
          <w:bCs/>
          <w:sz w:val="21"/>
          <w:szCs w:val="21"/>
        </w:rPr>
      </w:pPr>
      <w:r>
        <w:rPr>
          <w:rFonts w:hint="eastAsia" w:ascii="宋体" w:hAnsi="宋体" w:cs="宋体"/>
          <w:b/>
          <w:bCs/>
          <w:sz w:val="21"/>
          <w:szCs w:val="21"/>
        </w:rPr>
        <w:t>9.4对与评标活动有关的工作人员的纪律要求</w:t>
      </w:r>
    </w:p>
    <w:p>
      <w:pPr>
        <w:spacing w:line="360" w:lineRule="auto"/>
        <w:ind w:firstLine="420" w:firstLineChars="200"/>
        <w:rPr>
          <w:rFonts w:ascii="宋体" w:hAnsi="宋体" w:cs="宋体"/>
          <w:sz w:val="21"/>
          <w:szCs w:val="21"/>
        </w:rPr>
      </w:pPr>
      <w:r>
        <w:rPr>
          <w:rFonts w:hint="eastAsia" w:ascii="宋体" w:hAnsi="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cs="宋体"/>
          <w:b/>
          <w:bCs/>
          <w:sz w:val="21"/>
          <w:szCs w:val="21"/>
        </w:rPr>
      </w:pPr>
      <w:bookmarkStart w:id="37" w:name="9.5_投诉"/>
      <w:bookmarkEnd w:id="37"/>
      <w:r>
        <w:rPr>
          <w:rFonts w:hint="eastAsia" w:ascii="宋体" w:hAnsi="宋体" w:cs="宋体"/>
          <w:b/>
          <w:bCs/>
          <w:sz w:val="21"/>
          <w:szCs w:val="21"/>
        </w:rPr>
        <w:t>9.5投诉</w:t>
      </w:r>
    </w:p>
    <w:p>
      <w:pPr>
        <w:spacing w:line="360" w:lineRule="auto"/>
        <w:ind w:firstLine="420" w:firstLineChars="200"/>
        <w:rPr>
          <w:rFonts w:ascii="宋体" w:hAnsi="宋体" w:cs="宋体"/>
          <w:sz w:val="21"/>
          <w:szCs w:val="21"/>
        </w:rPr>
      </w:pPr>
      <w:r>
        <w:rPr>
          <w:rFonts w:hint="eastAsia" w:ascii="宋体" w:hAnsi="宋体" w:cs="宋体"/>
          <w:sz w:val="21"/>
          <w:szCs w:val="21"/>
        </w:rPr>
        <w:t>投标人和其他利害关系人认为本次招标活动违反法律、法规和规章规定的，有权向有关行政监督部门投诉。</w:t>
      </w:r>
    </w:p>
    <w:p>
      <w:pPr>
        <w:rPr>
          <w:rFonts w:ascii="宋体" w:hAnsi="宋体" w:cs="宋体"/>
          <w:sz w:val="21"/>
          <w:szCs w:val="21"/>
        </w:rPr>
      </w:pPr>
      <w:r>
        <w:rPr>
          <w:rFonts w:hint="eastAsia" w:ascii="宋体" w:hAnsi="宋体" w:cs="宋体"/>
          <w:b/>
          <w:bCs/>
          <w:sz w:val="21"/>
          <w:szCs w:val="21"/>
        </w:rPr>
        <w:t>10.需要补充的其他内容</w:t>
      </w:r>
    </w:p>
    <w:p>
      <w:pPr>
        <w:ind w:firstLine="420" w:firstLineChars="200"/>
        <w:rPr>
          <w:rFonts w:hint="eastAsia" w:ascii="宋体" w:hAnsi="宋体" w:cs="宋体"/>
          <w:sz w:val="21"/>
          <w:szCs w:val="21"/>
        </w:rPr>
      </w:pPr>
      <w:r>
        <w:rPr>
          <w:rFonts w:hint="eastAsia" w:ascii="宋体" w:hAnsi="宋体" w:cs="宋体"/>
          <w:sz w:val="21"/>
          <w:szCs w:val="21"/>
        </w:rPr>
        <w:t>需要补充的其他内容：见投标人须知前附表</w:t>
      </w:r>
    </w:p>
    <w:p>
      <w:pPr>
        <w:pStyle w:val="29"/>
        <w:rPr>
          <w:rFonts w:hint="eastAsia" w:ascii="宋体" w:hAnsi="宋体" w:cs="宋体"/>
          <w:sz w:val="21"/>
          <w:szCs w:val="21"/>
        </w:rPr>
      </w:pPr>
    </w:p>
    <w:p>
      <w:pPr>
        <w:pStyle w:val="29"/>
        <w:rPr>
          <w:rFonts w:hint="eastAsia" w:ascii="宋体" w:hAnsi="宋体" w:cs="宋体"/>
          <w:sz w:val="21"/>
          <w:szCs w:val="21"/>
        </w:rPr>
      </w:pPr>
    </w:p>
    <w:p>
      <w:pPr>
        <w:pStyle w:val="29"/>
        <w:rPr>
          <w:rFonts w:hint="eastAsia" w:ascii="宋体" w:hAnsi="宋体" w:cs="宋体"/>
          <w:sz w:val="21"/>
          <w:szCs w:val="21"/>
        </w:rPr>
      </w:pPr>
    </w:p>
    <w:p>
      <w:pPr>
        <w:rPr>
          <w:rFonts w:hint="eastAsia" w:ascii="宋体" w:hAnsi="宋体" w:cs="宋体"/>
          <w:sz w:val="21"/>
          <w:szCs w:val="21"/>
        </w:rPr>
      </w:pPr>
      <w:r>
        <w:rPr>
          <w:rFonts w:hint="eastAsia" w:ascii="宋体" w:hAnsi="宋体" w:cs="宋体"/>
          <w:sz w:val="21"/>
          <w:szCs w:val="21"/>
        </w:rPr>
        <w:br w:type="page"/>
      </w:r>
    </w:p>
    <w:p>
      <w:pPr>
        <w:pStyle w:val="29"/>
        <w:rPr>
          <w:rFonts w:hint="eastAsia" w:ascii="宋体" w:hAnsi="宋体" w:cs="宋体"/>
          <w:sz w:val="21"/>
          <w:szCs w:val="21"/>
        </w:rPr>
      </w:pPr>
    </w:p>
    <w:p>
      <w:pPr>
        <w:pStyle w:val="3"/>
        <w:ind w:firstLine="361"/>
        <w:jc w:val="center"/>
        <w:rPr>
          <w:b/>
          <w:bCs/>
          <w:sz w:val="36"/>
          <w:szCs w:val="36"/>
        </w:rPr>
      </w:pPr>
      <w:r>
        <w:rPr>
          <w:rFonts w:hint="eastAsia"/>
          <w:b/>
          <w:bCs/>
          <w:sz w:val="36"/>
          <w:szCs w:val="36"/>
        </w:rPr>
        <w:t>河南省政府采购合同融资政策告知函</w:t>
      </w:r>
    </w:p>
    <w:p>
      <w:pPr>
        <w:spacing w:line="360" w:lineRule="auto"/>
        <w:rPr>
          <w:szCs w:val="28"/>
        </w:rPr>
      </w:pPr>
    </w:p>
    <w:p>
      <w:pPr>
        <w:spacing w:line="360" w:lineRule="auto"/>
        <w:rPr>
          <w:sz w:val="24"/>
          <w:szCs w:val="24"/>
        </w:rPr>
      </w:pPr>
      <w:r>
        <w:rPr>
          <w:rFonts w:hint="eastAsia"/>
          <w:sz w:val="24"/>
          <w:szCs w:val="24"/>
        </w:rPr>
        <w:t>各供应商:</w:t>
      </w:r>
    </w:p>
    <w:p>
      <w:pPr>
        <w:spacing w:line="360" w:lineRule="auto"/>
        <w:ind w:firstLine="480" w:firstLineChars="200"/>
        <w:rPr>
          <w:sz w:val="24"/>
          <w:szCs w:val="24"/>
        </w:rPr>
      </w:pPr>
      <w:r>
        <w:rPr>
          <w:rFonts w:hint="eastAsia"/>
          <w:sz w:val="24"/>
          <w:szCs w:val="24"/>
        </w:rPr>
        <w:t xml:space="preserve">欢迎贵公司参与河南省政府采购活动！      </w:t>
      </w:r>
    </w:p>
    <w:p>
      <w:pPr>
        <w:spacing w:line="360" w:lineRule="auto"/>
        <w:ind w:firstLine="480" w:firstLineChars="200"/>
        <w:rPr>
          <w:sz w:val="24"/>
          <w:szCs w:val="24"/>
        </w:rPr>
      </w:pPr>
      <w:r>
        <w:rPr>
          <w:rFonts w:hint="eastAsia"/>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360" w:lineRule="auto"/>
        <w:ind w:firstLine="480" w:firstLineChars="200"/>
        <w:rPr>
          <w:sz w:val="24"/>
          <w:szCs w:val="24"/>
        </w:rPr>
      </w:pPr>
      <w:r>
        <w:rPr>
          <w:rFonts w:hint="eastAsia"/>
          <w:sz w:val="24"/>
          <w:szCs w:val="24"/>
        </w:rPr>
        <w:t>贷款渠道和提供贷款的金融机构，可在河南省政府采购网"河南省政府采购合同融资平台"查询联系。</w:t>
      </w:r>
    </w:p>
    <w:p>
      <w:pPr>
        <w:pStyle w:val="2"/>
        <w:ind w:firstLine="240"/>
        <w:sectPr>
          <w:footerReference r:id="rId4" w:type="default"/>
          <w:pgSz w:w="11910" w:h="16840"/>
          <w:pgMar w:top="1440" w:right="1080" w:bottom="1440" w:left="1080" w:header="0" w:footer="993" w:gutter="0"/>
          <w:pgNumType w:start="1"/>
          <w:cols w:space="720" w:num="1"/>
        </w:sectPr>
      </w:pPr>
    </w:p>
    <w:p>
      <w:pPr>
        <w:pStyle w:val="8"/>
        <w:spacing w:line="240" w:lineRule="auto"/>
        <w:jc w:val="center"/>
        <w:rPr>
          <w:rFonts w:ascii="宋体" w:hAnsi="宋体" w:cs="宋体"/>
        </w:rPr>
      </w:pPr>
      <w:bookmarkStart w:id="38" w:name="_Toc12537"/>
      <w:bookmarkStart w:id="39" w:name="_Toc9608"/>
      <w:r>
        <w:rPr>
          <w:rFonts w:hint="eastAsia" w:ascii="宋体" w:hAnsi="宋体" w:cs="宋体"/>
        </w:rPr>
        <w:t>第三</w:t>
      </w:r>
      <w:r>
        <w:rPr>
          <w:rFonts w:hint="eastAsia" w:ascii="宋体" w:hAnsi="宋体" w:cs="宋体"/>
          <w:lang w:val="en-US" w:eastAsia="zh-CN"/>
        </w:rPr>
        <w:t>章</w:t>
      </w:r>
      <w:r>
        <w:rPr>
          <w:rFonts w:hint="eastAsia" w:ascii="宋体" w:hAnsi="宋体" w:cs="宋体"/>
        </w:rPr>
        <w:t xml:space="preserve"> 评标办法</w:t>
      </w:r>
      <w:bookmarkEnd w:id="38"/>
      <w:bookmarkEnd w:id="39"/>
    </w:p>
    <w:p>
      <w:pPr>
        <w:spacing w:line="460" w:lineRule="exact"/>
        <w:ind w:firstLine="482" w:firstLineChars="200"/>
        <w:rPr>
          <w:rFonts w:ascii="宋体" w:hAnsi="宋体" w:cs="宋体"/>
          <w:sz w:val="24"/>
          <w:szCs w:val="24"/>
        </w:rPr>
      </w:pPr>
      <w:bookmarkStart w:id="40" w:name="_Toc441065674"/>
      <w:r>
        <w:rPr>
          <w:rFonts w:hint="eastAsia" w:ascii="宋体" w:hAnsi="宋体" w:cs="宋体"/>
          <w:b/>
          <w:bCs/>
          <w:sz w:val="24"/>
          <w:szCs w:val="24"/>
        </w:rPr>
        <w:t>一、评标办法</w:t>
      </w:r>
      <w:bookmarkEnd w:id="40"/>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（一）评标办法定义</w:t>
      </w:r>
    </w:p>
    <w:p>
      <w:pPr>
        <w:snapToGrid w:val="0"/>
        <w:spacing w:line="400" w:lineRule="exact"/>
        <w:ind w:firstLine="482" w:firstLineChars="200"/>
        <w:rPr>
          <w:rFonts w:ascii="宋体" w:hAnsi="宋体" w:cs="宋体"/>
          <w:kern w:val="0"/>
          <w:sz w:val="24"/>
          <w:szCs w:val="24"/>
        </w:rPr>
      </w:pPr>
      <w:r>
        <w:rPr>
          <w:rFonts w:hint="eastAsia" w:ascii="宋体" w:hAnsi="宋体" w:cs="宋体"/>
          <w:b/>
          <w:kern w:val="0"/>
          <w:sz w:val="24"/>
          <w:szCs w:val="24"/>
        </w:rPr>
        <w:t>综合评分法：</w:t>
      </w:r>
      <w:r>
        <w:rPr>
          <w:rFonts w:hint="eastAsia" w:ascii="宋体" w:hAnsi="宋体" w:cs="宋体"/>
          <w:kern w:val="0"/>
          <w:sz w:val="24"/>
          <w:szCs w:val="24"/>
        </w:rPr>
        <w:t>本项目采用综合评分法进行评标。综合评分法，是指投标文件满足招标文件全部实质性要求且按照评审因素的量化指标评审得分最高的供应商为中标候选人的评标办法。投标人总得分为价格、技术</w:t>
      </w:r>
      <w:r>
        <w:rPr>
          <w:rFonts w:hint="eastAsia" w:ascii="宋体" w:hAnsi="宋体" w:cs="宋体"/>
          <w:kern w:val="0"/>
          <w:sz w:val="24"/>
          <w:szCs w:val="24"/>
          <w:lang w:eastAsia="zh-CN"/>
        </w:rPr>
        <w:t>、</w:t>
      </w:r>
      <w:r>
        <w:rPr>
          <w:rFonts w:hint="eastAsia" w:ascii="宋体" w:hAnsi="宋体" w:cs="宋体"/>
          <w:kern w:val="0"/>
          <w:sz w:val="24"/>
          <w:szCs w:val="24"/>
          <w:lang w:val="en-US" w:eastAsia="zh-CN"/>
        </w:rPr>
        <w:t>综合</w:t>
      </w:r>
      <w:r>
        <w:rPr>
          <w:rFonts w:hint="eastAsia" w:ascii="宋体" w:hAnsi="宋体" w:cs="宋体"/>
          <w:kern w:val="0"/>
          <w:sz w:val="24"/>
          <w:szCs w:val="24"/>
        </w:rPr>
        <w:t>等评定因素分别按照相应权重值计算分项得分后相加，满分为100分。</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（二）评标程序</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评标工作由采购代理机构主持，评标工作由采购人依法抽取的评标委员会负责。评标委员会成员到位后，推举其中一位评审专家担任评审组长，并由评审组长牵头组织该项目评审工作。评标委员会按以下程序独立履行评审职责：</w:t>
      </w:r>
    </w:p>
    <w:p>
      <w:pPr>
        <w:numPr>
          <w:ilvl w:val="0"/>
          <w:numId w:val="3"/>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资格性检查。依据中华人民共和国财政部令第87号中第十四条规定：公开招标采购项目开标结束后，采购人或代理机构应当依法对投标人的资格进行审查，合格投标人不足三家的，不得评标。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资格性检查资料表如下：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9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noWrap/>
            <w:vAlign w:val="center"/>
          </w:tcPr>
          <w:p>
            <w:pPr>
              <w:spacing w:line="240" w:lineRule="exact"/>
              <w:rPr>
                <w:rFonts w:ascii="宋体" w:hAnsi="宋体" w:cs="宋体"/>
                <w:b/>
                <w:kern w:val="0"/>
                <w:sz w:val="21"/>
                <w:szCs w:val="21"/>
              </w:rPr>
            </w:pPr>
            <w:r>
              <w:rPr>
                <w:rFonts w:hint="eastAsia" w:ascii="宋体" w:hAnsi="宋体" w:cs="宋体"/>
                <w:b/>
                <w:kern w:val="0"/>
                <w:sz w:val="21"/>
                <w:szCs w:val="21"/>
              </w:rPr>
              <w:t>序号</w:t>
            </w:r>
          </w:p>
        </w:tc>
        <w:tc>
          <w:tcPr>
            <w:tcW w:w="3707" w:type="dxa"/>
            <w:gridSpan w:val="2"/>
            <w:noWrap/>
            <w:vAlign w:val="center"/>
          </w:tcPr>
          <w:p>
            <w:pPr>
              <w:spacing w:line="240" w:lineRule="exact"/>
              <w:rPr>
                <w:rFonts w:ascii="宋体" w:hAnsi="宋体" w:cs="宋体"/>
                <w:b/>
                <w:kern w:val="0"/>
                <w:sz w:val="21"/>
                <w:szCs w:val="21"/>
              </w:rPr>
            </w:pPr>
            <w:r>
              <w:rPr>
                <w:rFonts w:hint="eastAsia" w:ascii="宋体" w:hAnsi="宋体" w:cs="宋体"/>
                <w:b/>
                <w:kern w:val="0"/>
                <w:sz w:val="21"/>
                <w:szCs w:val="21"/>
              </w:rPr>
              <w:t>检查因素</w:t>
            </w:r>
          </w:p>
        </w:tc>
        <w:tc>
          <w:tcPr>
            <w:tcW w:w="5245" w:type="dxa"/>
            <w:noWrap/>
            <w:vAlign w:val="center"/>
          </w:tcPr>
          <w:p>
            <w:pPr>
              <w:spacing w:line="240" w:lineRule="exact"/>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676" w:type="dxa"/>
            <w:vMerge w:val="restart"/>
            <w:noWrap/>
            <w:vAlign w:val="center"/>
          </w:tcPr>
          <w:p>
            <w:pPr>
              <w:spacing w:line="240" w:lineRule="exact"/>
              <w:rPr>
                <w:rFonts w:ascii="宋体" w:hAnsi="宋体" w:cs="宋体"/>
                <w:sz w:val="21"/>
                <w:szCs w:val="21"/>
              </w:rPr>
            </w:pPr>
            <w:r>
              <w:rPr>
                <w:rFonts w:hint="eastAsia" w:ascii="宋体" w:hAnsi="宋体" w:cs="宋体"/>
                <w:sz w:val="21"/>
                <w:szCs w:val="21"/>
              </w:rPr>
              <w:t>1</w:t>
            </w:r>
          </w:p>
        </w:tc>
        <w:tc>
          <w:tcPr>
            <w:tcW w:w="709" w:type="dxa"/>
            <w:vMerge w:val="restart"/>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投标人应符合的基本资格条件</w:t>
            </w:r>
          </w:p>
        </w:tc>
        <w:tc>
          <w:tcPr>
            <w:tcW w:w="2998" w:type="dxa"/>
            <w:noWrap/>
            <w:vAlign w:val="center"/>
          </w:tcPr>
          <w:p>
            <w:pPr>
              <w:spacing w:line="240" w:lineRule="exact"/>
              <w:rPr>
                <w:rFonts w:ascii="宋体" w:hAnsi="宋体" w:cs="宋体"/>
                <w:sz w:val="21"/>
                <w:szCs w:val="21"/>
              </w:rPr>
            </w:pPr>
            <w:r>
              <w:rPr>
                <w:rFonts w:hint="eastAsia" w:ascii="宋体" w:hAnsi="宋体" w:cs="宋体"/>
                <w:sz w:val="21"/>
                <w:szCs w:val="21"/>
              </w:rPr>
              <w:t>独立承担民事责任的能力</w:t>
            </w:r>
          </w:p>
        </w:tc>
        <w:tc>
          <w:tcPr>
            <w:tcW w:w="5245" w:type="dxa"/>
            <w:noWrap/>
            <w:vAlign w:val="center"/>
          </w:tcPr>
          <w:p>
            <w:pPr>
              <w:spacing w:line="240" w:lineRule="exact"/>
              <w:rPr>
                <w:rFonts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第二章</w:t>
            </w:r>
            <w:r>
              <w:rPr>
                <w:rFonts w:hint="eastAsia" w:ascii="宋体" w:hAnsi="宋体" w:cs="宋体"/>
                <w:sz w:val="21"/>
                <w:szCs w:val="21"/>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76" w:type="dxa"/>
            <w:vMerge w:val="continue"/>
            <w:noWrap/>
            <w:vAlign w:val="center"/>
          </w:tcPr>
          <w:p>
            <w:pPr>
              <w:spacing w:line="240" w:lineRule="exact"/>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2998" w:type="dxa"/>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具有履行合同所必需的设备和专业技术能力</w:t>
            </w:r>
          </w:p>
        </w:tc>
        <w:tc>
          <w:tcPr>
            <w:tcW w:w="5245" w:type="dxa"/>
            <w:noWrap/>
            <w:vAlign w:val="center"/>
          </w:tcPr>
          <w:p>
            <w:pPr>
              <w:spacing w:line="240" w:lineRule="exact"/>
              <w:rPr>
                <w:rFonts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第二章</w:t>
            </w:r>
            <w:r>
              <w:rPr>
                <w:rFonts w:hint="eastAsia" w:ascii="宋体" w:hAnsi="宋体" w:cs="宋体"/>
                <w:sz w:val="21"/>
                <w:szCs w:val="21"/>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676" w:type="dxa"/>
            <w:vMerge w:val="continue"/>
            <w:noWrap/>
            <w:vAlign w:val="center"/>
          </w:tcPr>
          <w:p>
            <w:pPr>
              <w:spacing w:line="240" w:lineRule="exact"/>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2998" w:type="dxa"/>
            <w:noWrap/>
            <w:vAlign w:val="center"/>
          </w:tcPr>
          <w:p>
            <w:pPr>
              <w:spacing w:line="240" w:lineRule="exact"/>
              <w:rPr>
                <w:rFonts w:hint="eastAsia" w:ascii="宋体" w:hAnsi="宋体" w:eastAsia="宋体" w:cs="宋体"/>
                <w:sz w:val="21"/>
                <w:szCs w:val="21"/>
                <w:lang w:val="en-US" w:eastAsia="zh-CN"/>
              </w:rPr>
            </w:pPr>
            <w:r>
              <w:rPr>
                <w:rFonts w:hint="eastAsia" w:ascii="宋体" w:hAnsi="宋体" w:cs="宋体"/>
                <w:sz w:val="21"/>
                <w:szCs w:val="21"/>
                <w:lang w:val="zh-CN"/>
              </w:rPr>
              <w:t>具有良好的商业信誉和健全的财务会计</w:t>
            </w:r>
            <w:r>
              <w:rPr>
                <w:rFonts w:hint="eastAsia" w:ascii="宋体" w:hAnsi="宋体" w:cs="宋体"/>
                <w:sz w:val="21"/>
                <w:szCs w:val="21"/>
                <w:lang w:val="en-US" w:eastAsia="zh-CN"/>
              </w:rPr>
              <w:t>制度</w:t>
            </w:r>
          </w:p>
        </w:tc>
        <w:tc>
          <w:tcPr>
            <w:tcW w:w="5245" w:type="dxa"/>
            <w:noWrap/>
            <w:vAlign w:val="center"/>
          </w:tcPr>
          <w:p>
            <w:pPr>
              <w:spacing w:line="240" w:lineRule="exact"/>
              <w:rPr>
                <w:rFonts w:hint="eastAsia"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第二章</w:t>
            </w:r>
            <w:r>
              <w:rPr>
                <w:rFonts w:hint="eastAsia" w:ascii="宋体" w:hAnsi="宋体" w:cs="宋体"/>
                <w:sz w:val="21"/>
                <w:szCs w:val="21"/>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676" w:type="dxa"/>
            <w:vMerge w:val="continue"/>
            <w:noWrap/>
            <w:vAlign w:val="center"/>
          </w:tcPr>
          <w:p>
            <w:pPr>
              <w:spacing w:line="240" w:lineRule="exact"/>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2998" w:type="dxa"/>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有依法缴纳税收和社会保障资金的良好记录</w:t>
            </w:r>
          </w:p>
        </w:tc>
        <w:tc>
          <w:tcPr>
            <w:tcW w:w="5245" w:type="dxa"/>
            <w:noWrap/>
            <w:vAlign w:val="center"/>
          </w:tcPr>
          <w:p>
            <w:pPr>
              <w:spacing w:line="240" w:lineRule="exact"/>
              <w:rPr>
                <w:rFonts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第二章</w:t>
            </w:r>
            <w:r>
              <w:rPr>
                <w:rFonts w:hint="eastAsia" w:ascii="宋体" w:hAnsi="宋体" w:cs="宋体"/>
                <w:sz w:val="21"/>
                <w:szCs w:val="21"/>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ign w:val="center"/>
          </w:tcPr>
          <w:p>
            <w:pPr>
              <w:spacing w:line="240" w:lineRule="exact"/>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2998" w:type="dxa"/>
            <w:noWrap/>
            <w:vAlign w:val="center"/>
          </w:tcPr>
          <w:p>
            <w:pPr>
              <w:spacing w:line="240" w:lineRule="exact"/>
              <w:rPr>
                <w:rFonts w:ascii="宋体" w:hAnsi="宋体" w:cs="宋体"/>
                <w:sz w:val="21"/>
                <w:szCs w:val="21"/>
                <w:lang w:val="zh-CN"/>
              </w:rPr>
            </w:pPr>
            <w:r>
              <w:rPr>
                <w:rFonts w:hint="eastAsia" w:ascii="宋体" w:hAnsi="宋体" w:cs="宋体"/>
                <w:sz w:val="21"/>
                <w:szCs w:val="21"/>
              </w:rPr>
              <w:t>无重大违纪声明函</w:t>
            </w:r>
          </w:p>
        </w:tc>
        <w:tc>
          <w:tcPr>
            <w:tcW w:w="5245" w:type="dxa"/>
            <w:noWrap/>
            <w:vAlign w:val="center"/>
          </w:tcPr>
          <w:p>
            <w:pPr>
              <w:spacing w:line="240" w:lineRule="exact"/>
              <w:rPr>
                <w:rFonts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第二章</w:t>
            </w:r>
            <w:r>
              <w:rPr>
                <w:rFonts w:hint="eastAsia" w:ascii="宋体" w:hAnsi="宋体" w:cs="宋体"/>
                <w:sz w:val="21"/>
                <w:szCs w:val="21"/>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6" w:type="dxa"/>
            <w:vMerge w:val="continue"/>
            <w:noWrap/>
            <w:vAlign w:val="center"/>
          </w:tcPr>
          <w:p>
            <w:pPr>
              <w:spacing w:line="240" w:lineRule="exact"/>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2998" w:type="dxa"/>
            <w:noWrap/>
            <w:vAlign w:val="center"/>
          </w:tcPr>
          <w:p>
            <w:pPr>
              <w:spacing w:line="240" w:lineRule="exact"/>
              <w:rPr>
                <w:rFonts w:hint="eastAsia" w:ascii="宋体" w:hAnsi="宋体" w:eastAsia="宋体" w:cs="宋体"/>
                <w:sz w:val="21"/>
                <w:szCs w:val="21"/>
                <w:lang w:val="en-US" w:eastAsia="zh-CN"/>
              </w:rPr>
            </w:pPr>
            <w:r>
              <w:rPr>
                <w:rFonts w:hint="eastAsia" w:ascii="宋体" w:hAnsi="宋体" w:cs="宋体"/>
                <w:sz w:val="21"/>
                <w:szCs w:val="21"/>
              </w:rPr>
              <w:t>信用</w:t>
            </w:r>
            <w:r>
              <w:rPr>
                <w:rFonts w:hint="eastAsia" w:ascii="宋体" w:hAnsi="宋体" w:cs="宋体"/>
                <w:sz w:val="21"/>
                <w:szCs w:val="21"/>
                <w:lang w:val="en-US" w:eastAsia="zh-CN"/>
              </w:rPr>
              <w:t>截图</w:t>
            </w:r>
          </w:p>
        </w:tc>
        <w:tc>
          <w:tcPr>
            <w:tcW w:w="5245" w:type="dxa"/>
            <w:noWrap/>
            <w:vAlign w:val="center"/>
          </w:tcPr>
          <w:p>
            <w:pPr>
              <w:spacing w:line="240" w:lineRule="exact"/>
              <w:rPr>
                <w:rFonts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第二章</w:t>
            </w:r>
            <w:r>
              <w:rPr>
                <w:rFonts w:hint="eastAsia" w:ascii="宋体" w:hAnsi="宋体" w:cs="宋体"/>
                <w:sz w:val="21"/>
                <w:szCs w:val="21"/>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76" w:type="dxa"/>
            <w:vMerge w:val="continue"/>
            <w:noWrap/>
            <w:vAlign w:val="center"/>
          </w:tcPr>
          <w:p>
            <w:pPr>
              <w:spacing w:line="240" w:lineRule="exact"/>
              <w:rPr>
                <w:rFonts w:ascii="宋体" w:hAnsi="宋体" w:cs="宋体"/>
                <w:sz w:val="21"/>
                <w:szCs w:val="21"/>
              </w:rPr>
            </w:pPr>
          </w:p>
        </w:tc>
        <w:tc>
          <w:tcPr>
            <w:tcW w:w="709" w:type="dxa"/>
            <w:vMerge w:val="continue"/>
            <w:noWrap/>
            <w:vAlign w:val="center"/>
          </w:tcPr>
          <w:p>
            <w:pPr>
              <w:spacing w:line="240" w:lineRule="exact"/>
              <w:rPr>
                <w:rFonts w:ascii="宋体" w:hAnsi="宋体" w:cs="宋体"/>
                <w:sz w:val="21"/>
                <w:szCs w:val="21"/>
                <w:lang w:val="zh-CN"/>
              </w:rPr>
            </w:pPr>
          </w:p>
        </w:tc>
        <w:tc>
          <w:tcPr>
            <w:tcW w:w="2998" w:type="dxa"/>
            <w:noWrap/>
            <w:vAlign w:val="center"/>
          </w:tcPr>
          <w:p>
            <w:pPr>
              <w:spacing w:line="24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其他要求</w:t>
            </w:r>
          </w:p>
        </w:tc>
        <w:tc>
          <w:tcPr>
            <w:tcW w:w="5245" w:type="dxa"/>
            <w:noWrap/>
            <w:vAlign w:val="center"/>
          </w:tcPr>
          <w:p>
            <w:pPr>
              <w:spacing w:line="240" w:lineRule="exact"/>
              <w:rPr>
                <w:rFonts w:hint="eastAsia" w:ascii="宋体" w:hAnsi="宋体" w:cs="宋体"/>
                <w:sz w:val="21"/>
                <w:szCs w:val="21"/>
              </w:rPr>
            </w:pPr>
            <w:r>
              <w:rPr>
                <w:rFonts w:hint="eastAsia" w:ascii="宋体" w:hAnsi="宋体" w:cs="宋体"/>
                <w:sz w:val="21"/>
                <w:szCs w:val="21"/>
              </w:rPr>
              <w:t>详见</w:t>
            </w:r>
            <w:r>
              <w:rPr>
                <w:rFonts w:hint="eastAsia" w:ascii="宋体" w:hAnsi="宋体" w:cs="宋体"/>
                <w:sz w:val="21"/>
                <w:szCs w:val="21"/>
                <w:lang w:eastAsia="zh-CN"/>
              </w:rPr>
              <w:t>第二章</w:t>
            </w:r>
            <w:r>
              <w:rPr>
                <w:rFonts w:hint="eastAsia" w:ascii="宋体" w:hAnsi="宋体" w:cs="宋体"/>
                <w:sz w:val="21"/>
                <w:szCs w:val="21"/>
              </w:rPr>
              <w:t>“投标人须知”</w:t>
            </w:r>
          </w:p>
        </w:tc>
      </w:tr>
    </w:tbl>
    <w:p>
      <w:pPr>
        <w:snapToGrid w:val="0"/>
        <w:spacing w:line="400" w:lineRule="exact"/>
        <w:ind w:firstLine="480" w:firstLineChars="200"/>
        <w:rPr>
          <w:rFonts w:ascii="宋体" w:hAnsi="宋体" w:cs="宋体"/>
          <w:kern w:val="0"/>
          <w:sz w:val="24"/>
          <w:szCs w:val="24"/>
        </w:rPr>
      </w:pPr>
    </w:p>
    <w:p>
      <w:pPr>
        <w:spacing w:line="240" w:lineRule="exact"/>
        <w:rPr>
          <w:rFonts w:ascii="宋体" w:hAnsi="宋体" w:cs="宋体"/>
          <w:sz w:val="21"/>
          <w:szCs w:val="21"/>
        </w:rPr>
        <w:sectPr>
          <w:headerReference r:id="rId5" w:type="default"/>
          <w:footerReference r:id="rId6" w:type="default"/>
          <w:pgSz w:w="11907" w:h="16840"/>
          <w:pgMar w:top="1134" w:right="1191" w:bottom="1134" w:left="1304" w:header="964" w:footer="992" w:gutter="0"/>
          <w:cols w:space="720" w:num="1"/>
          <w:docGrid w:linePitch="312" w:charSpace="0"/>
        </w:sectPr>
      </w:pP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2、符合性检查。由评标委员会依据招标文件的规定，从投标文件的有效性、完整性和对招标文件的响应程度进行审查，以确定是否对招标文件的实质性要求作出响应。符合性检查资料表如下：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pPr>
              <w:spacing w:line="240" w:lineRule="exact"/>
              <w:rPr>
                <w:rFonts w:ascii="宋体" w:hAnsi="宋体" w:cs="宋体"/>
                <w:b/>
                <w:kern w:val="0"/>
                <w:sz w:val="21"/>
                <w:szCs w:val="21"/>
              </w:rPr>
            </w:pPr>
            <w:r>
              <w:rPr>
                <w:rFonts w:hint="eastAsia" w:ascii="宋体" w:hAnsi="宋体" w:cs="宋体"/>
                <w:b/>
                <w:kern w:val="0"/>
                <w:sz w:val="21"/>
                <w:szCs w:val="21"/>
              </w:rPr>
              <w:t>序号</w:t>
            </w:r>
          </w:p>
        </w:tc>
        <w:tc>
          <w:tcPr>
            <w:tcW w:w="3544" w:type="dxa"/>
            <w:gridSpan w:val="2"/>
            <w:noWrap/>
            <w:vAlign w:val="center"/>
          </w:tcPr>
          <w:p>
            <w:pPr>
              <w:spacing w:line="240" w:lineRule="exact"/>
              <w:rPr>
                <w:rFonts w:ascii="宋体" w:hAnsi="宋体" w:cs="宋体"/>
                <w:b/>
                <w:kern w:val="0"/>
                <w:sz w:val="21"/>
                <w:szCs w:val="21"/>
              </w:rPr>
            </w:pPr>
            <w:r>
              <w:rPr>
                <w:rFonts w:hint="eastAsia" w:ascii="宋体" w:hAnsi="宋体" w:cs="宋体"/>
                <w:b/>
                <w:kern w:val="0"/>
                <w:sz w:val="21"/>
                <w:szCs w:val="21"/>
              </w:rPr>
              <w:t>评审因素</w:t>
            </w:r>
          </w:p>
        </w:tc>
        <w:tc>
          <w:tcPr>
            <w:tcW w:w="5409" w:type="dxa"/>
            <w:noWrap/>
            <w:vAlign w:val="center"/>
          </w:tcPr>
          <w:p>
            <w:pPr>
              <w:spacing w:line="240" w:lineRule="exact"/>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84" w:type="dxa"/>
            <w:noWrap/>
            <w:vAlign w:val="center"/>
          </w:tcPr>
          <w:p>
            <w:pPr>
              <w:spacing w:line="240" w:lineRule="exact"/>
              <w:rPr>
                <w:rFonts w:ascii="宋体" w:hAnsi="宋体" w:cs="宋体"/>
                <w:kern w:val="0"/>
                <w:sz w:val="21"/>
                <w:szCs w:val="21"/>
              </w:rPr>
            </w:pPr>
            <w:r>
              <w:rPr>
                <w:rFonts w:hint="eastAsia" w:ascii="宋体" w:hAnsi="宋体" w:cs="宋体"/>
                <w:sz w:val="21"/>
                <w:szCs w:val="21"/>
              </w:rPr>
              <w:t>投标文件签署</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kern w:val="0"/>
                <w:sz w:val="21"/>
                <w:szCs w:val="21"/>
              </w:rPr>
            </w:pPr>
          </w:p>
        </w:tc>
        <w:tc>
          <w:tcPr>
            <w:tcW w:w="1984" w:type="dxa"/>
            <w:noWrap/>
            <w:vAlign w:val="center"/>
          </w:tcPr>
          <w:p>
            <w:pPr>
              <w:spacing w:line="240" w:lineRule="exact"/>
              <w:rPr>
                <w:rFonts w:ascii="宋体" w:hAnsi="宋体" w:cs="宋体"/>
                <w:sz w:val="21"/>
                <w:szCs w:val="21"/>
              </w:rPr>
            </w:pPr>
            <w:r>
              <w:rPr>
                <w:rFonts w:hint="eastAsia" w:ascii="宋体" w:hAnsi="宋体" w:cs="宋体"/>
                <w:sz w:val="21"/>
                <w:szCs w:val="21"/>
              </w:rPr>
              <w:t>法定代表人身份证明及授权委托书</w:t>
            </w:r>
          </w:p>
        </w:tc>
        <w:tc>
          <w:tcPr>
            <w:tcW w:w="5409" w:type="dxa"/>
            <w:noWrap/>
            <w:vAlign w:val="center"/>
          </w:tcPr>
          <w:p>
            <w:pPr>
              <w:spacing w:line="240" w:lineRule="exact"/>
              <w:rPr>
                <w:rFonts w:ascii="宋体" w:hAnsi="宋体" w:cs="宋体"/>
                <w:sz w:val="21"/>
                <w:szCs w:val="21"/>
              </w:rPr>
            </w:pPr>
            <w:r>
              <w:rPr>
                <w:rFonts w:hint="eastAsia" w:ascii="宋体" w:hAnsi="宋体" w:cs="宋体"/>
                <w:sz w:val="21"/>
                <w:szCs w:val="21"/>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kern w:val="0"/>
                <w:sz w:val="21"/>
                <w:szCs w:val="21"/>
              </w:rPr>
            </w:pPr>
          </w:p>
        </w:tc>
        <w:tc>
          <w:tcPr>
            <w:tcW w:w="1984" w:type="dxa"/>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投标方案</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kern w:val="0"/>
                <w:sz w:val="21"/>
                <w:szCs w:val="21"/>
              </w:rPr>
            </w:pPr>
          </w:p>
        </w:tc>
        <w:tc>
          <w:tcPr>
            <w:tcW w:w="1984" w:type="dxa"/>
            <w:noWrap/>
            <w:vAlign w:val="center"/>
          </w:tcPr>
          <w:p>
            <w:pPr>
              <w:spacing w:line="240" w:lineRule="exact"/>
              <w:rPr>
                <w:rFonts w:ascii="宋体" w:hAnsi="宋体" w:cs="宋体"/>
                <w:sz w:val="21"/>
                <w:szCs w:val="21"/>
                <w:lang w:val="zh-CN"/>
              </w:rPr>
            </w:pPr>
            <w:r>
              <w:rPr>
                <w:rFonts w:hint="eastAsia" w:ascii="宋体" w:hAnsi="宋体" w:cs="宋体"/>
                <w:sz w:val="21"/>
                <w:szCs w:val="21"/>
              </w:rPr>
              <w:t>报价唯一</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sz w:val="21"/>
                <w:szCs w:val="21"/>
                <w:lang w:val="zh-CN"/>
              </w:rPr>
              <w:t>只能在招标控制价范围内报价，</w:t>
            </w: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5" w:type="dxa"/>
            <w:vMerge w:val="restart"/>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60" w:type="dxa"/>
            <w:vMerge w:val="restart"/>
            <w:noWrap/>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84" w:type="dxa"/>
            <w:noWrap/>
            <w:vAlign w:val="center"/>
          </w:tcPr>
          <w:p>
            <w:pPr>
              <w:spacing w:line="240" w:lineRule="exact"/>
              <w:rPr>
                <w:rFonts w:ascii="宋体" w:hAnsi="宋体" w:cs="宋体"/>
                <w:kern w:val="0"/>
                <w:sz w:val="21"/>
                <w:szCs w:val="21"/>
              </w:rPr>
            </w:pPr>
            <w:r>
              <w:rPr>
                <w:rFonts w:hint="eastAsia" w:ascii="宋体" w:hAnsi="宋体" w:cs="宋体"/>
                <w:sz w:val="21"/>
                <w:szCs w:val="21"/>
                <w:lang w:val="zh-CN"/>
              </w:rPr>
              <w:t>投标文件内容</w:t>
            </w:r>
          </w:p>
        </w:tc>
        <w:tc>
          <w:tcPr>
            <w:tcW w:w="5409" w:type="dxa"/>
            <w:shd w:val="clear" w:color="auto" w:fill="auto"/>
            <w:noWrap/>
            <w:vAlign w:val="center"/>
          </w:tcPr>
          <w:p>
            <w:pPr>
              <w:spacing w:line="240" w:lineRule="exact"/>
              <w:rPr>
                <w:rFonts w:ascii="宋体" w:hAnsi="宋体" w:cs="宋体"/>
                <w:kern w:val="0"/>
                <w:sz w:val="21"/>
                <w:szCs w:val="21"/>
              </w:rPr>
            </w:pPr>
            <w:r>
              <w:rPr>
                <w:rFonts w:hint="eastAsia" w:ascii="宋体" w:hAnsi="宋体" w:cs="宋体"/>
                <w:sz w:val="21"/>
                <w:szCs w:val="21"/>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75" w:type="dxa"/>
            <w:vMerge w:val="continue"/>
            <w:noWrap/>
            <w:vAlign w:val="center"/>
          </w:tcPr>
          <w:p>
            <w:pPr>
              <w:spacing w:line="240" w:lineRule="exact"/>
              <w:jc w:val="center"/>
              <w:rPr>
                <w:rFonts w:ascii="宋体" w:hAnsi="宋体" w:cs="宋体"/>
                <w:kern w:val="0"/>
                <w:sz w:val="21"/>
                <w:szCs w:val="21"/>
              </w:rPr>
            </w:pPr>
          </w:p>
        </w:tc>
        <w:tc>
          <w:tcPr>
            <w:tcW w:w="1560" w:type="dxa"/>
            <w:vMerge w:val="continue"/>
            <w:noWrap/>
            <w:vAlign w:val="center"/>
          </w:tcPr>
          <w:p>
            <w:pPr>
              <w:spacing w:line="240" w:lineRule="exact"/>
              <w:rPr>
                <w:rFonts w:ascii="宋体" w:hAnsi="宋体" w:cs="宋体"/>
                <w:kern w:val="0"/>
                <w:sz w:val="21"/>
                <w:szCs w:val="21"/>
              </w:rPr>
            </w:pPr>
          </w:p>
        </w:tc>
        <w:tc>
          <w:tcPr>
            <w:tcW w:w="1984" w:type="dxa"/>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投标文件格式</w:t>
            </w:r>
          </w:p>
        </w:tc>
        <w:tc>
          <w:tcPr>
            <w:tcW w:w="5409" w:type="dxa"/>
            <w:shd w:val="clear" w:color="auto" w:fill="auto"/>
            <w:noWrap/>
            <w:vAlign w:val="center"/>
          </w:tcPr>
          <w:p>
            <w:pPr>
              <w:spacing w:line="240" w:lineRule="exact"/>
              <w:rPr>
                <w:rFonts w:ascii="宋体" w:hAnsi="宋体" w:cs="宋体"/>
                <w:sz w:val="21"/>
                <w:szCs w:val="21"/>
                <w:lang w:val="zh-CN"/>
              </w:rPr>
            </w:pPr>
            <w:r>
              <w:rPr>
                <w:rFonts w:hint="eastAsia" w:ascii="宋体" w:hAnsi="宋体" w:cs="宋体"/>
                <w:sz w:val="21"/>
                <w:szCs w:val="21"/>
                <w:lang w:val="zh-CN"/>
              </w:rPr>
              <w:t>投标文件必须编制带页码的目录，并和文件内容对应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noWrap/>
            <w:vAlign w:val="center"/>
          </w:tcPr>
          <w:p>
            <w:pPr>
              <w:spacing w:line="240" w:lineRule="exact"/>
              <w:rPr>
                <w:rFonts w:ascii="宋体" w:hAnsi="宋体" w:cs="宋体"/>
                <w:sz w:val="21"/>
                <w:szCs w:val="21"/>
                <w:lang w:val="zh-CN"/>
              </w:rPr>
            </w:pPr>
            <w:r>
              <w:rPr>
                <w:rFonts w:hint="eastAsia" w:ascii="宋体" w:hAnsi="宋体" w:cs="宋体"/>
                <w:kern w:val="0"/>
                <w:sz w:val="21"/>
                <w:szCs w:val="21"/>
              </w:rPr>
              <w:t>招标文件的响应程度审查</w:t>
            </w:r>
          </w:p>
        </w:tc>
        <w:tc>
          <w:tcPr>
            <w:tcW w:w="1984"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投标文件内容</w:t>
            </w:r>
          </w:p>
        </w:tc>
        <w:tc>
          <w:tcPr>
            <w:tcW w:w="5409" w:type="dxa"/>
            <w:noWrap/>
            <w:vAlign w:val="center"/>
          </w:tcPr>
          <w:p>
            <w:pPr>
              <w:pStyle w:val="12"/>
              <w:spacing w:line="240" w:lineRule="exact"/>
              <w:rPr>
                <w:rFonts w:ascii="宋体" w:hAnsi="宋体" w:cs="宋体"/>
                <w:kern w:val="0"/>
                <w:sz w:val="21"/>
                <w:szCs w:val="21"/>
              </w:rPr>
            </w:pPr>
            <w:r>
              <w:rPr>
                <w:rFonts w:hint="eastAsia" w:ascii="宋体" w:hAnsi="宋体" w:cs="宋体"/>
                <w:kern w:val="0"/>
                <w:sz w:val="21"/>
                <w:szCs w:val="21"/>
              </w:rPr>
              <w:t>对招标文件</w:t>
            </w:r>
            <w:r>
              <w:rPr>
                <w:rFonts w:hint="eastAsia" w:ascii="宋体" w:hAnsi="宋体" w:cs="宋体"/>
                <w:kern w:val="0"/>
                <w:sz w:val="21"/>
                <w:szCs w:val="21"/>
                <w:lang w:eastAsia="zh-CN"/>
              </w:rPr>
              <w:t>第二章</w:t>
            </w:r>
            <w:r>
              <w:rPr>
                <w:rFonts w:hint="eastAsia" w:ascii="宋体" w:hAnsi="宋体" w:cs="宋体"/>
                <w:kern w:val="0"/>
                <w:sz w:val="21"/>
                <w:szCs w:val="21"/>
              </w:rPr>
              <w:t>规定的招标内容作出响应。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vMerge w:val="continue"/>
            <w:noWrap/>
            <w:vAlign w:val="center"/>
          </w:tcPr>
          <w:p>
            <w:pPr>
              <w:spacing w:line="240" w:lineRule="exact"/>
              <w:rPr>
                <w:rFonts w:ascii="宋体" w:hAnsi="宋体" w:cs="宋体"/>
                <w:kern w:val="0"/>
                <w:sz w:val="21"/>
                <w:szCs w:val="21"/>
              </w:rPr>
            </w:pPr>
          </w:p>
        </w:tc>
        <w:tc>
          <w:tcPr>
            <w:tcW w:w="1560" w:type="dxa"/>
            <w:vMerge w:val="continue"/>
            <w:noWrap/>
            <w:vAlign w:val="center"/>
          </w:tcPr>
          <w:p>
            <w:pPr>
              <w:spacing w:line="240" w:lineRule="exact"/>
              <w:rPr>
                <w:rFonts w:ascii="宋体" w:hAnsi="宋体" w:cs="宋体"/>
                <w:sz w:val="21"/>
                <w:szCs w:val="21"/>
                <w:lang w:val="zh-CN"/>
              </w:rPr>
            </w:pPr>
          </w:p>
        </w:tc>
        <w:tc>
          <w:tcPr>
            <w:tcW w:w="1984"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投标有效期</w:t>
            </w:r>
          </w:p>
        </w:tc>
        <w:tc>
          <w:tcPr>
            <w:tcW w:w="5409" w:type="dxa"/>
            <w:noWrap/>
            <w:vAlign w:val="center"/>
          </w:tcPr>
          <w:p>
            <w:pPr>
              <w:spacing w:line="240" w:lineRule="exact"/>
              <w:rPr>
                <w:rFonts w:ascii="宋体" w:hAnsi="宋体" w:cs="宋体"/>
                <w:kern w:val="0"/>
                <w:sz w:val="21"/>
                <w:szCs w:val="21"/>
              </w:rPr>
            </w:pPr>
            <w:r>
              <w:rPr>
                <w:rFonts w:hint="eastAsia" w:ascii="宋体" w:hAnsi="宋体" w:cs="宋体"/>
                <w:kern w:val="0"/>
                <w:sz w:val="21"/>
                <w:szCs w:val="21"/>
              </w:rPr>
              <w:t>满足招标文件</w:t>
            </w:r>
            <w:r>
              <w:rPr>
                <w:rFonts w:hint="eastAsia" w:ascii="宋体" w:hAnsi="宋体" w:cs="宋体"/>
                <w:sz w:val="21"/>
                <w:szCs w:val="21"/>
                <w:lang w:val="zh-CN"/>
              </w:rPr>
              <w:t>规定。</w:t>
            </w:r>
          </w:p>
        </w:tc>
      </w:tr>
    </w:tbl>
    <w:p>
      <w:pPr>
        <w:snapToGrid w:val="0"/>
        <w:spacing w:line="400" w:lineRule="exact"/>
        <w:ind w:firstLine="480" w:firstLineChars="200"/>
        <w:rPr>
          <w:rFonts w:ascii="宋体" w:hAnsi="宋体" w:cs="宋体"/>
          <w:sz w:val="24"/>
          <w:szCs w:val="24"/>
        </w:rPr>
      </w:pPr>
      <w:r>
        <w:rPr>
          <w:rFonts w:hint="eastAsia" w:ascii="宋体" w:hAnsi="宋体" w:cs="宋体"/>
          <w:sz w:val="24"/>
          <w:szCs w:val="24"/>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4、比较与评价。按招标文件中规定的评标办法和标准，对资格性检查和符合性检查合格的投标文件进行商务和技术评估。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复核后，评标委员会汇总每个投标人每项评分因素的得分。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5、推荐中标候选人名单。按评审后得分由高到低的排列顺序</w:t>
      </w:r>
      <w:r>
        <w:rPr>
          <w:rFonts w:hint="eastAsia" w:ascii="宋体" w:hAnsi="宋体" w:cs="宋体"/>
          <w:kern w:val="0"/>
          <w:sz w:val="24"/>
          <w:szCs w:val="24"/>
        </w:rPr>
        <w:t>推荐综合得分排名前三的投标人为本分包（项目）中标候选人，</w:t>
      </w:r>
      <w:r>
        <w:rPr>
          <w:rFonts w:hint="eastAsia" w:ascii="宋体" w:hAnsi="宋体" w:cs="宋体"/>
          <w:sz w:val="24"/>
          <w:szCs w:val="24"/>
        </w:rPr>
        <w:t>排名第一的为第一中标候选人。若综合得分相同的，按投标报价由低到高顺序排列；若综合得分且投标报价相同的，按技术指标优劣顺序排列；若综合得分、投标报价、技术指标均相同的，按商务部分的优劣顺序排列。</w:t>
      </w:r>
    </w:p>
    <w:p>
      <w:pPr>
        <w:spacing w:line="400" w:lineRule="exact"/>
        <w:rPr>
          <w:rFonts w:ascii="宋体" w:hAnsi="宋体" w:cs="宋体"/>
          <w:b/>
          <w:bCs/>
          <w:sz w:val="24"/>
          <w:szCs w:val="24"/>
        </w:rPr>
      </w:pPr>
      <w:bookmarkStart w:id="41" w:name="_Toc441065675"/>
      <w:bookmarkStart w:id="42" w:name="_Toc267320057"/>
      <w:r>
        <w:rPr>
          <w:rFonts w:hint="eastAsia" w:ascii="宋体" w:hAnsi="宋体" w:cs="宋体"/>
          <w:b/>
          <w:bCs/>
          <w:sz w:val="24"/>
          <w:szCs w:val="24"/>
        </w:rPr>
        <w:t>二、评标标准</w:t>
      </w:r>
      <w:bookmarkEnd w:id="41"/>
      <w:bookmarkEnd w:id="42"/>
    </w:p>
    <w:tbl>
      <w:tblPr>
        <w:tblStyle w:val="22"/>
        <w:tblW w:w="945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705"/>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gridSpan w:val="2"/>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分值构成</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(总分100分)</w:t>
            </w:r>
          </w:p>
        </w:tc>
        <w:tc>
          <w:tcPr>
            <w:tcW w:w="6398"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报价部分</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0分；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技术部分</w:t>
            </w:r>
            <w:r>
              <w:rPr>
                <w:rFonts w:hint="eastAsia" w:cs="宋体" w:asciiTheme="minorEastAsia" w:hAnsiTheme="minorEastAsia" w:eastAsiaTheme="minorEastAsia"/>
                <w:sz w:val="24"/>
                <w:szCs w:val="24"/>
                <w:lang w:val="en-US" w:eastAsia="zh-CN"/>
              </w:rPr>
              <w:t>70</w:t>
            </w:r>
            <w:r>
              <w:rPr>
                <w:rFonts w:hint="eastAsia" w:cs="宋体" w:asciiTheme="minorEastAsia" w:hAnsiTheme="minorEastAsia" w:eastAsiaTheme="minorEastAsia"/>
                <w:sz w:val="24"/>
                <w:szCs w:val="24"/>
              </w:rPr>
              <w:t>分；</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综合</w:t>
            </w:r>
            <w:r>
              <w:rPr>
                <w:rFonts w:hint="eastAsia" w:cs="宋体" w:asciiTheme="minorEastAsia" w:hAnsiTheme="minorEastAsia" w:eastAsiaTheme="minorEastAsia"/>
                <w:sz w:val="24"/>
                <w:szCs w:val="24"/>
              </w:rPr>
              <w:t>部分</w:t>
            </w:r>
            <w:r>
              <w:rPr>
                <w:rFonts w:hint="eastAsia" w:cs="宋体" w:asciiTheme="minorEastAsia" w:hAnsiTheme="minorEastAsia" w:eastAsiaTheme="minorEastAsia"/>
                <w:sz w:val="24"/>
                <w:szCs w:val="24"/>
                <w:lang w:val="en-US" w:eastAsia="zh-CN"/>
              </w:rPr>
              <w:t>20</w:t>
            </w:r>
            <w:r>
              <w:rPr>
                <w:rFonts w:hint="eastAsia" w:cs="宋体" w:asciiTheme="minorEastAsia" w:hAnsiTheme="minorEastAsia" w:eastAsia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评分项</w:t>
            </w:r>
          </w:p>
        </w:tc>
        <w:tc>
          <w:tcPr>
            <w:tcW w:w="1705"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评分因素</w:t>
            </w:r>
          </w:p>
        </w:tc>
        <w:tc>
          <w:tcPr>
            <w:tcW w:w="6398" w:type="dxa"/>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pPr>
              <w:jc w:val="center"/>
              <w:rPr>
                <w:rFonts w:cs="宋体" w:asciiTheme="minorEastAsia" w:hAnsiTheme="minorEastAsia" w:eastAsiaTheme="minorEastAsia"/>
                <w:sz w:val="24"/>
                <w:szCs w:val="24"/>
              </w:rPr>
            </w:pPr>
          </w:p>
          <w:p>
            <w:pPr>
              <w:jc w:val="center"/>
              <w:rPr>
                <w:rFonts w:cs="宋体" w:asciiTheme="minorEastAsia" w:hAnsiTheme="minorEastAsia" w:eastAsiaTheme="minorEastAsia"/>
                <w:sz w:val="24"/>
                <w:szCs w:val="24"/>
              </w:rPr>
            </w:pPr>
          </w:p>
          <w:p>
            <w:pPr>
              <w:jc w:val="center"/>
              <w:rPr>
                <w:rFonts w:cs="宋体" w:asciiTheme="minorEastAsia" w:hAnsiTheme="minorEastAsia" w:eastAsiaTheme="minorEastAsia"/>
                <w:sz w:val="24"/>
                <w:szCs w:val="24"/>
              </w:rPr>
            </w:pPr>
          </w:p>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报</w:t>
            </w:r>
            <w:r>
              <w:rPr>
                <w:rFonts w:hint="eastAsia" w:cs="宋体" w:asciiTheme="minorEastAsia" w:hAnsiTheme="minorEastAsia" w:eastAsiaTheme="minorEastAsia"/>
                <w:sz w:val="24"/>
                <w:szCs w:val="24"/>
              </w:rPr>
              <w:t>价部分（</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0分）</w:t>
            </w:r>
          </w:p>
        </w:tc>
        <w:tc>
          <w:tcPr>
            <w:tcW w:w="1705" w:type="dxa"/>
            <w:vAlign w:val="center"/>
          </w:tcPr>
          <w:p>
            <w:pPr>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投标报价</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0分）</w:t>
            </w:r>
          </w:p>
        </w:tc>
        <w:tc>
          <w:tcPr>
            <w:tcW w:w="6398" w:type="dxa"/>
            <w:vAlign w:val="center"/>
          </w:tcPr>
          <w:p>
            <w:pPr>
              <w:pStyle w:val="3"/>
              <w:rPr>
                <w:szCs w:val="22"/>
              </w:rPr>
            </w:pPr>
            <w:r>
              <w:rPr>
                <w:rFonts w:hint="eastAsia"/>
                <w:szCs w:val="22"/>
              </w:rPr>
              <w:t>价格分统一采用低价优先法计算，即满足招标文件要求且投标价格最低的投标报价为评标基准价，其价格分为满分。其投标人的价格分统一按照下列公式计算：</w:t>
            </w:r>
          </w:p>
          <w:p>
            <w:pPr>
              <w:pStyle w:val="3"/>
              <w:rPr>
                <w:szCs w:val="22"/>
              </w:rPr>
            </w:pPr>
            <w:r>
              <w:rPr>
                <w:rFonts w:hint="eastAsia"/>
                <w:szCs w:val="22"/>
              </w:rPr>
              <w:t>投标报价得分=（评标基准价/投标报价）×</w:t>
            </w:r>
            <w:r>
              <w:rPr>
                <w:rFonts w:hint="eastAsia"/>
                <w:szCs w:val="22"/>
                <w:lang w:val="en-US" w:eastAsia="zh-CN"/>
              </w:rPr>
              <w:t>1</w:t>
            </w:r>
            <w:r>
              <w:rPr>
                <w:rFonts w:hint="eastAsia"/>
                <w:szCs w:val="22"/>
              </w:rPr>
              <w:t>0</w:t>
            </w:r>
          </w:p>
          <w:p>
            <w:pPr>
              <w:pStyle w:val="3"/>
              <w:rPr>
                <w:szCs w:val="22"/>
              </w:rPr>
            </w:pPr>
            <w:r>
              <w:rPr>
                <w:rFonts w:hint="eastAsia"/>
                <w:szCs w:val="22"/>
              </w:rPr>
              <w:t>注：分值计算保留两位小数。</w:t>
            </w:r>
          </w:p>
          <w:p>
            <w:pPr>
              <w:pStyle w:val="3"/>
              <w:rPr>
                <w:szCs w:val="22"/>
              </w:rPr>
            </w:pPr>
            <w:r>
              <w:rPr>
                <w:rFonts w:hint="eastAsia"/>
                <w:szCs w:val="22"/>
              </w:rPr>
              <w:t>评标委员会发现投标人的投标报价明显低于其他投标报价，使得其投标报价可能低于其个别成本的，应当要求该投标人作出书面说明并提供相应的证明材料，投标人不能合理说明或者不能提供相应证明材料的，由评标委员会认定该投标人以低成本报价竞标，视为无效投标。</w:t>
            </w:r>
          </w:p>
          <w:p>
            <w:pPr>
              <w:pStyle w:val="3"/>
            </w:pPr>
            <w:r>
              <w:rPr>
                <w:rFonts w:hint="eastAsia"/>
              </w:rPr>
              <w:t>本项目专门面向中小微企业采购，不再进行价格扣除。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347" w:type="dxa"/>
            <w:vMerge w:val="restart"/>
            <w:vAlign w:val="center"/>
          </w:tcPr>
          <w:p>
            <w:pPr>
              <w:widowControl/>
              <w:overflowPunct w:val="0"/>
              <w:topLinePunct/>
              <w:ind w:right="140" w:rightChars="50"/>
              <w:jc w:val="center"/>
              <w:rPr>
                <w:rFonts w:hint="eastAsia" w:ascii="宋体" w:hAnsi="宋体" w:cs="宋体"/>
                <w:sz w:val="22"/>
              </w:rPr>
            </w:pPr>
            <w:r>
              <w:rPr>
                <w:rFonts w:hint="eastAsia" w:ascii="宋体" w:hAnsi="宋体" w:cs="宋体"/>
                <w:sz w:val="22"/>
              </w:rPr>
              <w:t>技术部分</w:t>
            </w:r>
          </w:p>
          <w:p>
            <w:pPr>
              <w:widowControl/>
              <w:overflowPunct w:val="0"/>
              <w:topLinePunct/>
              <w:ind w:left="140" w:leftChars="50" w:right="140" w:rightChars="50"/>
              <w:jc w:val="center"/>
              <w:rPr>
                <w:rFonts w:hint="eastAsia" w:cs="宋体" w:asciiTheme="minorEastAsia" w:hAnsiTheme="minorEastAsia" w:eastAsiaTheme="minorEastAsia"/>
                <w:sz w:val="24"/>
                <w:szCs w:val="24"/>
                <w:lang w:eastAsia="zh-CN"/>
              </w:rPr>
            </w:pPr>
            <w:r>
              <w:rPr>
                <w:rFonts w:hint="eastAsia" w:ascii="宋体" w:hAnsi="宋体" w:cs="宋体"/>
                <w:sz w:val="22"/>
              </w:rPr>
              <w:t>（70分）</w:t>
            </w:r>
          </w:p>
        </w:tc>
        <w:tc>
          <w:tcPr>
            <w:tcW w:w="1705" w:type="dxa"/>
            <w:vAlign w:val="center"/>
          </w:tcPr>
          <w:p>
            <w:pPr>
              <w:widowControl/>
              <w:overflowPunct w:val="0"/>
              <w:topLinePunct/>
              <w:ind w:left="140" w:leftChars="50" w:right="140" w:rightChars="50"/>
              <w:jc w:val="center"/>
              <w:rPr>
                <w:rFonts w:hint="eastAsia" w:ascii="宋体" w:hAnsi="宋体" w:eastAsia="宋体" w:cs="宋体"/>
                <w:kern w:val="2"/>
                <w:sz w:val="22"/>
                <w:lang w:val="en-US" w:eastAsia="zh-CN" w:bidi="ar-SA"/>
              </w:rPr>
            </w:pPr>
            <w:r>
              <w:rPr>
                <w:rFonts w:hint="eastAsia" w:ascii="宋体" w:hAnsi="宋体" w:cs="宋体"/>
                <w:sz w:val="22"/>
              </w:rPr>
              <w:t>石龙区重点村（泉上村、北郎店村）项目策划（</w:t>
            </w:r>
            <w:r>
              <w:rPr>
                <w:rFonts w:hint="eastAsia" w:ascii="宋体" w:hAnsi="宋体" w:cs="宋体"/>
                <w:sz w:val="22"/>
                <w:lang w:val="en-US" w:eastAsia="zh-CN"/>
              </w:rPr>
              <w:t>30</w:t>
            </w:r>
            <w:r>
              <w:rPr>
                <w:rFonts w:hint="eastAsia" w:ascii="宋体" w:hAnsi="宋体" w:cs="宋体"/>
                <w:sz w:val="22"/>
              </w:rPr>
              <w:t>分）</w:t>
            </w:r>
          </w:p>
        </w:tc>
        <w:tc>
          <w:tcPr>
            <w:tcW w:w="6398" w:type="dxa"/>
            <w:vAlign w:val="center"/>
          </w:tcPr>
          <w:p>
            <w:pPr>
              <w:widowControl/>
              <w:overflowPunct w:val="0"/>
              <w:topLinePunct/>
              <w:ind w:right="140" w:rightChars="50"/>
              <w:jc w:val="left"/>
              <w:rPr>
                <w:rFonts w:hint="eastAsia" w:ascii="宋体" w:hAnsi="宋体" w:cs="宋体"/>
                <w:sz w:val="22"/>
              </w:rPr>
            </w:pPr>
            <w:r>
              <w:rPr>
                <w:rFonts w:hint="eastAsia" w:ascii="宋体" w:hAnsi="宋体" w:cs="宋体"/>
                <w:sz w:val="22"/>
              </w:rPr>
              <w:t>供应商根据项目采购需求、出具策划与详细规划</w:t>
            </w:r>
            <w:r>
              <w:rPr>
                <w:rFonts w:hint="eastAsia" w:ascii="宋体" w:hAnsi="宋体" w:cs="宋体"/>
                <w:sz w:val="22"/>
                <w:lang w:val="en-US" w:eastAsia="zh-CN"/>
              </w:rPr>
              <w:t>策划</w:t>
            </w:r>
            <w:r>
              <w:rPr>
                <w:rFonts w:hint="eastAsia" w:ascii="宋体" w:hAnsi="宋体" w:cs="宋体"/>
                <w:sz w:val="22"/>
              </w:rPr>
              <w:t>服务方案：</w:t>
            </w:r>
          </w:p>
          <w:p>
            <w:pPr>
              <w:widowControl/>
              <w:overflowPunct w:val="0"/>
              <w:topLinePunct/>
              <w:ind w:right="140" w:rightChars="50"/>
              <w:jc w:val="left"/>
              <w:rPr>
                <w:rFonts w:hint="eastAsia" w:ascii="宋体" w:hAnsi="宋体" w:eastAsia="宋体" w:cs="宋体"/>
                <w:kern w:val="2"/>
                <w:sz w:val="22"/>
                <w:lang w:val="en-US" w:eastAsia="zh-CN" w:bidi="ar-SA"/>
              </w:rPr>
            </w:pPr>
            <w:r>
              <w:rPr>
                <w:rFonts w:hint="eastAsia" w:ascii="宋体" w:hAnsi="宋体" w:cs="宋体"/>
                <w:sz w:val="22"/>
              </w:rPr>
              <w:t>整体策划方案完备、主题鲜明并具有创意性，思路方案的主题性以及品牌性合理、内容完善的</w:t>
            </w:r>
            <w:r>
              <w:rPr>
                <w:rFonts w:hint="eastAsia" w:ascii="宋体" w:hAnsi="宋体" w:cs="宋体"/>
                <w:sz w:val="22"/>
                <w:lang w:val="en-US" w:eastAsia="zh-CN"/>
              </w:rPr>
              <w:t>得</w:t>
            </w:r>
            <w:r>
              <w:rPr>
                <w:rFonts w:hint="eastAsia" w:ascii="宋体" w:hAnsi="宋体" w:cs="宋体"/>
                <w:sz w:val="22"/>
              </w:rPr>
              <w:t>30分；整体策划方案完备、主题较为鲜明、具有创意性，思路方案的主题性以及品牌性合理、内容较为完善的得24分；整体策划方案内容、思路方案的主题性以及品牌性内容一般的得18分；整体策划方案较差的得</w:t>
            </w:r>
            <w:r>
              <w:rPr>
                <w:rFonts w:hint="eastAsia" w:ascii="宋体" w:hAnsi="宋体" w:cs="宋体"/>
                <w:sz w:val="22"/>
                <w:lang w:val="en-US" w:eastAsia="zh-CN"/>
              </w:rPr>
              <w:t>7</w:t>
            </w:r>
            <w:r>
              <w:rPr>
                <w:rFonts w:hint="eastAsia" w:ascii="宋体" w:hAnsi="宋体" w:cs="宋体"/>
                <w:sz w:val="22"/>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347" w:type="dxa"/>
            <w:vMerge w:val="continue"/>
            <w:vAlign w:val="center"/>
          </w:tcPr>
          <w:p>
            <w:pPr>
              <w:jc w:val="center"/>
              <w:rPr>
                <w:rFonts w:cs="宋体" w:asciiTheme="minorEastAsia" w:hAnsiTheme="minorEastAsia" w:eastAsiaTheme="minorEastAsia"/>
                <w:sz w:val="24"/>
                <w:szCs w:val="24"/>
              </w:rPr>
            </w:pPr>
          </w:p>
        </w:tc>
        <w:tc>
          <w:tcPr>
            <w:tcW w:w="1705" w:type="dxa"/>
            <w:vAlign w:val="center"/>
          </w:tcPr>
          <w:p>
            <w:pPr>
              <w:widowControl/>
              <w:overflowPunct w:val="0"/>
              <w:topLinePunct/>
              <w:ind w:left="140" w:leftChars="50" w:right="140" w:rightChars="50"/>
              <w:jc w:val="center"/>
              <w:rPr>
                <w:rFonts w:hint="eastAsia" w:ascii="宋体" w:hAnsi="宋体" w:eastAsia="宋体" w:cs="宋体"/>
                <w:kern w:val="2"/>
                <w:sz w:val="22"/>
                <w:lang w:val="en-US" w:eastAsia="zh-CN" w:bidi="ar-SA"/>
              </w:rPr>
            </w:pPr>
            <w:r>
              <w:rPr>
                <w:rFonts w:hint="eastAsia" w:ascii="宋体" w:hAnsi="宋体" w:cs="宋体"/>
                <w:sz w:val="22"/>
              </w:rPr>
              <w:t>石龙区重点村详细规划设计(</w:t>
            </w:r>
            <w:r>
              <w:rPr>
                <w:rFonts w:hint="eastAsia" w:ascii="宋体" w:hAnsi="宋体" w:cs="宋体"/>
                <w:sz w:val="22"/>
                <w:lang w:val="en-US" w:eastAsia="zh-CN"/>
              </w:rPr>
              <w:t>30</w:t>
            </w:r>
            <w:r>
              <w:rPr>
                <w:rFonts w:hint="eastAsia" w:ascii="宋体" w:hAnsi="宋体" w:cs="宋体"/>
                <w:sz w:val="22"/>
              </w:rPr>
              <w:t>分)</w:t>
            </w:r>
          </w:p>
        </w:tc>
        <w:tc>
          <w:tcPr>
            <w:tcW w:w="6398" w:type="dxa"/>
            <w:vAlign w:val="center"/>
          </w:tcPr>
          <w:p>
            <w:pPr>
              <w:widowControl/>
              <w:overflowPunct w:val="0"/>
              <w:topLinePunct/>
              <w:ind w:right="140" w:rightChars="50"/>
              <w:jc w:val="left"/>
              <w:rPr>
                <w:rFonts w:hint="eastAsia" w:ascii="宋体" w:hAnsi="宋体" w:eastAsia="宋体" w:cs="宋体"/>
                <w:kern w:val="2"/>
                <w:sz w:val="22"/>
                <w:lang w:val="en-US" w:eastAsia="zh-CN" w:bidi="ar-SA"/>
              </w:rPr>
            </w:pPr>
            <w:r>
              <w:rPr>
                <w:rFonts w:hint="eastAsia" w:ascii="宋体" w:hAnsi="宋体" w:cs="宋体"/>
                <w:sz w:val="22"/>
              </w:rPr>
              <w:t>供应商根据项目采购需求，出具</w:t>
            </w:r>
            <w:r>
              <w:rPr>
                <w:rFonts w:hint="eastAsia" w:ascii="宋体" w:hAnsi="宋体" w:cs="宋体"/>
                <w:sz w:val="22"/>
                <w:lang w:val="en-US" w:eastAsia="zh-CN"/>
              </w:rPr>
              <w:t>设计</w:t>
            </w:r>
            <w:r>
              <w:rPr>
                <w:rFonts w:hint="eastAsia" w:ascii="宋体" w:hAnsi="宋体" w:cs="宋体"/>
                <w:sz w:val="22"/>
              </w:rPr>
              <w:t>方案。整体</w:t>
            </w:r>
            <w:r>
              <w:rPr>
                <w:rFonts w:hint="eastAsia" w:ascii="宋体" w:hAnsi="宋体" w:cs="宋体"/>
                <w:sz w:val="22"/>
                <w:lang w:val="en-US" w:eastAsia="zh-CN"/>
              </w:rPr>
              <w:t>设计</w:t>
            </w:r>
            <w:r>
              <w:rPr>
                <w:rFonts w:hint="eastAsia" w:ascii="宋体" w:hAnsi="宋体" w:cs="宋体"/>
                <w:sz w:val="22"/>
              </w:rPr>
              <w:t>方案完备、主题鲜明并具有创意性，思路方案的主题性以及品牌性合理、内容完善的</w:t>
            </w:r>
            <w:r>
              <w:rPr>
                <w:rFonts w:hint="eastAsia" w:ascii="宋体" w:hAnsi="宋体" w:cs="宋体"/>
                <w:sz w:val="22"/>
                <w:lang w:val="en-US" w:eastAsia="zh-CN"/>
              </w:rPr>
              <w:t>得</w:t>
            </w:r>
            <w:r>
              <w:rPr>
                <w:rFonts w:hint="eastAsia" w:ascii="宋体" w:hAnsi="宋体" w:cs="宋体"/>
                <w:sz w:val="22"/>
              </w:rPr>
              <w:t>30分；整体</w:t>
            </w:r>
            <w:r>
              <w:rPr>
                <w:rFonts w:hint="eastAsia" w:ascii="宋体" w:hAnsi="宋体" w:cs="宋体"/>
                <w:sz w:val="22"/>
                <w:lang w:val="en-US" w:eastAsia="zh-CN"/>
              </w:rPr>
              <w:t>设计</w:t>
            </w:r>
            <w:r>
              <w:rPr>
                <w:rFonts w:hint="eastAsia" w:ascii="宋体" w:hAnsi="宋体" w:cs="宋体"/>
                <w:sz w:val="22"/>
              </w:rPr>
              <w:t>方案完备、主题较为鲜明、具有创意性，思路方案的主题性以及品牌性合理、内容较为完善的得24分；整体</w:t>
            </w:r>
            <w:r>
              <w:rPr>
                <w:rFonts w:hint="eastAsia" w:ascii="宋体" w:hAnsi="宋体" w:cs="宋体"/>
                <w:sz w:val="22"/>
                <w:lang w:val="en-US" w:eastAsia="zh-CN"/>
              </w:rPr>
              <w:t>设计</w:t>
            </w:r>
            <w:r>
              <w:rPr>
                <w:rFonts w:hint="eastAsia" w:ascii="宋体" w:hAnsi="宋体" w:cs="宋体"/>
                <w:sz w:val="22"/>
              </w:rPr>
              <w:t>方案内容、思路方案的主题性以及品牌性内容一般的得18分；整体</w:t>
            </w:r>
            <w:r>
              <w:rPr>
                <w:rFonts w:hint="eastAsia" w:ascii="宋体" w:hAnsi="宋体" w:cs="宋体"/>
                <w:sz w:val="22"/>
                <w:lang w:val="en-US" w:eastAsia="zh-CN"/>
              </w:rPr>
              <w:t>设计</w:t>
            </w:r>
            <w:r>
              <w:rPr>
                <w:rFonts w:hint="eastAsia" w:ascii="宋体" w:hAnsi="宋体" w:cs="宋体"/>
                <w:sz w:val="22"/>
              </w:rPr>
              <w:t>方案较差的得</w:t>
            </w:r>
            <w:r>
              <w:rPr>
                <w:rFonts w:hint="eastAsia" w:ascii="宋体" w:hAnsi="宋体" w:cs="宋体"/>
                <w:sz w:val="22"/>
                <w:lang w:val="en-US" w:eastAsia="zh-CN"/>
              </w:rPr>
              <w:t>7</w:t>
            </w:r>
            <w:r>
              <w:rPr>
                <w:rFonts w:hint="eastAsia" w:ascii="宋体" w:hAnsi="宋体" w:cs="宋体"/>
                <w:sz w:val="22"/>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vMerge w:val="continue"/>
            <w:vAlign w:val="center"/>
          </w:tcPr>
          <w:p>
            <w:pPr>
              <w:jc w:val="center"/>
              <w:rPr>
                <w:rFonts w:cs="宋体" w:asciiTheme="minorEastAsia" w:hAnsiTheme="minorEastAsia" w:eastAsiaTheme="minorEastAsia"/>
                <w:sz w:val="24"/>
                <w:szCs w:val="24"/>
              </w:rPr>
            </w:pPr>
          </w:p>
        </w:tc>
        <w:tc>
          <w:tcPr>
            <w:tcW w:w="1705" w:type="dxa"/>
            <w:vAlign w:val="center"/>
          </w:tcPr>
          <w:p>
            <w:pPr>
              <w:widowControl/>
              <w:overflowPunct w:val="0"/>
              <w:topLinePunct/>
              <w:jc w:val="center"/>
              <w:rPr>
                <w:rFonts w:hint="default" w:ascii="宋体" w:hAnsi="宋体" w:eastAsia="宋体" w:cs="宋体"/>
                <w:kern w:val="2"/>
                <w:sz w:val="22"/>
                <w:lang w:val="en-US" w:eastAsia="zh-CN" w:bidi="ar-SA"/>
              </w:rPr>
            </w:pPr>
            <w:r>
              <w:rPr>
                <w:rFonts w:hint="eastAsia" w:ascii="宋体" w:hAnsi="宋体" w:cs="宋体"/>
                <w:sz w:val="22"/>
              </w:rPr>
              <w:t>进度控制措施（</w:t>
            </w:r>
            <w:r>
              <w:rPr>
                <w:rFonts w:hint="eastAsia" w:ascii="宋体" w:hAnsi="宋体" w:cs="宋体"/>
                <w:sz w:val="22"/>
                <w:lang w:val="en-US" w:eastAsia="zh-CN"/>
              </w:rPr>
              <w:t>5</w:t>
            </w:r>
            <w:r>
              <w:rPr>
                <w:rFonts w:hint="eastAsia" w:ascii="宋体" w:hAnsi="宋体" w:cs="宋体"/>
                <w:sz w:val="22"/>
              </w:rPr>
              <w:t>分）</w:t>
            </w:r>
          </w:p>
        </w:tc>
        <w:tc>
          <w:tcPr>
            <w:tcW w:w="6398" w:type="dxa"/>
            <w:vAlign w:val="center"/>
          </w:tcPr>
          <w:p>
            <w:pPr>
              <w:widowControl/>
              <w:overflowPunct w:val="0"/>
              <w:topLinePunct/>
              <w:ind w:right="140" w:rightChars="50"/>
              <w:jc w:val="left"/>
              <w:rPr>
                <w:rFonts w:hint="eastAsia" w:ascii="宋体" w:hAnsi="宋体" w:cs="宋体"/>
                <w:sz w:val="22"/>
              </w:rPr>
            </w:pPr>
            <w:r>
              <w:rPr>
                <w:rFonts w:hint="eastAsia" w:ascii="宋体" w:hAnsi="宋体" w:cs="宋体"/>
                <w:sz w:val="22"/>
              </w:rPr>
              <w:t>结合项目整体要求，提供项目进度控制及保障方案，有明确的任务进度控制安排、进度控制保障措施，保障措施合理、可行、针对性强。</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1、优秀：内容全面、准确、思路清晰合理的得</w:t>
            </w:r>
            <w:r>
              <w:rPr>
                <w:rFonts w:hint="eastAsia" w:ascii="宋体" w:hAnsi="宋体" w:cs="宋体"/>
                <w:sz w:val="22"/>
                <w:lang w:val="en-US" w:eastAsia="zh-CN"/>
              </w:rPr>
              <w:t>5</w:t>
            </w:r>
            <w:r>
              <w:rPr>
                <w:rFonts w:hint="eastAsia" w:ascii="宋体" w:hAnsi="宋体" w:cs="宋体"/>
                <w:sz w:val="22"/>
              </w:rPr>
              <w:t xml:space="preserve">分； </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2、良好：内容较全面、较准确、思路较清晰的得</w:t>
            </w:r>
            <w:r>
              <w:rPr>
                <w:rFonts w:hint="eastAsia" w:ascii="宋体" w:hAnsi="宋体" w:cs="宋体"/>
                <w:sz w:val="22"/>
                <w:lang w:val="en-US" w:eastAsia="zh-CN"/>
              </w:rPr>
              <w:t>4</w:t>
            </w:r>
            <w:r>
              <w:rPr>
                <w:rFonts w:hint="eastAsia" w:ascii="宋体" w:hAnsi="宋体" w:cs="宋体"/>
                <w:sz w:val="22"/>
              </w:rPr>
              <w:t>分；</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3、一般：内容一般、思路一般的得</w:t>
            </w:r>
            <w:r>
              <w:rPr>
                <w:rFonts w:hint="eastAsia" w:ascii="宋体" w:hAnsi="宋体" w:cs="宋体"/>
                <w:sz w:val="22"/>
                <w:lang w:val="en-US" w:eastAsia="zh-CN"/>
              </w:rPr>
              <w:t>3</w:t>
            </w:r>
            <w:r>
              <w:rPr>
                <w:rFonts w:hint="eastAsia" w:ascii="宋体" w:hAnsi="宋体" w:cs="宋体"/>
                <w:sz w:val="22"/>
              </w:rPr>
              <w:t>分；</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4、内容简单较差的得2分。</w:t>
            </w:r>
          </w:p>
          <w:p>
            <w:pPr>
              <w:widowControl/>
              <w:overflowPunct w:val="0"/>
              <w:topLinePunct/>
              <w:ind w:left="140" w:leftChars="50" w:right="140" w:rightChars="50"/>
              <w:jc w:val="left"/>
              <w:rPr>
                <w:rFonts w:hint="eastAsia" w:ascii="宋体" w:hAnsi="宋体" w:eastAsia="宋体" w:cs="宋体"/>
                <w:kern w:val="2"/>
                <w:sz w:val="22"/>
                <w:lang w:val="en-US" w:eastAsia="zh-CN" w:bidi="ar-SA"/>
              </w:rPr>
            </w:pPr>
            <w:r>
              <w:rPr>
                <w:rFonts w:hint="eastAsia" w:ascii="宋体" w:hAnsi="宋体" w:cs="宋体"/>
                <w:sz w:val="22"/>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vMerge w:val="continue"/>
            <w:vAlign w:val="center"/>
          </w:tcPr>
          <w:p>
            <w:pPr>
              <w:jc w:val="center"/>
              <w:rPr>
                <w:rFonts w:cs="宋体" w:asciiTheme="minorEastAsia" w:hAnsiTheme="minorEastAsia" w:eastAsiaTheme="minorEastAsia"/>
                <w:sz w:val="24"/>
                <w:szCs w:val="24"/>
              </w:rPr>
            </w:pPr>
          </w:p>
        </w:tc>
        <w:tc>
          <w:tcPr>
            <w:tcW w:w="1705" w:type="dxa"/>
            <w:vAlign w:val="center"/>
          </w:tcPr>
          <w:p>
            <w:pPr>
              <w:widowControl/>
              <w:overflowPunct w:val="0"/>
              <w:topLinePunct/>
              <w:jc w:val="center"/>
              <w:rPr>
                <w:rFonts w:hint="default" w:ascii="宋体" w:hAnsi="宋体" w:eastAsia="宋体" w:cs="宋体"/>
                <w:kern w:val="2"/>
                <w:sz w:val="22"/>
                <w:lang w:val="en-US" w:eastAsia="zh-CN" w:bidi="ar-SA"/>
              </w:rPr>
            </w:pPr>
            <w:r>
              <w:rPr>
                <w:rFonts w:hint="eastAsia" w:ascii="宋体" w:hAnsi="宋体" w:cs="宋体"/>
                <w:sz w:val="22"/>
              </w:rPr>
              <w:t>项目质量控制及保障方案（</w:t>
            </w:r>
            <w:r>
              <w:rPr>
                <w:rFonts w:hint="eastAsia" w:ascii="宋体" w:hAnsi="宋体" w:cs="宋体"/>
                <w:sz w:val="22"/>
                <w:lang w:val="en-US" w:eastAsia="zh-CN"/>
              </w:rPr>
              <w:t>5</w:t>
            </w:r>
            <w:r>
              <w:rPr>
                <w:rFonts w:hint="eastAsia" w:ascii="宋体" w:hAnsi="宋体" w:cs="宋体"/>
                <w:sz w:val="22"/>
              </w:rPr>
              <w:t>分）</w:t>
            </w:r>
          </w:p>
        </w:tc>
        <w:tc>
          <w:tcPr>
            <w:tcW w:w="6398" w:type="dxa"/>
            <w:vAlign w:val="center"/>
          </w:tcPr>
          <w:p>
            <w:pPr>
              <w:widowControl/>
              <w:overflowPunct w:val="0"/>
              <w:topLinePunct/>
              <w:ind w:right="140" w:rightChars="50"/>
              <w:jc w:val="left"/>
              <w:rPr>
                <w:rFonts w:hint="eastAsia" w:ascii="宋体" w:hAnsi="宋体" w:cs="宋体"/>
                <w:sz w:val="22"/>
              </w:rPr>
            </w:pPr>
            <w:r>
              <w:rPr>
                <w:rFonts w:hint="eastAsia" w:ascii="宋体" w:hAnsi="宋体" w:cs="宋体"/>
                <w:sz w:val="22"/>
              </w:rPr>
              <w:t>结合项目整体要求，提供项目质量控制及保障方案，有明确的建设质量目标、质量保障措施，保障措施合理、可行、针对性强。</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1、优秀：内容全面、准确、思路清晰合理的得</w:t>
            </w:r>
            <w:r>
              <w:rPr>
                <w:rFonts w:hint="eastAsia" w:ascii="宋体" w:hAnsi="宋体" w:cs="宋体"/>
                <w:sz w:val="22"/>
                <w:lang w:val="en-US" w:eastAsia="zh-CN"/>
              </w:rPr>
              <w:t>5</w:t>
            </w:r>
            <w:r>
              <w:rPr>
                <w:rFonts w:hint="eastAsia" w:ascii="宋体" w:hAnsi="宋体" w:cs="宋体"/>
                <w:sz w:val="22"/>
              </w:rPr>
              <w:t xml:space="preserve">分； </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2、良好：内容较全面、较准确、思路较清晰的得</w:t>
            </w:r>
            <w:r>
              <w:rPr>
                <w:rFonts w:hint="eastAsia" w:ascii="宋体" w:hAnsi="宋体" w:cs="宋体"/>
                <w:sz w:val="22"/>
                <w:lang w:val="en-US" w:eastAsia="zh-CN"/>
              </w:rPr>
              <w:t>4</w:t>
            </w:r>
            <w:r>
              <w:rPr>
                <w:rFonts w:hint="eastAsia" w:ascii="宋体" w:hAnsi="宋体" w:cs="宋体"/>
                <w:sz w:val="22"/>
              </w:rPr>
              <w:t>分；</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3、一般：内容一般、思路一般的得3分；</w:t>
            </w:r>
          </w:p>
          <w:p>
            <w:pPr>
              <w:widowControl/>
              <w:overflowPunct w:val="0"/>
              <w:topLinePunct/>
              <w:ind w:left="140" w:leftChars="50" w:right="140" w:rightChars="50"/>
              <w:jc w:val="left"/>
              <w:rPr>
                <w:rFonts w:hint="eastAsia" w:ascii="宋体" w:hAnsi="宋体" w:cs="宋体"/>
                <w:sz w:val="22"/>
              </w:rPr>
            </w:pPr>
            <w:r>
              <w:rPr>
                <w:rFonts w:hint="eastAsia" w:ascii="宋体" w:hAnsi="宋体" w:cs="宋体"/>
                <w:sz w:val="22"/>
              </w:rPr>
              <w:t>4、内容简单较差的得</w:t>
            </w:r>
            <w:r>
              <w:rPr>
                <w:rFonts w:hint="eastAsia" w:ascii="宋体" w:hAnsi="宋体" w:cs="宋体"/>
                <w:sz w:val="22"/>
                <w:lang w:val="en-US" w:eastAsia="zh-CN"/>
              </w:rPr>
              <w:t>2</w:t>
            </w:r>
            <w:r>
              <w:rPr>
                <w:rFonts w:hint="eastAsia" w:ascii="宋体" w:hAnsi="宋体" w:cs="宋体"/>
                <w:sz w:val="22"/>
              </w:rPr>
              <w:t>分。</w:t>
            </w:r>
          </w:p>
          <w:p>
            <w:pPr>
              <w:widowControl/>
              <w:overflowPunct w:val="0"/>
              <w:topLinePunct/>
              <w:ind w:left="140" w:leftChars="50" w:right="140" w:rightChars="50"/>
              <w:jc w:val="left"/>
              <w:rPr>
                <w:rFonts w:hint="eastAsia" w:ascii="宋体" w:hAnsi="宋体" w:eastAsia="宋体" w:cs="宋体"/>
                <w:kern w:val="2"/>
                <w:sz w:val="22"/>
                <w:lang w:val="en-US" w:eastAsia="zh-CN" w:bidi="ar-SA"/>
              </w:rPr>
            </w:pPr>
            <w:r>
              <w:rPr>
                <w:rFonts w:hint="eastAsia" w:ascii="宋体" w:hAnsi="宋体" w:cs="宋体"/>
                <w:sz w:val="22"/>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vMerge w:val="restart"/>
            <w:vAlign w:val="center"/>
          </w:tcPr>
          <w:p>
            <w:pPr>
              <w:widowControl/>
              <w:overflowPunct w:val="0"/>
              <w:topLinePunct/>
              <w:jc w:val="center"/>
              <w:rPr>
                <w:rFonts w:hint="eastAsia" w:ascii="宋体" w:hAnsi="宋体" w:cs="宋体"/>
                <w:sz w:val="22"/>
              </w:rPr>
            </w:pPr>
            <w:r>
              <w:rPr>
                <w:rFonts w:hint="eastAsia" w:ascii="宋体" w:hAnsi="宋体" w:cs="宋体"/>
                <w:sz w:val="22"/>
              </w:rPr>
              <w:t>综合部分</w:t>
            </w:r>
          </w:p>
          <w:p>
            <w:pPr>
              <w:widowControl/>
              <w:overflowPunct w:val="0"/>
              <w:topLinePunct/>
              <w:jc w:val="center"/>
              <w:rPr>
                <w:rFonts w:hint="eastAsia" w:ascii="宋体" w:hAnsi="宋体" w:eastAsia="宋体" w:cs="宋体"/>
                <w:kern w:val="2"/>
                <w:sz w:val="22"/>
                <w:lang w:val="en-US" w:eastAsia="zh-CN" w:bidi="ar-SA"/>
              </w:rPr>
            </w:pPr>
            <w:r>
              <w:rPr>
                <w:rFonts w:hint="eastAsia" w:ascii="宋体" w:hAnsi="宋体" w:cs="宋体"/>
                <w:sz w:val="22"/>
              </w:rPr>
              <w:t>（20分</w:t>
            </w:r>
            <w:r>
              <w:rPr>
                <w:rFonts w:hint="eastAsia" w:ascii="宋体" w:hAnsi="宋体" w:cs="宋体"/>
                <w:sz w:val="22"/>
                <w:lang w:eastAsia="zh-CN"/>
              </w:rPr>
              <w:t>）</w:t>
            </w:r>
          </w:p>
        </w:tc>
        <w:tc>
          <w:tcPr>
            <w:tcW w:w="1705" w:type="dxa"/>
            <w:vAlign w:val="center"/>
          </w:tcPr>
          <w:p>
            <w:pPr>
              <w:widowControl/>
              <w:overflowPunct w:val="0"/>
              <w:topLinePunct/>
              <w:jc w:val="center"/>
              <w:rPr>
                <w:rFonts w:hint="eastAsia" w:ascii="宋体" w:hAnsi="宋体" w:eastAsia="宋体" w:cs="宋体"/>
                <w:color w:val="000000"/>
                <w:kern w:val="2"/>
                <w:sz w:val="22"/>
                <w:lang w:val="en-US" w:eastAsia="zh-CN" w:bidi="ar-SA"/>
              </w:rPr>
            </w:pPr>
            <w:r>
              <w:rPr>
                <w:rFonts w:hint="eastAsia" w:ascii="宋体" w:hAnsi="宋体" w:cs="宋体"/>
                <w:color w:val="000000"/>
                <w:sz w:val="22"/>
                <w:lang w:val="en-US" w:eastAsia="zh-CN"/>
              </w:rPr>
              <w:t>项目组成员业绩（6分）</w:t>
            </w:r>
          </w:p>
        </w:tc>
        <w:tc>
          <w:tcPr>
            <w:tcW w:w="6398" w:type="dxa"/>
            <w:vAlign w:val="center"/>
          </w:tcPr>
          <w:p>
            <w:pPr>
              <w:widowControl/>
              <w:overflowPunct w:val="0"/>
              <w:topLinePunct/>
              <w:jc w:val="left"/>
              <w:rPr>
                <w:rFonts w:hint="eastAsia" w:ascii="宋体" w:hAnsi="宋体" w:cs="宋体"/>
                <w:color w:val="000000"/>
                <w:sz w:val="22"/>
                <w:lang w:val="en-US" w:eastAsia="zh-CN"/>
              </w:rPr>
            </w:pPr>
            <w:r>
              <w:rPr>
                <w:rFonts w:hint="eastAsia" w:ascii="宋体" w:hAnsi="宋体" w:cs="宋体"/>
                <w:color w:val="000000"/>
                <w:sz w:val="22"/>
                <w:lang w:val="en-US" w:eastAsia="zh-CN"/>
              </w:rPr>
              <w:t>项目负责人2020年1月1日（以合同签订时间为准，合同中需要显示项目负责人名字）以来承接过类似项目业绩的，合同中需要显示项目负责人名字，每提供一项得2分，本项最多得2分。</w:t>
            </w:r>
          </w:p>
          <w:p>
            <w:pPr>
              <w:widowControl/>
              <w:overflowPunct w:val="0"/>
              <w:topLinePunct/>
              <w:jc w:val="left"/>
              <w:rPr>
                <w:rFonts w:hint="eastAsia" w:ascii="宋体" w:hAnsi="宋体" w:cs="宋体"/>
                <w:color w:val="000000"/>
                <w:sz w:val="22"/>
                <w:lang w:val="en-US" w:eastAsia="zh-CN"/>
              </w:rPr>
            </w:pPr>
            <w:r>
              <w:rPr>
                <w:rFonts w:hint="eastAsia" w:ascii="宋体" w:hAnsi="宋体" w:cs="宋体"/>
                <w:color w:val="000000"/>
                <w:sz w:val="22"/>
                <w:lang w:val="en-US" w:eastAsia="zh-CN"/>
              </w:rPr>
              <w:t>项目策划负责人2020年1月1日（以合同签订时间为准）以来承接过类似项目业绩的，合同中需要显示项目策划负责人名字，每提供一项得2分，本项最多得2分。</w:t>
            </w:r>
          </w:p>
          <w:p>
            <w:pPr>
              <w:widowControl/>
              <w:overflowPunct w:val="0"/>
              <w:topLinePunct/>
              <w:jc w:val="left"/>
              <w:rPr>
                <w:rFonts w:hint="eastAsia" w:ascii="宋体" w:hAnsi="宋体" w:cs="宋体"/>
                <w:color w:val="000000"/>
                <w:sz w:val="22"/>
                <w:lang w:val="en-US" w:eastAsia="zh-CN"/>
              </w:rPr>
            </w:pPr>
            <w:r>
              <w:rPr>
                <w:rFonts w:hint="eastAsia" w:ascii="宋体" w:hAnsi="宋体" w:cs="宋体"/>
                <w:color w:val="000000"/>
                <w:sz w:val="22"/>
                <w:lang w:val="en-US" w:eastAsia="zh-CN"/>
              </w:rPr>
              <w:t xml:space="preserve">项目总监2020年1月1日（以合同签订时间为准）以来承接过类似项目业绩的，合同中需要显示项目总监名字，每提供一项得2分，本项最多得2分。 </w:t>
            </w:r>
          </w:p>
          <w:p>
            <w:pPr>
              <w:widowControl/>
              <w:overflowPunct w:val="0"/>
              <w:topLinePunct/>
              <w:jc w:val="left"/>
              <w:rPr>
                <w:rFonts w:hint="eastAsia" w:ascii="宋体" w:hAnsi="宋体" w:eastAsia="宋体" w:cs="宋体"/>
                <w:color w:val="000000"/>
                <w:kern w:val="2"/>
                <w:sz w:val="22"/>
                <w:lang w:val="en-US" w:eastAsia="zh-CN" w:bidi="ar-SA"/>
              </w:rPr>
            </w:pPr>
            <w:r>
              <w:rPr>
                <w:rFonts w:hint="eastAsia" w:ascii="宋体" w:hAnsi="宋体" w:cs="宋体"/>
                <w:color w:val="000000"/>
                <w:sz w:val="22"/>
                <w:lang w:val="en-US" w:eastAsia="zh-CN"/>
              </w:rPr>
              <w:t>（注：需在响应文件中附合同原件的扫描件，否则不得分；项目组成员业绩与企业业绩不能重复计算。）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vMerge w:val="continue"/>
            <w:vAlign w:val="center"/>
          </w:tcPr>
          <w:p>
            <w:pPr>
              <w:jc w:val="center"/>
              <w:rPr>
                <w:rFonts w:cs="宋体" w:asciiTheme="minorEastAsia" w:hAnsiTheme="minorEastAsia" w:eastAsiaTheme="minorEastAsia"/>
                <w:sz w:val="24"/>
                <w:szCs w:val="24"/>
              </w:rPr>
            </w:pPr>
          </w:p>
        </w:tc>
        <w:tc>
          <w:tcPr>
            <w:tcW w:w="1705" w:type="dxa"/>
            <w:vAlign w:val="center"/>
          </w:tcPr>
          <w:p>
            <w:pPr>
              <w:widowControl/>
              <w:overflowPunct w:val="0"/>
              <w:topLinePunct/>
              <w:jc w:val="center"/>
              <w:rPr>
                <w:rFonts w:hint="default" w:ascii="宋体" w:hAnsi="宋体" w:eastAsia="宋体" w:cs="宋体"/>
                <w:color w:val="000000"/>
                <w:kern w:val="2"/>
                <w:sz w:val="22"/>
                <w:lang w:val="en-US" w:eastAsia="zh-CN" w:bidi="ar-SA"/>
              </w:rPr>
            </w:pPr>
            <w:r>
              <w:rPr>
                <w:rFonts w:hint="eastAsia" w:ascii="宋体" w:hAnsi="宋体" w:cs="宋体"/>
                <w:color w:val="000000"/>
                <w:sz w:val="22"/>
                <w:lang w:val="en-US" w:eastAsia="zh-CN"/>
              </w:rPr>
              <w:t>服务团队实力（2分）</w:t>
            </w:r>
          </w:p>
        </w:tc>
        <w:tc>
          <w:tcPr>
            <w:tcW w:w="6398" w:type="dxa"/>
            <w:vAlign w:val="center"/>
          </w:tcPr>
          <w:p>
            <w:pPr>
              <w:widowControl/>
              <w:overflowPunct w:val="0"/>
              <w:topLinePunct/>
              <w:jc w:val="left"/>
              <w:rPr>
                <w:rFonts w:hint="eastAsia" w:ascii="宋体" w:hAnsi="宋体" w:eastAsia="宋体" w:cs="宋体"/>
                <w:color w:val="000000"/>
                <w:kern w:val="2"/>
                <w:sz w:val="22"/>
                <w:lang w:val="en-US" w:eastAsia="zh-CN" w:bidi="ar-SA"/>
              </w:rPr>
            </w:pPr>
            <w:r>
              <w:rPr>
                <w:rFonts w:hint="eastAsia" w:ascii="宋体" w:hAnsi="宋体" w:cs="宋体"/>
                <w:color w:val="000000"/>
                <w:sz w:val="22"/>
                <w:lang w:val="en-US" w:eastAsia="zh-CN"/>
              </w:rPr>
              <w:t>供应商针对本项目拟安排服务团队成员达到10人（含）及以上的得2分，未达到10人的不得分。（须在响应文件中附人员名单并附本单位的人员社保近三月任意一月证明。）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47" w:type="dxa"/>
            <w:vMerge w:val="continue"/>
            <w:vAlign w:val="center"/>
          </w:tcPr>
          <w:p>
            <w:pPr>
              <w:jc w:val="center"/>
              <w:rPr>
                <w:rFonts w:cs="宋体" w:asciiTheme="minorEastAsia" w:hAnsiTheme="minorEastAsia" w:eastAsiaTheme="minorEastAsia"/>
                <w:sz w:val="24"/>
                <w:szCs w:val="24"/>
              </w:rPr>
            </w:pPr>
          </w:p>
        </w:tc>
        <w:tc>
          <w:tcPr>
            <w:tcW w:w="1705" w:type="dxa"/>
            <w:vAlign w:val="center"/>
          </w:tcPr>
          <w:p>
            <w:pPr>
              <w:widowControl/>
              <w:overflowPunct w:val="0"/>
              <w:topLinePunct/>
              <w:jc w:val="center"/>
              <w:rPr>
                <w:rFonts w:hint="default" w:ascii="宋体" w:hAnsi="宋体" w:eastAsia="宋体" w:cs="宋体"/>
                <w:color w:val="000000"/>
                <w:kern w:val="2"/>
                <w:sz w:val="22"/>
                <w:lang w:val="en-US" w:eastAsia="zh-CN" w:bidi="ar-SA"/>
              </w:rPr>
            </w:pPr>
            <w:r>
              <w:rPr>
                <w:rFonts w:hint="eastAsia" w:ascii="宋体" w:hAnsi="宋体" w:cs="宋体"/>
                <w:color w:val="000000"/>
                <w:sz w:val="22"/>
              </w:rPr>
              <w:t>企业业绩（12分）</w:t>
            </w:r>
          </w:p>
        </w:tc>
        <w:tc>
          <w:tcPr>
            <w:tcW w:w="6398" w:type="dxa"/>
            <w:vAlign w:val="center"/>
          </w:tcPr>
          <w:p>
            <w:pPr>
              <w:widowControl/>
              <w:overflowPunct w:val="0"/>
              <w:topLinePunct/>
              <w:ind w:right="140" w:rightChars="50"/>
              <w:jc w:val="left"/>
              <w:rPr>
                <w:rFonts w:hint="eastAsia" w:ascii="宋体" w:hAnsi="宋体" w:eastAsia="宋体" w:cs="宋体"/>
                <w:kern w:val="2"/>
                <w:sz w:val="22"/>
                <w:lang w:val="en-US" w:eastAsia="zh-CN" w:bidi="ar-SA"/>
              </w:rPr>
            </w:pPr>
            <w:r>
              <w:rPr>
                <w:rFonts w:hint="eastAsia" w:ascii="宋体" w:hAnsi="宋体" w:cs="宋体"/>
                <w:sz w:val="22"/>
              </w:rPr>
              <w:t>供应商2020年1月1日（以合同签订时间为准）以来承接过类似项目业绩的，每提供一项得4分，本项最多得12分。（需在投标文件中附中标（成交）通知书、合同原件的扫描件，否则不得分）。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50" w:type="dxa"/>
            <w:gridSpan w:val="3"/>
            <w:vAlign w:val="center"/>
          </w:tcPr>
          <w:p>
            <w:pP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投标人最终得分= 报价</w:t>
            </w:r>
            <w:r>
              <w:rPr>
                <w:rFonts w:hint="eastAsia" w:cs="宋体" w:asciiTheme="minorEastAsia" w:hAnsiTheme="minorEastAsia" w:eastAsiaTheme="minorEastAsia"/>
                <w:sz w:val="24"/>
                <w:szCs w:val="24"/>
                <w:lang w:val="en-US" w:eastAsia="zh-CN"/>
              </w:rPr>
              <w:t>部分</w:t>
            </w:r>
            <w:r>
              <w:rPr>
                <w:rFonts w:hint="eastAsia" w:cs="宋体" w:asciiTheme="minorEastAsia" w:hAnsiTheme="minorEastAsia" w:eastAsiaTheme="minorEastAsia"/>
                <w:sz w:val="24"/>
                <w:szCs w:val="24"/>
              </w:rPr>
              <w:t>得分+</w:t>
            </w:r>
            <w:r>
              <w:rPr>
                <w:rFonts w:hint="eastAsia" w:cs="宋体" w:asciiTheme="minorEastAsia" w:hAnsiTheme="minorEastAsia" w:eastAsiaTheme="minorEastAsia"/>
                <w:sz w:val="24"/>
                <w:szCs w:val="24"/>
                <w:lang w:val="en-US" w:eastAsia="zh-CN"/>
              </w:rPr>
              <w:t>技术</w:t>
            </w:r>
            <w:r>
              <w:rPr>
                <w:rFonts w:hint="eastAsia" w:cs="宋体" w:asciiTheme="minorEastAsia" w:hAnsiTheme="minorEastAsia" w:eastAsiaTheme="minorEastAsia"/>
                <w:sz w:val="24"/>
                <w:szCs w:val="24"/>
              </w:rPr>
              <w:t>部分得分</w:t>
            </w:r>
            <w:r>
              <w:rPr>
                <w:rFonts w:hint="eastAsia" w:cs="宋体" w:asciiTheme="minorEastAsia" w:hAnsiTheme="minorEastAsia" w:eastAsiaTheme="minorEastAsia"/>
                <w:sz w:val="24"/>
                <w:szCs w:val="24"/>
                <w:lang w:val="en-US" w:eastAsia="zh-CN"/>
              </w:rPr>
              <w:t>+综合部分得分</w:t>
            </w:r>
          </w:p>
        </w:tc>
      </w:tr>
    </w:tbl>
    <w:p>
      <w:pPr>
        <w:snapToGrid w:val="0"/>
        <w:spacing w:line="400" w:lineRule="exact"/>
        <w:rPr>
          <w:rFonts w:ascii="宋体" w:hAnsi="宋体" w:cs="宋体"/>
          <w:sz w:val="24"/>
          <w:szCs w:val="24"/>
        </w:rPr>
      </w:pPr>
    </w:p>
    <w:p>
      <w:pPr>
        <w:spacing w:line="400" w:lineRule="exact"/>
        <w:ind w:firstLine="482" w:firstLineChars="200"/>
        <w:rPr>
          <w:rFonts w:ascii="宋体" w:hAnsi="宋体" w:cs="宋体"/>
          <w:b/>
          <w:bCs/>
          <w:sz w:val="24"/>
          <w:szCs w:val="24"/>
        </w:rPr>
      </w:pPr>
      <w:bookmarkStart w:id="43" w:name="_Toc441065677"/>
      <w:r>
        <w:rPr>
          <w:rFonts w:hint="eastAsia" w:ascii="宋体" w:hAnsi="宋体" w:cs="宋体"/>
          <w:b/>
          <w:bCs/>
          <w:sz w:val="24"/>
          <w:szCs w:val="24"/>
        </w:rPr>
        <w:t>三、废标条款</w:t>
      </w:r>
      <w:bookmarkEnd w:id="43"/>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评标委员会评审时出现以下情况之一的，应予废标：</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（一）符合专业条件的供应商或者对招标文件作实质响应的供应商不足三家的；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（二）投标人的报价均超过了采购预算，采购人不能支付的；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（四）因重大变故，采购任务取消的。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pPr>
        <w:pStyle w:val="2"/>
        <w:rPr>
          <w:rFonts w:hint="eastAsia" w:ascii="宋体" w:hAnsi="宋体" w:cs="宋体"/>
          <w:sz w:val="24"/>
          <w:szCs w:val="24"/>
        </w:rPr>
      </w:pPr>
    </w:p>
    <w:p>
      <w:pPr>
        <w:pStyle w:val="4"/>
        <w:rPr>
          <w:rFonts w:hint="eastAsia" w:ascii="宋体" w:hAnsi="宋体" w:cs="宋体"/>
          <w:sz w:val="24"/>
          <w:szCs w:val="24"/>
        </w:rPr>
      </w:pPr>
    </w:p>
    <w:p>
      <w:pPr>
        <w:pStyle w:val="6"/>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7"/>
        <w:rPr>
          <w:rFonts w:hint="eastAsia" w:ascii="宋体" w:hAnsi="宋体" w:cs="宋体"/>
          <w:sz w:val="24"/>
          <w:szCs w:val="24"/>
        </w:rPr>
      </w:pPr>
    </w:p>
    <w:p>
      <w:pPr>
        <w:pStyle w:val="2"/>
        <w:ind w:firstLine="240"/>
      </w:pPr>
    </w:p>
    <w:p>
      <w:pPr>
        <w:pStyle w:val="2"/>
        <w:ind w:firstLine="240"/>
      </w:pPr>
    </w:p>
    <w:p>
      <w:pPr>
        <w:pStyle w:val="8"/>
        <w:jc w:val="center"/>
        <w:rPr>
          <w:rFonts w:ascii="宋体" w:hAnsi="宋体" w:cs="宋体"/>
        </w:rPr>
      </w:pPr>
      <w:bookmarkStart w:id="44" w:name="_Toc17894"/>
      <w:bookmarkStart w:id="45" w:name="_Toc10729"/>
      <w:r>
        <w:rPr>
          <w:rFonts w:hint="eastAsia" w:ascii="宋体" w:hAnsi="宋体" w:cs="宋体"/>
        </w:rPr>
        <w:t>第四</w:t>
      </w:r>
      <w:r>
        <w:rPr>
          <w:rFonts w:hint="eastAsia" w:ascii="宋体" w:hAnsi="宋体" w:cs="宋体"/>
          <w:lang w:val="en-US" w:eastAsia="zh-CN"/>
        </w:rPr>
        <w:t>章</w:t>
      </w:r>
      <w:r>
        <w:rPr>
          <w:rFonts w:hint="eastAsia" w:ascii="宋体" w:hAnsi="宋体" w:cs="宋体"/>
        </w:rPr>
        <w:t xml:space="preserve"> 合同条款</w:t>
      </w:r>
      <w:bookmarkEnd w:id="44"/>
      <w:bookmarkEnd w:id="45"/>
    </w:p>
    <w:p>
      <w:pPr>
        <w:spacing w:line="500" w:lineRule="exact"/>
        <w:ind w:firstLine="560" w:firstLineChars="200"/>
        <w:rPr>
          <w:rFonts w:ascii="宋体" w:hAnsi="宋体" w:cs="宋体"/>
        </w:rPr>
      </w:pPr>
    </w:p>
    <w:p>
      <w:pPr>
        <w:spacing w:line="360" w:lineRule="auto"/>
        <w:ind w:firstLine="440" w:firstLineChars="200"/>
        <w:rPr>
          <w:rFonts w:ascii="宋体" w:hAnsi="宋体" w:cs="宋体"/>
          <w:sz w:val="22"/>
          <w:szCs w:val="18"/>
        </w:rPr>
      </w:pPr>
      <w:r>
        <w:rPr>
          <w:rFonts w:hint="eastAsia" w:ascii="宋体" w:hAnsi="宋体" w:cs="宋体"/>
          <w:sz w:val="22"/>
          <w:szCs w:val="18"/>
        </w:rPr>
        <w:t>由采购人和中标人根据《中华人民共和国政府采购法》、《中华人民共和国</w:t>
      </w:r>
      <w:r>
        <w:rPr>
          <w:rFonts w:hint="eastAsia" w:ascii="宋体" w:hAnsi="宋体" w:cs="宋体"/>
          <w:sz w:val="22"/>
          <w:szCs w:val="18"/>
          <w:lang w:val="en-US" w:eastAsia="zh-CN"/>
        </w:rPr>
        <w:t>民</w:t>
      </w:r>
      <w:r>
        <w:rPr>
          <w:rFonts w:hint="eastAsia" w:ascii="宋体" w:hAnsi="宋体" w:cs="宋体"/>
          <w:sz w:val="22"/>
          <w:szCs w:val="18"/>
        </w:rPr>
        <w:t>法</w:t>
      </w:r>
      <w:r>
        <w:rPr>
          <w:rFonts w:hint="eastAsia" w:ascii="宋体" w:hAnsi="宋体" w:cs="宋体"/>
          <w:sz w:val="22"/>
          <w:szCs w:val="18"/>
          <w:lang w:val="en-US" w:eastAsia="zh-CN"/>
        </w:rPr>
        <w:t>典</w:t>
      </w:r>
      <w:r>
        <w:rPr>
          <w:rFonts w:hint="eastAsia" w:ascii="宋体" w:hAnsi="宋体" w:cs="宋体"/>
          <w:sz w:val="22"/>
          <w:szCs w:val="18"/>
        </w:rPr>
        <w:t>》、本项目的采购文件、采购文件的补充、澄清、答疑、成交响应人的响应文件以及国家、省、市相关的规定，双方协商约定后签订。</w:t>
      </w:r>
    </w:p>
    <w:p>
      <w:pPr>
        <w:rPr>
          <w:rFonts w:ascii="宋体" w:hAnsi="宋体" w:cs="宋体"/>
          <w:kern w:val="0"/>
          <w:sz w:val="24"/>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p>
      <w:pPr>
        <w:pStyle w:val="2"/>
        <w:ind w:firstLine="240"/>
        <w:rPr>
          <w:rFonts w:ascii="宋体" w:hAnsi="宋体" w:cs="宋体"/>
          <w:kern w:val="0"/>
          <w:szCs w:val="24"/>
        </w:rPr>
      </w:pPr>
    </w:p>
    <w:bookmarkEnd w:id="6"/>
    <w:p>
      <w:pPr>
        <w:pStyle w:val="8"/>
        <w:numPr>
          <w:ilvl w:val="0"/>
          <w:numId w:val="4"/>
        </w:numPr>
        <w:jc w:val="center"/>
        <w:rPr>
          <w:rFonts w:ascii="宋体" w:hAnsi="宋体" w:cs="宋体"/>
        </w:rPr>
      </w:pPr>
      <w:r>
        <w:rPr>
          <w:rFonts w:hint="eastAsia" w:ascii="宋体" w:hAnsi="宋体" w:cs="宋体"/>
          <w:lang w:val="en-US" w:eastAsia="zh-CN"/>
        </w:rPr>
        <w:t>服务内容</w:t>
      </w:r>
    </w:p>
    <w:p>
      <w:pPr>
        <w:spacing w:line="500" w:lineRule="exac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w:t>
      </w:r>
      <w:bookmarkStart w:id="46" w:name="OLE_LINK12"/>
      <w:bookmarkStart w:id="47" w:name="OLE_LINK14"/>
      <w:bookmarkStart w:id="48" w:name="OLE_LINK8"/>
      <w:bookmarkStart w:id="49" w:name="OLE_LINK11"/>
      <w:bookmarkStart w:id="50" w:name="OLE_LINK13"/>
      <w:bookmarkStart w:id="51" w:name="OLE_LINK7"/>
      <w:r>
        <w:rPr>
          <w:rFonts w:hint="eastAsia" w:ascii="宋体" w:hAnsi="宋体" w:eastAsia="宋体" w:cs="宋体"/>
          <w:b/>
          <w:bCs/>
          <w:color w:val="000000" w:themeColor="text1"/>
          <w:sz w:val="24"/>
          <w:szCs w:val="24"/>
          <w:lang w:eastAsia="zh-CN"/>
          <w14:textFill>
            <w14:solidFill>
              <w14:schemeClr w14:val="tx1"/>
            </w14:solidFill>
          </w14:textFill>
        </w:rPr>
        <w:t>石龙区重点村（泉上村、北郎店村）</w:t>
      </w:r>
      <w:bookmarkEnd w:id="46"/>
      <w:bookmarkEnd w:id="47"/>
      <w:bookmarkEnd w:id="48"/>
      <w:bookmarkEnd w:id="49"/>
      <w:bookmarkEnd w:id="50"/>
      <w:bookmarkEnd w:id="51"/>
      <w:r>
        <w:rPr>
          <w:rFonts w:hint="eastAsia" w:ascii="宋体" w:hAnsi="宋体" w:eastAsia="宋体" w:cs="宋体"/>
          <w:b/>
          <w:bCs/>
          <w:color w:val="000000" w:themeColor="text1"/>
          <w:sz w:val="24"/>
          <w:szCs w:val="24"/>
          <w:lang w:eastAsia="zh-CN"/>
          <w14:textFill>
            <w14:solidFill>
              <w14:schemeClr w14:val="tx1"/>
            </w14:solidFill>
          </w14:textFill>
        </w:rPr>
        <w:t>项目策划服务内容</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（一）市场研究分析</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此部分的工作是项目策划和定位的基础，在打造</w:t>
      </w:r>
      <w:r>
        <w:rPr>
          <w:rFonts w:hint="eastAsia" w:ascii="宋体" w:hAnsi="宋体" w:eastAsia="宋体" w:cs="宋体"/>
          <w:b/>
          <w:bCs/>
          <w:sz w:val="24"/>
          <w:szCs w:val="24"/>
          <w:lang w:eastAsia="zh-CN"/>
        </w:rPr>
        <w:t>泉上村、北郎店村</w:t>
      </w:r>
      <w:r>
        <w:rPr>
          <w:rFonts w:hint="eastAsia" w:ascii="宋体" w:hAnsi="宋体" w:eastAsia="宋体" w:cs="宋体"/>
          <w:sz w:val="24"/>
          <w:szCs w:val="24"/>
          <w:lang w:eastAsia="zh-CN"/>
        </w:rPr>
        <w:t>之前，要对平顶山市及石龙区、龙兴街道及两村的旅游基础、产业情况、行业态势、现有资源、文化民俗、竞争对手、目标消费群体进行深入地了解和分析，针对性的制定项目策略，从而让重点村的建设可以有效的体现文化特色、与竞争对手形成区隔、满足目标消费者需求的目标。体现特色和文化、达成共识、带动旅游、发展经济的目标。</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1、资源及背景分析</w:t>
      </w:r>
    </w:p>
    <w:p>
      <w:pPr>
        <w:pStyle w:val="31"/>
        <w:numPr>
          <w:ilvl w:val="0"/>
          <w:numId w:val="5"/>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此部分资料搜集同时需要贵方配合提供以往相关资料。</w:t>
      </w:r>
    </w:p>
    <w:p>
      <w:pPr>
        <w:pStyle w:val="31"/>
        <w:numPr>
          <w:ilvl w:val="0"/>
          <w:numId w:val="5"/>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旅游资源（人口、交通、景点等）背景资料收集与分析；</w:t>
      </w:r>
    </w:p>
    <w:p>
      <w:pPr>
        <w:pStyle w:val="31"/>
        <w:numPr>
          <w:ilvl w:val="0"/>
          <w:numId w:val="5"/>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重点村所辖区域及乡村历史、文化、特色、民俗资料概况收集与分析；</w:t>
      </w:r>
    </w:p>
    <w:p>
      <w:pPr>
        <w:pStyle w:val="31"/>
        <w:numPr>
          <w:ilvl w:val="0"/>
          <w:numId w:val="5"/>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重点村地形、面貌、环境资料概况收集分析；</w:t>
      </w:r>
    </w:p>
    <w:p>
      <w:pPr>
        <w:pStyle w:val="31"/>
        <w:numPr>
          <w:ilvl w:val="0"/>
          <w:numId w:val="5"/>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特色产品、特色产业资源概况收集及分析；</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2、行业态势及竞争对手调查分析</w:t>
      </w:r>
    </w:p>
    <w:p>
      <w:pPr>
        <w:pStyle w:val="31"/>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行业宏观面分析</w:t>
      </w:r>
    </w:p>
    <w:p>
      <w:pPr>
        <w:pStyle w:val="31"/>
        <w:numPr>
          <w:ilvl w:val="0"/>
          <w:numId w:val="6"/>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行业现状及行业发展分析；</w:t>
      </w:r>
    </w:p>
    <w:p>
      <w:pPr>
        <w:pStyle w:val="31"/>
        <w:numPr>
          <w:ilvl w:val="0"/>
          <w:numId w:val="6"/>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行业内竞争项目研究（项目资产/形象等）</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3、消费者研究</w:t>
      </w:r>
    </w:p>
    <w:p>
      <w:pPr>
        <w:pStyle w:val="31"/>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消费者群体划分</w:t>
      </w:r>
    </w:p>
    <w:p>
      <w:pPr>
        <w:pStyle w:val="31"/>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消费者群体定位分析</w:t>
      </w:r>
    </w:p>
    <w:p>
      <w:pPr>
        <w:pStyle w:val="31"/>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消费者的需求分析</w:t>
      </w:r>
    </w:p>
    <w:p>
      <w:pPr>
        <w:pStyle w:val="31"/>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消费者的习惯分析</w:t>
      </w:r>
    </w:p>
    <w:p>
      <w:pPr>
        <w:pStyle w:val="31"/>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消费者的价值观分析</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（二）重点村项目核心概念策划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项目核心策略是本阶段工作核心部分，决定项目的战略定位、项目区域文化内涵、项目整体视觉风格、产品开发方向、广告传播风格取向。</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1、项目定位策划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2、项目区域文化挖掘</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3、项目核心价值提炼</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4、项目传播口号创意</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（三）重点村特色产品、文创产品开发策划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特色产品是盈利的重要支撑。此项工作的重点，将根据本地特色产品实际和旅游市场基础，开发一系列特色旅游商品。</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1、特色产品、文创产品文化梳理</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2、特色产品、文创产品概念创意</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3、特色产品、文创产品产品开发</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（四）重点村项目传播策略策划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界定传播项目和传播节奏，开发传播工具，完成对项目价值和项目个性的最终演绎。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1、项目构建后的传播策略策划</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2、活动策划</w:t>
      </w:r>
    </w:p>
    <w:p>
      <w:pPr>
        <w:pStyle w:val="31"/>
        <w:numPr>
          <w:ilvl w:val="0"/>
          <w:numId w:val="8"/>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项目主题型活策划及活动节日方向建议</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3、终端传播类传播文案撰写</w:t>
      </w:r>
    </w:p>
    <w:p>
      <w:pPr>
        <w:pStyle w:val="31"/>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传播海报文案撰写</w:t>
      </w:r>
    </w:p>
    <w:p>
      <w:pPr>
        <w:pStyle w:val="31"/>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展架广告画面文案撰写</w:t>
      </w:r>
    </w:p>
    <w:p>
      <w:pPr>
        <w:pStyle w:val="31"/>
        <w:numPr>
          <w:ilvl w:val="0"/>
          <w:numId w:val="9"/>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公交车站站牌广告文案撰写</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4、深度沟通类</w:t>
      </w:r>
    </w:p>
    <w:p>
      <w:pPr>
        <w:pStyle w:val="31"/>
        <w:numPr>
          <w:ilvl w:val="0"/>
          <w:numId w:val="10"/>
        </w:numPr>
        <w:spacing w:line="500" w:lineRule="exact"/>
        <w:rPr>
          <w:rFonts w:hint="eastAsia" w:ascii="宋体" w:hAnsi="宋体" w:eastAsia="宋体" w:cs="宋体"/>
          <w:sz w:val="24"/>
          <w:szCs w:val="24"/>
        </w:rPr>
      </w:pPr>
      <w:r>
        <w:rPr>
          <w:rFonts w:hint="eastAsia" w:ascii="宋体" w:hAnsi="宋体" w:eastAsia="宋体" w:cs="宋体"/>
          <w:sz w:val="24"/>
          <w:szCs w:val="24"/>
        </w:rPr>
        <w:t>宣传文案提炼</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（五）参观及讲解方案策划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1、领导或团队参观游线策划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2、总项目优势提炼</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3、总线路讲解内容安排及撰写</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4、重点节点讲解内容撰写</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5、总项目展示展板设计</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（六）旅游营销及推广建议策划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1、旅游宣传内容策划及资料收集</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2、重点旅游游线策划及内容梳理</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3、OTA平台建议及内容策划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4、旅游推广平台推广方案建议</w:t>
      </w:r>
    </w:p>
    <w:p>
      <w:pPr>
        <w:spacing w:line="500" w:lineRule="exact"/>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二、石龙区重点村详细规划设计服务内容</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（一）重点村乡村功能布局详细规划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结合项目主题，规划设计相关业态，包括旅游参观点、经营业态、旅游配套打造方向等。</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1、重点村游线规划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2、重点村消费业态规划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3、重点村旅游访问节点规划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4、重点村特色景点规划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5、重点村导视及休息区分布规划及设计</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（二）重点村项目形象体系设计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形象是对项目整体策略的表达，在视觉体系的设计上，我们遵循“特色化、准确化、符号化、系统化、实用化”的表达，让形象体系在创建的过程中成为产品的核心资产之一，在后期的应用和传播中有效的展现乡村的特色、提升乡村的价值。</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1、项目主题标识创意</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2、项目主题标识基础要素规范</w:t>
      </w:r>
    </w:p>
    <w:p>
      <w:pPr>
        <w:pStyle w:val="31"/>
        <w:numPr>
          <w:ilvl w:val="0"/>
          <w:numId w:val="11"/>
        </w:numPr>
        <w:spacing w:line="500" w:lineRule="exact"/>
        <w:rPr>
          <w:rFonts w:hint="eastAsia" w:ascii="宋体" w:hAnsi="宋体" w:eastAsia="宋体" w:cs="宋体"/>
          <w:sz w:val="24"/>
          <w:szCs w:val="24"/>
        </w:rPr>
      </w:pPr>
      <w:r>
        <w:rPr>
          <w:rFonts w:hint="eastAsia" w:ascii="宋体" w:hAnsi="宋体" w:eastAsia="宋体" w:cs="宋体"/>
          <w:sz w:val="24"/>
          <w:szCs w:val="24"/>
        </w:rPr>
        <w:t>标志及使用方法规范</w:t>
      </w:r>
    </w:p>
    <w:p>
      <w:pPr>
        <w:pStyle w:val="31"/>
        <w:numPr>
          <w:ilvl w:val="0"/>
          <w:numId w:val="11"/>
        </w:numPr>
        <w:spacing w:line="500" w:lineRule="exact"/>
        <w:rPr>
          <w:rFonts w:hint="eastAsia" w:ascii="宋体" w:hAnsi="宋体" w:eastAsia="宋体" w:cs="宋体"/>
          <w:sz w:val="24"/>
          <w:szCs w:val="24"/>
        </w:rPr>
      </w:pPr>
      <w:r>
        <w:rPr>
          <w:rFonts w:hint="eastAsia" w:ascii="宋体" w:hAnsi="宋体" w:eastAsia="宋体" w:cs="宋体"/>
          <w:sz w:val="24"/>
          <w:szCs w:val="24"/>
        </w:rPr>
        <w:t>标准字体规范</w:t>
      </w:r>
    </w:p>
    <w:p>
      <w:pPr>
        <w:pStyle w:val="31"/>
        <w:numPr>
          <w:ilvl w:val="0"/>
          <w:numId w:val="11"/>
        </w:numPr>
        <w:spacing w:line="500" w:lineRule="exact"/>
        <w:rPr>
          <w:rFonts w:hint="eastAsia" w:ascii="宋体" w:hAnsi="宋体" w:eastAsia="宋体" w:cs="宋体"/>
          <w:sz w:val="24"/>
          <w:szCs w:val="24"/>
        </w:rPr>
      </w:pPr>
      <w:r>
        <w:rPr>
          <w:rFonts w:hint="eastAsia" w:ascii="宋体" w:hAnsi="宋体" w:eastAsia="宋体" w:cs="宋体"/>
          <w:sz w:val="24"/>
          <w:szCs w:val="24"/>
        </w:rPr>
        <w:t>标准色及辅助色规范</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3、项目主题标识配套基本应用规范</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名片、信纸、PPT模版、胸卡、工作证、广告纸杯、手提袋等</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4、项目特色产品+文创包装平面设计</w:t>
      </w:r>
    </w:p>
    <w:p>
      <w:pPr>
        <w:pStyle w:val="31"/>
        <w:numPr>
          <w:ilvl w:val="0"/>
          <w:numId w:val="12"/>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产品包装风格及主题符号确立</w:t>
      </w:r>
    </w:p>
    <w:p>
      <w:pPr>
        <w:pStyle w:val="31"/>
        <w:numPr>
          <w:ilvl w:val="0"/>
          <w:numId w:val="12"/>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特色产品系列+文创产品包装规范设计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注：设计规范确认后可以根据产品的推进去延伸，不同类型的产品包装制作稿。</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5、项目终端传播类创意设计</w:t>
      </w:r>
    </w:p>
    <w:p>
      <w:pPr>
        <w:pStyle w:val="31"/>
        <w:numPr>
          <w:ilvl w:val="0"/>
          <w:numId w:val="13"/>
        </w:numPr>
        <w:spacing w:line="500" w:lineRule="exact"/>
        <w:rPr>
          <w:rFonts w:hint="eastAsia" w:ascii="宋体" w:hAnsi="宋体" w:eastAsia="宋体" w:cs="宋体"/>
          <w:sz w:val="24"/>
          <w:szCs w:val="24"/>
        </w:rPr>
      </w:pPr>
      <w:r>
        <w:rPr>
          <w:rFonts w:hint="eastAsia" w:ascii="宋体" w:hAnsi="宋体" w:eastAsia="宋体" w:cs="宋体"/>
          <w:sz w:val="24"/>
          <w:szCs w:val="24"/>
        </w:rPr>
        <w:t>传播海报设计</w:t>
      </w:r>
    </w:p>
    <w:p>
      <w:pPr>
        <w:pStyle w:val="31"/>
        <w:numPr>
          <w:ilvl w:val="0"/>
          <w:numId w:val="13"/>
        </w:numPr>
        <w:spacing w:line="500" w:lineRule="exact"/>
        <w:rPr>
          <w:rFonts w:hint="eastAsia" w:ascii="宋体" w:hAnsi="宋体" w:eastAsia="宋体" w:cs="宋体"/>
          <w:sz w:val="24"/>
          <w:szCs w:val="24"/>
        </w:rPr>
      </w:pPr>
      <w:r>
        <w:rPr>
          <w:rFonts w:hint="eastAsia" w:ascii="宋体" w:hAnsi="宋体" w:eastAsia="宋体" w:cs="宋体"/>
          <w:sz w:val="24"/>
          <w:szCs w:val="24"/>
        </w:rPr>
        <w:t>展架广告画面设计</w:t>
      </w:r>
    </w:p>
    <w:p>
      <w:pPr>
        <w:pStyle w:val="31"/>
        <w:numPr>
          <w:ilvl w:val="0"/>
          <w:numId w:val="13"/>
        </w:numPr>
        <w:spacing w:line="5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公交车站站牌广告画面设计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6、项目深度沟通类创意设计</w:t>
      </w:r>
    </w:p>
    <w:p>
      <w:pPr>
        <w:pStyle w:val="31"/>
        <w:numPr>
          <w:ilvl w:val="0"/>
          <w:numId w:val="14"/>
        </w:numPr>
        <w:spacing w:line="500" w:lineRule="exact"/>
        <w:rPr>
          <w:rFonts w:hint="eastAsia" w:ascii="宋体" w:hAnsi="宋体" w:eastAsia="宋体" w:cs="宋体"/>
          <w:sz w:val="24"/>
          <w:szCs w:val="24"/>
        </w:rPr>
      </w:pPr>
      <w:r>
        <w:rPr>
          <w:rFonts w:hint="eastAsia" w:ascii="宋体" w:hAnsi="宋体" w:eastAsia="宋体" w:cs="宋体"/>
          <w:sz w:val="24"/>
          <w:szCs w:val="24"/>
        </w:rPr>
        <w:t>宣传折页设计</w:t>
      </w:r>
    </w:p>
    <w:p>
      <w:pPr>
        <w:spacing w:line="500" w:lineRule="exact"/>
        <w:rPr>
          <w:rFonts w:hint="eastAsia" w:ascii="宋体" w:hAnsi="宋体" w:eastAsia="宋体" w:cs="宋体"/>
          <w:sz w:val="24"/>
          <w:szCs w:val="24"/>
          <w:lang w:eastAsia="zh-CN"/>
        </w:rPr>
      </w:pPr>
      <w:r>
        <w:rPr>
          <w:rFonts w:hint="eastAsia" w:ascii="宋体" w:hAnsi="宋体" w:eastAsia="宋体" w:cs="宋体"/>
          <w:b/>
          <w:bCs/>
          <w:sz w:val="24"/>
          <w:szCs w:val="24"/>
          <w:lang w:eastAsia="zh-CN"/>
        </w:rPr>
        <w:t>（三）重点村乡村业态规划及创意设计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业态是生命力，一个村落有一批能持续盈利能力并吸引人的业态，才能有旺盛的生命力，为此需要对现有业态进行系统的梳理与包装，规划延伸一批符合消费者需求同时有持续盈利能力的大小新业态。</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1、重点村现有业态打造方向建议</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2、重点村项目主题新业态打造方向建议</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3、重点村游玩概念业态创意设计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4、主题产业概念型创意设计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5、重点村业态深化设计（主题型业态或游玩概念业态创意）</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以上设计服务含布局设计、概念设计、单体设计示意等，根据实际场地选址后进一步深化设计，不含施工图。</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（四）重点村景观创意及文创小品设计</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1、创意景观设计</w:t>
      </w:r>
    </w:p>
    <w:p>
      <w:pPr>
        <w:pStyle w:val="31"/>
        <w:numPr>
          <w:ilvl w:val="0"/>
          <w:numId w:val="15"/>
        </w:numPr>
        <w:spacing w:line="500" w:lineRule="exact"/>
        <w:rPr>
          <w:rFonts w:hint="eastAsia" w:ascii="宋体" w:hAnsi="宋体" w:eastAsia="宋体" w:cs="宋体"/>
          <w:sz w:val="24"/>
          <w:szCs w:val="24"/>
        </w:rPr>
      </w:pPr>
      <w:r>
        <w:rPr>
          <w:rFonts w:hint="eastAsia" w:ascii="宋体" w:hAnsi="宋体" w:eastAsia="宋体" w:cs="宋体"/>
          <w:sz w:val="24"/>
          <w:szCs w:val="24"/>
        </w:rPr>
        <w:t>入口景观形象创意设计</w:t>
      </w:r>
    </w:p>
    <w:p>
      <w:pPr>
        <w:pStyle w:val="31"/>
        <w:numPr>
          <w:ilvl w:val="0"/>
          <w:numId w:val="15"/>
        </w:numPr>
        <w:spacing w:line="500" w:lineRule="exact"/>
        <w:rPr>
          <w:rFonts w:hint="eastAsia" w:ascii="宋体" w:hAnsi="宋体" w:eastAsia="宋体" w:cs="宋体"/>
          <w:sz w:val="24"/>
          <w:szCs w:val="24"/>
        </w:rPr>
      </w:pPr>
      <w:r>
        <w:rPr>
          <w:rFonts w:hint="eastAsia" w:ascii="宋体" w:hAnsi="宋体" w:eastAsia="宋体" w:cs="宋体"/>
          <w:sz w:val="24"/>
          <w:szCs w:val="24"/>
        </w:rPr>
        <w:t>主题景观创意设计</w:t>
      </w:r>
    </w:p>
    <w:p>
      <w:pPr>
        <w:pStyle w:val="31"/>
        <w:numPr>
          <w:ilvl w:val="0"/>
          <w:numId w:val="15"/>
        </w:numPr>
        <w:spacing w:line="500" w:lineRule="exact"/>
        <w:rPr>
          <w:rFonts w:hint="eastAsia" w:ascii="宋体" w:hAnsi="宋体" w:eastAsia="宋体" w:cs="宋体"/>
          <w:sz w:val="24"/>
          <w:szCs w:val="24"/>
        </w:rPr>
      </w:pPr>
      <w:r>
        <w:rPr>
          <w:rFonts w:hint="eastAsia" w:ascii="宋体" w:hAnsi="宋体" w:eastAsia="宋体" w:cs="宋体"/>
          <w:sz w:val="24"/>
          <w:szCs w:val="24"/>
        </w:rPr>
        <w:t>网红打卡景观创意设计</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2、文创特色小品设计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主题小品创意设计、创意趣味小品设计、休息小品创意设计（座椅、休息区，视整体规划情况而定）、服务小品设计（垃圾桶、路灯等）</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3、指示系统创意设计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入口处总体导视图、欢迎标语牌、各片区方向指引标识牌、立地式道路指示牌、公共设施标识、停车场区域指示牌</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（五）重点村三产融合创意空间打造及外观设计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1、空间主题内容规划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2、室内空间整体布局平面图设计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3、规划设计创意空间总平面图</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4、区域分块图</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5、室内空间业态规划</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6、室内空间的风格及空间布局</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7、其他外立面创意设计</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注：室内空间设计，不包含建筑修复及施工图设计费用。</w:t>
      </w:r>
    </w:p>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（六）景观效果图说明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本服务内容所涉及的创意雕塑及部分创意小品，均为艺术创作，施工以效果图为参考，我方提供施工说明和建议，特殊情况下可与乙方协调进行施工指导。</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1、创意小品效果图及施工说明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2、创意雕塑效果图及施工说明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3、指示系统设计效果图及施工说明</w:t>
      </w: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pStyle w:val="29"/>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rPr>
          <w:rFonts w:hint="eastAsia" w:ascii="宋体" w:hAnsi="宋体" w:eastAsia="宋体" w:cs="宋体"/>
          <w:sz w:val="24"/>
          <w:szCs w:val="24"/>
        </w:rPr>
      </w:pPr>
    </w:p>
    <w:p>
      <w:pPr>
        <w:rPr>
          <w:rFonts w:hint="eastAsia" w:ascii="宋体" w:hAnsi="宋体" w:eastAsia="宋体" w:cs="宋体"/>
          <w:sz w:val="24"/>
          <w:szCs w:val="24"/>
        </w:rPr>
      </w:pPr>
    </w:p>
    <w:p>
      <w:pPr>
        <w:pStyle w:val="29"/>
        <w:rPr>
          <w:rFonts w:hint="eastAsia" w:ascii="宋体" w:hAnsi="宋体" w:eastAsia="宋体" w:cs="宋体"/>
          <w:sz w:val="24"/>
          <w:szCs w:val="24"/>
        </w:rPr>
      </w:pPr>
    </w:p>
    <w:p>
      <w:pPr>
        <w:pStyle w:val="8"/>
        <w:keepLines w:val="0"/>
        <w:tabs>
          <w:tab w:val="left" w:pos="3360"/>
        </w:tabs>
        <w:snapToGrid w:val="0"/>
        <w:ind w:firstLine="2650" w:firstLineChars="600"/>
        <w:rPr>
          <w:rFonts w:ascii="宋体" w:hAnsi="宋体" w:cs="宋体"/>
        </w:rPr>
      </w:pPr>
      <w:bookmarkStart w:id="52" w:name="_Toc5639"/>
      <w:bookmarkStart w:id="53" w:name="_Toc1772"/>
      <w:r>
        <w:rPr>
          <w:rFonts w:hint="eastAsia" w:ascii="宋体" w:hAnsi="宋体" w:cs="宋体"/>
        </w:rPr>
        <w:t>第六</w:t>
      </w:r>
      <w:r>
        <w:rPr>
          <w:rFonts w:hint="eastAsia" w:ascii="宋体" w:hAnsi="宋体" w:cs="宋体"/>
          <w:lang w:val="en-US" w:eastAsia="zh-CN"/>
        </w:rPr>
        <w:t>章</w:t>
      </w:r>
      <w:r>
        <w:rPr>
          <w:rFonts w:hint="eastAsia" w:ascii="宋体" w:hAnsi="宋体" w:cs="宋体"/>
        </w:rPr>
        <w:t xml:space="preserve"> 投标文件格式</w:t>
      </w:r>
      <w:bookmarkEnd w:id="52"/>
      <w:bookmarkEnd w:id="53"/>
    </w:p>
    <w:p>
      <w:pPr>
        <w:tabs>
          <w:tab w:val="left" w:pos="4997"/>
          <w:tab w:val="left" w:pos="8428"/>
        </w:tabs>
        <w:spacing w:before="240" w:after="120"/>
        <w:jc w:val="center"/>
        <w:rPr>
          <w:rFonts w:ascii="宋体" w:hAnsi="宋体" w:cs="宋体"/>
        </w:rPr>
      </w:pPr>
      <w:r>
        <w:rPr>
          <w:rFonts w:hint="eastAsia" w:ascii="宋体" w:hAnsi="宋体" w:cs="宋体"/>
          <w:b/>
          <w:bCs/>
          <w:w w:val="95"/>
          <w:u w:val="single"/>
        </w:rPr>
        <w:t xml:space="preserve">（项目名称）     </w:t>
      </w:r>
    </w:p>
    <w:p>
      <w:pPr>
        <w:pStyle w:val="3"/>
        <w:rPr>
          <w:rFonts w:ascii="宋体" w:hAnsi="宋体" w:cs="宋体"/>
          <w:b/>
          <w:sz w:val="20"/>
        </w:rPr>
      </w:pPr>
    </w:p>
    <w:p>
      <w:pPr>
        <w:pStyle w:val="3"/>
        <w:rPr>
          <w:rFonts w:ascii="宋体" w:hAnsi="宋体" w:cs="宋体"/>
          <w:b/>
          <w:sz w:val="20"/>
        </w:rPr>
      </w:pPr>
    </w:p>
    <w:p>
      <w:pPr>
        <w:pStyle w:val="3"/>
        <w:rPr>
          <w:rFonts w:ascii="宋体" w:hAnsi="宋体" w:cs="宋体"/>
          <w:b/>
          <w:sz w:val="20"/>
        </w:rPr>
      </w:pPr>
    </w:p>
    <w:p>
      <w:pPr>
        <w:pStyle w:val="3"/>
        <w:rPr>
          <w:rFonts w:ascii="宋体" w:hAnsi="宋体" w:cs="宋体"/>
          <w:b/>
          <w:sz w:val="20"/>
        </w:rPr>
      </w:pPr>
    </w:p>
    <w:p>
      <w:pPr>
        <w:pStyle w:val="3"/>
        <w:rPr>
          <w:rFonts w:ascii="宋体" w:hAnsi="宋体" w:cs="宋体"/>
          <w:b/>
          <w:sz w:val="20"/>
        </w:rPr>
      </w:pPr>
    </w:p>
    <w:p>
      <w:pPr>
        <w:pStyle w:val="3"/>
        <w:spacing w:before="9"/>
        <w:rPr>
          <w:rFonts w:ascii="宋体" w:hAnsi="宋体" w:cs="宋体"/>
          <w:b/>
          <w:sz w:val="20"/>
        </w:rPr>
      </w:pPr>
    </w:p>
    <w:p>
      <w:pPr>
        <w:tabs>
          <w:tab w:val="left" w:pos="1460"/>
          <w:tab w:val="left" w:pos="2907"/>
          <w:tab w:val="left" w:pos="4352"/>
        </w:tabs>
        <w:spacing w:line="922" w:lineRule="exact"/>
        <w:ind w:left="15" w:firstLine="2891" w:firstLineChars="400"/>
        <w:rPr>
          <w:rFonts w:ascii="宋体" w:hAnsi="宋体" w:cs="宋体"/>
          <w:b/>
          <w:sz w:val="72"/>
        </w:rPr>
      </w:pPr>
      <w:r>
        <w:rPr>
          <w:rFonts w:hint="eastAsia" w:ascii="宋体" w:hAnsi="宋体" w:cs="宋体"/>
          <w:b/>
          <w:sz w:val="72"/>
        </w:rPr>
        <w:t>投 标</w:t>
      </w:r>
      <w:r>
        <w:rPr>
          <w:rFonts w:hint="eastAsia" w:ascii="宋体" w:hAnsi="宋体" w:cs="宋体"/>
          <w:b/>
          <w:sz w:val="72"/>
        </w:rPr>
        <w:tab/>
      </w:r>
      <w:r>
        <w:rPr>
          <w:rFonts w:hint="eastAsia" w:ascii="宋体" w:hAnsi="宋体" w:cs="宋体"/>
          <w:b/>
          <w:sz w:val="72"/>
        </w:rPr>
        <w:t>文</w:t>
      </w:r>
      <w:r>
        <w:rPr>
          <w:rFonts w:hint="eastAsia" w:ascii="宋体" w:hAnsi="宋体" w:cs="宋体"/>
          <w:b/>
          <w:sz w:val="72"/>
        </w:rPr>
        <w:tab/>
      </w:r>
      <w:r>
        <w:rPr>
          <w:rFonts w:hint="eastAsia" w:ascii="宋体" w:hAnsi="宋体" w:cs="宋体"/>
          <w:b/>
          <w:sz w:val="72"/>
        </w:rPr>
        <w:t xml:space="preserve"> 件</w:t>
      </w:r>
    </w:p>
    <w:p>
      <w:pPr>
        <w:spacing w:before="141"/>
        <w:jc w:val="center"/>
        <w:rPr>
          <w:rFonts w:ascii="宋体" w:hAnsi="宋体" w:cs="宋体"/>
        </w:rPr>
      </w:pPr>
      <w:r>
        <w:rPr>
          <w:rFonts w:hint="eastAsia" w:ascii="宋体" w:hAnsi="宋体" w:cs="宋体"/>
        </w:rPr>
        <w:t>采购</w:t>
      </w:r>
      <w:r>
        <w:rPr>
          <w:rFonts w:hint="eastAsia" w:ascii="宋体" w:hAnsi="宋体" w:cs="宋体"/>
          <w:lang w:val="en-US" w:eastAsia="zh-CN"/>
        </w:rPr>
        <w:t>项目</w:t>
      </w:r>
      <w:r>
        <w:rPr>
          <w:rFonts w:hint="eastAsia" w:ascii="宋体" w:hAnsi="宋体" w:cs="宋体"/>
        </w:rPr>
        <w:t>编号：</w:t>
      </w:r>
    </w:p>
    <w:p>
      <w:pPr>
        <w:pStyle w:val="3"/>
        <w:rPr>
          <w:rFonts w:ascii="宋体" w:hAnsi="宋体" w:cs="宋体"/>
          <w:sz w:val="28"/>
        </w:rPr>
      </w:pPr>
    </w:p>
    <w:p>
      <w:pPr>
        <w:pStyle w:val="3"/>
        <w:rPr>
          <w:rFonts w:ascii="宋体" w:hAnsi="宋体" w:cs="宋体"/>
          <w:sz w:val="28"/>
        </w:rPr>
      </w:pPr>
    </w:p>
    <w:p>
      <w:pPr>
        <w:pStyle w:val="3"/>
        <w:rPr>
          <w:rFonts w:ascii="宋体" w:hAnsi="宋体" w:cs="宋体"/>
          <w:sz w:val="28"/>
        </w:rPr>
      </w:pPr>
    </w:p>
    <w:p>
      <w:pPr>
        <w:pStyle w:val="3"/>
        <w:rPr>
          <w:rFonts w:ascii="宋体" w:hAnsi="宋体" w:cs="宋体"/>
          <w:sz w:val="28"/>
        </w:rPr>
      </w:pPr>
    </w:p>
    <w:p>
      <w:pPr>
        <w:pStyle w:val="3"/>
        <w:rPr>
          <w:rFonts w:ascii="宋体" w:hAnsi="宋体" w:cs="宋体"/>
          <w:sz w:val="28"/>
        </w:rPr>
      </w:pPr>
    </w:p>
    <w:p>
      <w:pPr>
        <w:pStyle w:val="3"/>
        <w:spacing w:before="9"/>
        <w:rPr>
          <w:rFonts w:ascii="宋体" w:hAnsi="宋体" w:cs="宋体"/>
          <w:sz w:val="22"/>
        </w:rPr>
      </w:pPr>
    </w:p>
    <w:p>
      <w:pPr>
        <w:tabs>
          <w:tab w:val="left" w:pos="4661"/>
        </w:tabs>
        <w:spacing w:before="1"/>
        <w:ind w:left="13" w:firstLine="1800" w:firstLineChars="600"/>
        <w:rPr>
          <w:rFonts w:ascii="宋体" w:hAnsi="宋体" w:cs="宋体"/>
          <w:sz w:val="30"/>
        </w:rPr>
      </w:pPr>
      <w:r>
        <w:rPr>
          <w:rFonts w:hint="eastAsia" w:ascii="宋体" w:hAnsi="宋体" w:cs="宋体"/>
          <w:sz w:val="30"/>
        </w:rPr>
        <w:t>投标人名称：</w:t>
      </w:r>
      <w:r>
        <w:rPr>
          <w:rFonts w:hint="eastAsia" w:ascii="宋体" w:hAnsi="宋体" w:cs="宋体"/>
          <w:sz w:val="30"/>
          <w:u w:val="single"/>
        </w:rPr>
        <w:tab/>
      </w:r>
      <w:r>
        <w:rPr>
          <w:rFonts w:hint="eastAsia" w:ascii="宋体" w:hAnsi="宋体" w:cs="宋体"/>
          <w:sz w:val="30"/>
        </w:rPr>
        <w:t>（全称并加盖公章）</w:t>
      </w:r>
    </w:p>
    <w:p>
      <w:pPr>
        <w:pStyle w:val="3"/>
        <w:rPr>
          <w:rFonts w:ascii="宋体" w:hAnsi="宋体" w:cs="宋体"/>
        </w:rPr>
      </w:pPr>
    </w:p>
    <w:p>
      <w:pPr>
        <w:pStyle w:val="3"/>
        <w:spacing w:before="2"/>
        <w:rPr>
          <w:rFonts w:ascii="宋体" w:hAnsi="宋体" w:cs="宋体"/>
          <w:sz w:val="41"/>
        </w:rPr>
      </w:pPr>
    </w:p>
    <w:p>
      <w:pPr>
        <w:tabs>
          <w:tab w:val="left" w:pos="5938"/>
        </w:tabs>
        <w:ind w:left="13" w:firstLine="1200" w:firstLineChars="400"/>
        <w:rPr>
          <w:rFonts w:ascii="宋体" w:hAnsi="宋体" w:cs="宋体"/>
          <w:sz w:val="30"/>
        </w:rPr>
      </w:pPr>
      <w:r>
        <w:rPr>
          <w:rFonts w:hint="eastAsia" w:ascii="宋体" w:hAnsi="宋体" w:cs="宋体"/>
          <w:sz w:val="30"/>
        </w:rPr>
        <w:t>法定代表人或委托代理人：</w:t>
      </w:r>
      <w:r>
        <w:rPr>
          <w:rFonts w:hint="eastAsia" w:ascii="宋体" w:hAnsi="宋体" w:cs="宋体"/>
          <w:sz w:val="30"/>
          <w:u w:val="single"/>
        </w:rPr>
        <w:tab/>
      </w:r>
      <w:r>
        <w:rPr>
          <w:rFonts w:hint="eastAsia" w:ascii="宋体" w:hAnsi="宋体" w:cs="宋体"/>
          <w:sz w:val="30"/>
        </w:rPr>
        <w:t>（签字或盖章）</w:t>
      </w:r>
    </w:p>
    <w:p>
      <w:pPr>
        <w:pStyle w:val="3"/>
        <w:rPr>
          <w:rFonts w:ascii="宋体" w:hAnsi="宋体" w:cs="宋体"/>
          <w:sz w:val="20"/>
        </w:rPr>
      </w:pPr>
    </w:p>
    <w:p>
      <w:pPr>
        <w:pStyle w:val="3"/>
        <w:rPr>
          <w:rFonts w:ascii="宋体" w:hAnsi="宋体" w:cs="宋体"/>
          <w:sz w:val="20"/>
        </w:rPr>
      </w:pPr>
    </w:p>
    <w:p>
      <w:pPr>
        <w:tabs>
          <w:tab w:val="left" w:pos="3660"/>
          <w:tab w:val="left" w:pos="5199"/>
          <w:tab w:val="left" w:pos="6739"/>
        </w:tabs>
        <w:spacing w:before="220"/>
        <w:ind w:left="2400" w:firstLine="822" w:firstLineChars="300"/>
        <w:rPr>
          <w:rFonts w:ascii="宋体" w:hAnsi="宋体" w:cs="宋体"/>
        </w:rPr>
        <w:sectPr>
          <w:footerReference r:id="rId7" w:type="default"/>
          <w:type w:val="nextColumn"/>
          <w:pgSz w:w="11910" w:h="16840"/>
          <w:pgMar w:top="1440" w:right="1080" w:bottom="1440" w:left="1080" w:header="0" w:footer="1135" w:gutter="0"/>
          <w:cols w:space="720" w:num="1"/>
        </w:sectPr>
      </w:pPr>
      <w:r>
        <w:rPr>
          <w:rFonts w:hint="eastAsia" w:ascii="宋体" w:hAnsi="宋体" w:cs="宋体"/>
          <w:spacing w:val="-3"/>
          <w:u w:val="single"/>
        </w:rPr>
        <w:t xml:space="preserve">    </w:t>
      </w:r>
      <w:r>
        <w:rPr>
          <w:rFonts w:hint="eastAsia" w:ascii="宋体" w:hAnsi="宋体" w:cs="宋体"/>
          <w:spacing w:val="-3"/>
        </w:rPr>
        <w:t>年</w:t>
      </w:r>
      <w:r>
        <w:rPr>
          <w:rFonts w:hint="eastAsia" w:ascii="宋体" w:hAnsi="宋体" w:cs="宋体"/>
          <w:spacing w:val="-3"/>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917"/>
        </w:tabs>
        <w:spacing w:before="58"/>
        <w:rPr>
          <w:rFonts w:ascii="宋体" w:hAnsi="宋体" w:cs="宋体"/>
          <w:b/>
          <w:sz w:val="30"/>
        </w:rPr>
      </w:pPr>
      <w:bookmarkStart w:id="54" w:name="目____录"/>
      <w:bookmarkEnd w:id="54"/>
    </w:p>
    <w:p>
      <w:pPr>
        <w:tabs>
          <w:tab w:val="left" w:pos="917"/>
        </w:tabs>
        <w:spacing w:before="58"/>
        <w:ind w:left="15" w:firstLine="4518" w:firstLineChars="1500"/>
        <w:rPr>
          <w:rFonts w:ascii="宋体" w:hAnsi="宋体" w:cs="宋体"/>
          <w:b/>
          <w:sz w:val="30"/>
        </w:rPr>
      </w:pPr>
      <w:r>
        <w:rPr>
          <w:rFonts w:hint="eastAsia" w:ascii="宋体" w:hAnsi="宋体" w:cs="宋体"/>
          <w:b/>
          <w:sz w:val="30"/>
        </w:rPr>
        <w:t>目</w:t>
      </w:r>
      <w:r>
        <w:rPr>
          <w:rFonts w:hint="eastAsia" w:ascii="宋体" w:hAnsi="宋体" w:cs="宋体"/>
          <w:b/>
          <w:sz w:val="30"/>
        </w:rPr>
        <w:tab/>
      </w:r>
      <w:r>
        <w:rPr>
          <w:rFonts w:hint="eastAsia" w:ascii="宋体" w:hAnsi="宋体" w:cs="宋体"/>
          <w:b/>
          <w:sz w:val="30"/>
        </w:rPr>
        <w:t>录</w:t>
      </w:r>
    </w:p>
    <w:p>
      <w:pPr>
        <w:pStyle w:val="3"/>
        <w:spacing w:before="12"/>
        <w:rPr>
          <w:rFonts w:ascii="宋体" w:hAnsi="宋体" w:cs="宋体"/>
          <w:b/>
          <w:sz w:val="25"/>
        </w:rPr>
      </w:pPr>
    </w:p>
    <w:p>
      <w:pPr>
        <w:pStyle w:val="3"/>
        <w:spacing w:before="43" w:line="360" w:lineRule="auto"/>
        <w:rPr>
          <w:rFonts w:hint="eastAsia" w:ascii="宋体" w:hAnsi="宋体" w:cs="宋体"/>
          <w:szCs w:val="24"/>
        </w:rPr>
      </w:pPr>
      <w:r>
        <w:rPr>
          <w:rFonts w:hint="eastAsia" w:ascii="宋体" w:hAnsi="宋体" w:cs="宋体"/>
          <w:szCs w:val="24"/>
        </w:rPr>
        <w:t>一、投标函</w:t>
      </w:r>
    </w:p>
    <w:p>
      <w:pPr>
        <w:pStyle w:val="3"/>
        <w:spacing w:before="43" w:line="360" w:lineRule="auto"/>
        <w:rPr>
          <w:rFonts w:hint="eastAsia" w:ascii="宋体" w:hAnsi="宋体" w:cs="宋体"/>
          <w:szCs w:val="24"/>
        </w:rPr>
      </w:pPr>
      <w:r>
        <w:rPr>
          <w:rFonts w:hint="eastAsia" w:ascii="宋体" w:hAnsi="宋体" w:cs="宋体"/>
          <w:szCs w:val="24"/>
        </w:rPr>
        <w:t>二、投标函附录</w:t>
      </w:r>
    </w:p>
    <w:p>
      <w:pPr>
        <w:pStyle w:val="3"/>
        <w:spacing w:before="43" w:line="360" w:lineRule="auto"/>
        <w:rPr>
          <w:rFonts w:hint="eastAsia" w:ascii="宋体" w:hAnsi="宋体" w:cs="宋体"/>
          <w:szCs w:val="24"/>
        </w:rPr>
      </w:pPr>
      <w:r>
        <w:rPr>
          <w:rFonts w:hint="eastAsia" w:ascii="宋体" w:hAnsi="宋体" w:cs="宋体"/>
          <w:szCs w:val="24"/>
        </w:rPr>
        <w:t>三、法定代表人身份证明</w:t>
      </w:r>
    </w:p>
    <w:p>
      <w:pPr>
        <w:pStyle w:val="3"/>
        <w:spacing w:before="43" w:line="360" w:lineRule="auto"/>
        <w:rPr>
          <w:rFonts w:hint="eastAsia" w:ascii="宋体" w:hAnsi="宋体" w:cs="宋体"/>
          <w:szCs w:val="24"/>
        </w:rPr>
      </w:pPr>
      <w:r>
        <w:rPr>
          <w:rFonts w:hint="eastAsia" w:ascii="宋体" w:hAnsi="宋体" w:cs="宋体"/>
          <w:szCs w:val="24"/>
        </w:rPr>
        <w:t>四、法定代表人授权书</w:t>
      </w:r>
    </w:p>
    <w:p>
      <w:pPr>
        <w:pStyle w:val="3"/>
        <w:spacing w:before="43" w:line="360" w:lineRule="auto"/>
        <w:rPr>
          <w:rFonts w:hint="eastAsia" w:ascii="宋体" w:hAnsi="宋体" w:cs="宋体"/>
          <w:szCs w:val="24"/>
        </w:rPr>
      </w:pPr>
      <w:r>
        <w:rPr>
          <w:rFonts w:hint="eastAsia" w:ascii="宋体" w:hAnsi="宋体" w:cs="宋体"/>
          <w:szCs w:val="24"/>
        </w:rPr>
        <w:t>五、投标承诺函</w:t>
      </w:r>
    </w:p>
    <w:p>
      <w:pPr>
        <w:pStyle w:val="3"/>
        <w:spacing w:before="43" w:line="360" w:lineRule="auto"/>
        <w:rPr>
          <w:rFonts w:hint="eastAsia" w:ascii="宋体" w:hAnsi="宋体" w:cs="宋体"/>
          <w:szCs w:val="24"/>
        </w:rPr>
      </w:pPr>
      <w:r>
        <w:rPr>
          <w:rFonts w:hint="eastAsia" w:ascii="宋体" w:hAnsi="宋体" w:cs="宋体"/>
          <w:szCs w:val="24"/>
          <w:lang w:val="en-US" w:eastAsia="zh-CN"/>
        </w:rPr>
        <w:t>六</w:t>
      </w:r>
      <w:r>
        <w:rPr>
          <w:rFonts w:hint="eastAsia" w:ascii="宋体" w:hAnsi="宋体" w:cs="宋体"/>
          <w:szCs w:val="24"/>
        </w:rPr>
        <w:t>、无重大违法记录声明函（格式自拟）</w:t>
      </w:r>
    </w:p>
    <w:p>
      <w:pPr>
        <w:pStyle w:val="3"/>
        <w:spacing w:before="43" w:line="360" w:lineRule="auto"/>
        <w:rPr>
          <w:rFonts w:hint="eastAsia" w:ascii="宋体" w:hAnsi="宋体" w:cs="宋体"/>
          <w:szCs w:val="24"/>
        </w:rPr>
      </w:pPr>
      <w:r>
        <w:rPr>
          <w:rFonts w:hint="eastAsia" w:ascii="宋体" w:hAnsi="宋体" w:cs="宋体"/>
          <w:szCs w:val="24"/>
          <w:lang w:val="en-US" w:eastAsia="zh-CN"/>
        </w:rPr>
        <w:t>七</w:t>
      </w:r>
      <w:r>
        <w:rPr>
          <w:rFonts w:hint="eastAsia" w:ascii="宋体" w:hAnsi="宋体" w:cs="宋体"/>
          <w:szCs w:val="24"/>
        </w:rPr>
        <w:t>、资格证明文件</w:t>
      </w:r>
    </w:p>
    <w:p>
      <w:pPr>
        <w:pStyle w:val="3"/>
        <w:spacing w:before="43" w:line="360" w:lineRule="auto"/>
        <w:rPr>
          <w:rFonts w:hint="eastAsia" w:ascii="宋体" w:hAnsi="宋体" w:cs="宋体"/>
          <w:szCs w:val="24"/>
        </w:rPr>
      </w:pPr>
      <w:r>
        <w:rPr>
          <w:rFonts w:hint="eastAsia" w:ascii="宋体" w:hAnsi="宋体" w:cs="宋体"/>
          <w:szCs w:val="24"/>
          <w:lang w:val="en-US" w:eastAsia="zh-CN"/>
        </w:rPr>
        <w:t>八</w:t>
      </w:r>
      <w:r>
        <w:rPr>
          <w:rFonts w:hint="eastAsia" w:ascii="宋体" w:hAnsi="宋体" w:cs="宋体"/>
          <w:szCs w:val="24"/>
        </w:rPr>
        <w:t>、质量保证措施</w:t>
      </w:r>
    </w:p>
    <w:p>
      <w:pPr>
        <w:pStyle w:val="3"/>
        <w:spacing w:before="43" w:line="360" w:lineRule="auto"/>
        <w:rPr>
          <w:rFonts w:hint="eastAsia" w:ascii="宋体" w:hAnsi="宋体" w:cs="宋体"/>
          <w:szCs w:val="24"/>
        </w:rPr>
      </w:pPr>
      <w:r>
        <w:rPr>
          <w:rFonts w:hint="eastAsia" w:ascii="宋体" w:hAnsi="宋体" w:cs="宋体"/>
          <w:szCs w:val="24"/>
          <w:lang w:val="en-US" w:eastAsia="zh-CN"/>
        </w:rPr>
        <w:t>九</w:t>
      </w:r>
      <w:r>
        <w:rPr>
          <w:rFonts w:hint="eastAsia" w:ascii="宋体" w:hAnsi="宋体" w:cs="宋体"/>
          <w:szCs w:val="24"/>
        </w:rPr>
        <w:t>、服务承诺</w:t>
      </w:r>
    </w:p>
    <w:p>
      <w:pPr>
        <w:pStyle w:val="3"/>
        <w:spacing w:before="43" w:line="360" w:lineRule="auto"/>
        <w:rPr>
          <w:rFonts w:hint="eastAsia" w:ascii="宋体" w:hAnsi="宋体" w:cs="宋体"/>
          <w:szCs w:val="24"/>
        </w:rPr>
      </w:pPr>
      <w:r>
        <w:rPr>
          <w:rFonts w:hint="eastAsia" w:ascii="宋体" w:hAnsi="宋体" w:cs="宋体"/>
          <w:szCs w:val="24"/>
        </w:rPr>
        <w:t>十、其他证明材料</w:t>
      </w:r>
    </w:p>
    <w:p>
      <w:pPr>
        <w:pStyle w:val="3"/>
        <w:spacing w:before="43" w:line="360" w:lineRule="auto"/>
        <w:rPr>
          <w:rFonts w:hint="eastAsia" w:ascii="宋体" w:hAnsi="宋体" w:cs="宋体"/>
          <w:szCs w:val="24"/>
        </w:rPr>
      </w:pPr>
      <w:r>
        <w:rPr>
          <w:rFonts w:hint="eastAsia" w:ascii="宋体" w:hAnsi="宋体" w:cs="宋体"/>
          <w:szCs w:val="24"/>
        </w:rPr>
        <w:t>十</w:t>
      </w:r>
      <w:r>
        <w:rPr>
          <w:rFonts w:hint="eastAsia" w:ascii="宋体" w:hAnsi="宋体" w:cs="宋体"/>
          <w:szCs w:val="24"/>
          <w:lang w:val="en-US" w:eastAsia="zh-CN"/>
        </w:rPr>
        <w:t>一</w:t>
      </w:r>
      <w:r>
        <w:rPr>
          <w:rFonts w:hint="eastAsia" w:ascii="宋体" w:hAnsi="宋体" w:cs="宋体"/>
          <w:szCs w:val="24"/>
        </w:rPr>
        <w:t>、反商业贿赂承诺书</w:t>
      </w:r>
    </w:p>
    <w:p>
      <w:pPr>
        <w:pStyle w:val="3"/>
        <w:spacing w:before="43" w:line="360" w:lineRule="auto"/>
        <w:rPr>
          <w:rFonts w:hint="eastAsia" w:ascii="宋体" w:hAnsi="宋体" w:cs="宋体"/>
          <w:szCs w:val="24"/>
        </w:rPr>
      </w:pPr>
      <w:r>
        <w:rPr>
          <w:rFonts w:hint="eastAsia" w:ascii="宋体" w:hAnsi="宋体" w:cs="宋体"/>
          <w:szCs w:val="24"/>
        </w:rPr>
        <w:t>十二、中小企业声明函（工程、服务）</w:t>
      </w:r>
    </w:p>
    <w:p>
      <w:pPr>
        <w:pStyle w:val="3"/>
        <w:spacing w:before="43" w:line="360" w:lineRule="auto"/>
        <w:rPr>
          <w:rFonts w:ascii="宋体" w:hAnsi="宋体" w:cs="宋体"/>
          <w:szCs w:val="24"/>
        </w:rPr>
      </w:pPr>
    </w:p>
    <w:p>
      <w:pPr>
        <w:pStyle w:val="3"/>
        <w:spacing w:before="43" w:line="360" w:lineRule="auto"/>
        <w:rPr>
          <w:rFonts w:ascii="宋体" w:hAnsi="宋体" w:cs="宋体"/>
          <w:szCs w:val="24"/>
        </w:rPr>
      </w:pPr>
    </w:p>
    <w:p>
      <w:pPr>
        <w:pStyle w:val="3"/>
        <w:spacing w:before="43" w:line="360" w:lineRule="auto"/>
        <w:rPr>
          <w:rFonts w:ascii="宋体" w:hAnsi="宋体" w:cs="宋体"/>
          <w:szCs w:val="24"/>
        </w:rPr>
      </w:pPr>
    </w:p>
    <w:p>
      <w:pPr>
        <w:pStyle w:val="3"/>
        <w:spacing w:before="43"/>
        <w:rPr>
          <w:rFonts w:ascii="宋体" w:hAnsi="宋体" w:cs="宋体"/>
          <w:szCs w:val="24"/>
        </w:rPr>
        <w:sectPr>
          <w:footerReference r:id="rId8" w:type="default"/>
          <w:type w:val="nextColumn"/>
          <w:pgSz w:w="11910" w:h="16840"/>
          <w:pgMar w:top="1440" w:right="1080" w:bottom="1440" w:left="1080" w:header="0" w:footer="1135" w:gutter="0"/>
          <w:cols w:space="720" w:num="1"/>
        </w:sectPr>
      </w:pPr>
    </w:p>
    <w:p>
      <w:pPr>
        <w:spacing w:before="43"/>
        <w:jc w:val="center"/>
        <w:rPr>
          <w:rFonts w:ascii="宋体" w:hAnsi="宋体" w:cs="宋体"/>
          <w:b/>
          <w:sz w:val="24"/>
        </w:rPr>
      </w:pPr>
      <w:r>
        <w:rPr>
          <w:rFonts w:hint="eastAsia" w:ascii="宋体" w:hAnsi="宋体" w:cs="宋体"/>
          <w:b/>
          <w:sz w:val="24"/>
        </w:rPr>
        <w:t>一、投 标 函</w:t>
      </w:r>
    </w:p>
    <w:p>
      <w:pPr>
        <w:pStyle w:val="3"/>
        <w:spacing w:before="10"/>
        <w:rPr>
          <w:rFonts w:ascii="宋体" w:hAnsi="宋体" w:cs="宋体"/>
          <w:b/>
          <w:sz w:val="15"/>
        </w:rPr>
      </w:pPr>
    </w:p>
    <w:p>
      <w:pPr>
        <w:spacing w:line="360" w:lineRule="auto"/>
        <w:rPr>
          <w:rFonts w:ascii="宋体" w:hAnsi="宋体" w:cs="仿宋"/>
          <w:sz w:val="24"/>
        </w:rPr>
      </w:pPr>
      <w:r>
        <w:rPr>
          <w:rFonts w:hint="eastAsia" w:ascii="宋体" w:hAnsi="宋体" w:cs="仿宋"/>
          <w:sz w:val="24"/>
        </w:rPr>
        <w:t>致：</w:t>
      </w:r>
      <w:r>
        <w:rPr>
          <w:rFonts w:hint="eastAsia" w:ascii="宋体" w:hAnsi="宋体" w:cs="仿宋"/>
          <w:sz w:val="24"/>
          <w:u w:val="single"/>
        </w:rPr>
        <w:t>（采购人）</w:t>
      </w:r>
      <w:r>
        <w:rPr>
          <w:rFonts w:ascii="宋体" w:hAnsi="宋体" w:cs="仿宋"/>
          <w:sz w:val="24"/>
          <w:u w:val="single"/>
        </w:rPr>
        <w:t xml:space="preserve"> </w:t>
      </w:r>
    </w:p>
    <w:p>
      <w:pPr>
        <w:spacing w:line="360" w:lineRule="auto"/>
        <w:ind w:right="-204" w:rightChars="-73" w:firstLine="480" w:firstLineChars="200"/>
        <w:rPr>
          <w:rFonts w:ascii="宋体" w:hAnsi="宋体" w:cs="仿宋"/>
          <w:sz w:val="24"/>
        </w:rPr>
      </w:pPr>
      <w:r>
        <w:rPr>
          <w:rFonts w:hint="eastAsia" w:ascii="宋体" w:hAnsi="宋体" w:cs="仿宋"/>
          <w:sz w:val="24"/>
        </w:rPr>
        <w:t xml:space="preserve"> </w:t>
      </w:r>
      <w:r>
        <w:rPr>
          <w:rFonts w:hint="eastAsia" w:ascii="宋体" w:hAnsi="宋体" w:cs="仿宋"/>
          <w:sz w:val="24"/>
          <w:u w:val="single"/>
        </w:rPr>
        <w:t xml:space="preserve">             </w:t>
      </w:r>
      <w:r>
        <w:rPr>
          <w:rFonts w:hint="eastAsia" w:ascii="宋体" w:hAnsi="宋体" w:cs="仿宋"/>
          <w:sz w:val="24"/>
        </w:rPr>
        <w:t>(供应商全称)授权</w:t>
      </w:r>
      <w:r>
        <w:rPr>
          <w:rFonts w:hint="eastAsia" w:ascii="宋体" w:hAnsi="宋体" w:cs="仿宋"/>
          <w:sz w:val="24"/>
          <w:u w:val="single"/>
        </w:rPr>
        <w:t xml:space="preserve">            </w:t>
      </w:r>
      <w:r>
        <w:rPr>
          <w:rFonts w:hint="eastAsia" w:ascii="宋体" w:hAnsi="宋体" w:cs="仿宋"/>
          <w:sz w:val="24"/>
        </w:rPr>
        <w:t>(供应商代表姓名)为我方代表，参加贵方组织的</w:t>
      </w:r>
      <w:r>
        <w:rPr>
          <w:rFonts w:hint="eastAsia" w:ascii="宋体" w:hAnsi="宋体" w:cs="仿宋"/>
          <w:sz w:val="24"/>
          <w:u w:val="single"/>
        </w:rPr>
        <w:t xml:space="preserve">              （项目名称） </w:t>
      </w:r>
      <w:r>
        <w:rPr>
          <w:rFonts w:hint="eastAsia" w:ascii="宋体" w:hAnsi="宋体" w:cs="仿宋"/>
          <w:sz w:val="24"/>
        </w:rPr>
        <w:t>招标的有关活动，并愿意以人民币（大写）</w:t>
      </w:r>
      <w:r>
        <w:rPr>
          <w:rFonts w:hint="eastAsia" w:ascii="宋体" w:hAnsi="宋体" w:cs="仿宋"/>
          <w:sz w:val="24"/>
          <w:u w:val="single"/>
        </w:rPr>
        <w:t xml:space="preserve">   </w:t>
      </w:r>
      <w:r>
        <w:rPr>
          <w:rFonts w:hint="eastAsia" w:ascii="宋体" w:hAnsi="宋体" w:cs="仿宋"/>
          <w:sz w:val="24"/>
          <w:u w:val="single"/>
          <w:lang w:val="en-US" w:eastAsia="zh-CN"/>
        </w:rPr>
        <w:t xml:space="preserve">  </w:t>
      </w:r>
      <w:r>
        <w:rPr>
          <w:rFonts w:hint="eastAsia" w:ascii="宋体" w:hAnsi="宋体" w:cs="仿宋"/>
          <w:sz w:val="24"/>
          <w:u w:val="single"/>
        </w:rPr>
        <w:t xml:space="preserve">    </w:t>
      </w:r>
      <w:r>
        <w:rPr>
          <w:rFonts w:hint="eastAsia" w:ascii="宋体" w:hAnsi="宋体" w:cs="仿宋"/>
          <w:sz w:val="24"/>
        </w:rPr>
        <w:t>，（小写）</w:t>
      </w:r>
      <w:r>
        <w:rPr>
          <w:rFonts w:hint="eastAsia" w:ascii="宋体" w:hAnsi="宋体" w:cs="仿宋"/>
          <w:sz w:val="24"/>
          <w:u w:val="single"/>
        </w:rPr>
        <w:t xml:space="preserve">         </w:t>
      </w:r>
      <w:r>
        <w:rPr>
          <w:rFonts w:hint="eastAsia" w:ascii="宋体" w:hAnsi="宋体" w:cs="仿宋"/>
          <w:sz w:val="24"/>
        </w:rPr>
        <w:t>元的投标报价，</w:t>
      </w:r>
      <w:r>
        <w:rPr>
          <w:rFonts w:hint="eastAsia" w:ascii="宋体" w:hAnsi="宋体" w:cs="仿宋"/>
          <w:sz w:val="24"/>
          <w:lang w:val="en-US" w:eastAsia="zh-CN"/>
        </w:rPr>
        <w:t>服务期限</w:t>
      </w:r>
      <w:r>
        <w:rPr>
          <w:rFonts w:hint="eastAsia" w:ascii="宋体" w:hAnsi="宋体" w:cs="仿宋"/>
          <w:sz w:val="24"/>
          <w:u w:val="single"/>
        </w:rPr>
        <w:t xml:space="preserve">      </w:t>
      </w:r>
      <w:r>
        <w:rPr>
          <w:rFonts w:hint="eastAsia" w:ascii="宋体" w:hAnsi="宋体" w:cs="仿宋"/>
          <w:sz w:val="24"/>
        </w:rPr>
        <w:t>，质量标准</w:t>
      </w:r>
      <w:r>
        <w:rPr>
          <w:rFonts w:hint="eastAsia" w:ascii="宋体" w:hAnsi="宋体" w:cs="仿宋"/>
          <w:sz w:val="24"/>
          <w:u w:val="single"/>
        </w:rPr>
        <w:t xml:space="preserve">      </w:t>
      </w:r>
      <w:r>
        <w:rPr>
          <w:rFonts w:hint="eastAsia" w:ascii="宋体" w:hAnsi="宋体" w:cs="仿宋"/>
          <w:sz w:val="24"/>
        </w:rPr>
        <w:t>，并按合同约定实施和完成项目全部内容及任何缺陷，实现项目目的。为此：</w:t>
      </w:r>
      <w:r>
        <w:rPr>
          <w:rFonts w:ascii="宋体" w:hAnsi="宋体" w:cs="仿宋"/>
          <w:sz w:val="24"/>
        </w:rPr>
        <w:t xml:space="preserve"> </w:t>
      </w:r>
    </w:p>
    <w:p>
      <w:pPr>
        <w:spacing w:line="360" w:lineRule="auto"/>
        <w:ind w:firstLine="480" w:firstLineChars="200"/>
        <w:rPr>
          <w:rFonts w:ascii="宋体" w:hAnsi="宋体" w:cs="仿宋"/>
          <w:sz w:val="24"/>
        </w:rPr>
      </w:pPr>
      <w:r>
        <w:rPr>
          <w:rFonts w:hint="eastAsia" w:ascii="宋体" w:hAnsi="宋体" w:cs="仿宋"/>
          <w:sz w:val="24"/>
        </w:rPr>
        <w:t>1. 我方同意所提交的投标文件投标有效期为</w:t>
      </w:r>
      <w:r>
        <w:rPr>
          <w:rFonts w:hint="eastAsia" w:ascii="宋体" w:hAnsi="宋体" w:cs="仿宋"/>
          <w:sz w:val="24"/>
          <w:u w:val="single"/>
        </w:rPr>
        <w:t xml:space="preserve">       </w:t>
      </w:r>
      <w:r>
        <w:rPr>
          <w:rFonts w:hint="eastAsia" w:ascii="宋体" w:hAnsi="宋体" w:cs="仿宋"/>
          <w:sz w:val="24"/>
        </w:rPr>
        <w:t>日历天，在此期间内如果中标，我方将受此约束。</w:t>
      </w:r>
    </w:p>
    <w:p>
      <w:pPr>
        <w:spacing w:line="360" w:lineRule="auto"/>
        <w:ind w:firstLine="480" w:firstLineChars="200"/>
        <w:rPr>
          <w:rFonts w:ascii="宋体" w:hAnsi="宋体" w:cs="仿宋"/>
          <w:sz w:val="24"/>
        </w:rPr>
      </w:pPr>
      <w:r>
        <w:rPr>
          <w:rFonts w:hint="eastAsia" w:ascii="宋体" w:hAnsi="宋体" w:cs="仿宋"/>
          <w:sz w:val="24"/>
        </w:rPr>
        <w:t>2. 提供投标须知规定的全部投标文件，并对之负法律责任。</w:t>
      </w:r>
    </w:p>
    <w:p>
      <w:pPr>
        <w:spacing w:line="360" w:lineRule="auto"/>
        <w:ind w:firstLine="480" w:firstLineChars="200"/>
        <w:rPr>
          <w:rFonts w:ascii="宋体" w:hAnsi="宋体" w:cs="仿宋"/>
          <w:sz w:val="24"/>
          <w:u w:val="single"/>
        </w:rPr>
      </w:pPr>
      <w:r>
        <w:rPr>
          <w:rFonts w:hint="eastAsia" w:ascii="宋体" w:hAnsi="宋体" w:cs="仿宋"/>
          <w:sz w:val="24"/>
        </w:rPr>
        <w:t>3. 保证遵守招标文件的规定，忠实地执行双方所签订的合同，并承担合同规定的责任和义务。</w:t>
      </w:r>
    </w:p>
    <w:p>
      <w:pPr>
        <w:spacing w:line="360" w:lineRule="auto"/>
        <w:ind w:firstLine="480" w:firstLineChars="200"/>
        <w:rPr>
          <w:rFonts w:ascii="宋体" w:hAnsi="宋体" w:cs="仿宋"/>
          <w:sz w:val="24"/>
        </w:rPr>
      </w:pPr>
      <w:r>
        <w:rPr>
          <w:rFonts w:hint="eastAsia" w:ascii="宋体" w:hAnsi="宋体" w:cs="仿宋"/>
          <w:sz w:val="24"/>
        </w:rPr>
        <w:t>4. 我方愿意向贵方提供任何与本项投标有关的数据、情况和技术资料。若贵方需要，我方愿意提供我方作出的一切承诺的证明材料。</w:t>
      </w:r>
    </w:p>
    <w:p>
      <w:pPr>
        <w:spacing w:line="360" w:lineRule="auto"/>
        <w:ind w:firstLine="480" w:firstLineChars="200"/>
        <w:rPr>
          <w:rFonts w:ascii="宋体" w:hAnsi="宋体" w:cs="仿宋"/>
          <w:sz w:val="24"/>
        </w:rPr>
      </w:pPr>
      <w:r>
        <w:rPr>
          <w:rFonts w:hint="eastAsia" w:ascii="宋体" w:hAnsi="宋体" w:cs="仿宋"/>
          <w:sz w:val="24"/>
        </w:rPr>
        <w:t>5. 我方已详细审核全部招标文件，包括投标文件修改书（如有的话）、参考资料及有关附件，确认无误。</w:t>
      </w:r>
    </w:p>
    <w:p>
      <w:pPr>
        <w:spacing w:line="360" w:lineRule="auto"/>
        <w:ind w:firstLine="480" w:firstLineChars="200"/>
        <w:rPr>
          <w:rFonts w:ascii="宋体" w:hAnsi="宋体" w:cs="仿宋"/>
          <w:sz w:val="24"/>
        </w:rPr>
      </w:pPr>
      <w:r>
        <w:rPr>
          <w:rFonts w:hint="eastAsia" w:ascii="宋体" w:hAnsi="宋体" w:cs="仿宋"/>
          <w:sz w:val="24"/>
        </w:rPr>
        <w:t>6. 我方承诺：采购人若需追加采购本项目招标文件相关服务的，在不改变合同其他实质性条款的前提下，按相同或更优惠的折扣率保证提供。</w:t>
      </w:r>
    </w:p>
    <w:p>
      <w:pPr>
        <w:spacing w:line="360" w:lineRule="auto"/>
        <w:ind w:firstLine="480" w:firstLineChars="200"/>
        <w:rPr>
          <w:rFonts w:ascii="宋体" w:hAnsi="宋体" w:cs="仿宋"/>
          <w:sz w:val="24"/>
        </w:rPr>
      </w:pPr>
      <w:r>
        <w:rPr>
          <w:rFonts w:hint="eastAsia" w:ascii="宋体" w:hAnsi="宋体" w:cs="仿宋"/>
          <w:sz w:val="24"/>
        </w:rPr>
        <w:t xml:space="preserve">7. 我方承诺接受招标文件中合同条款且无任何异议。  </w:t>
      </w:r>
    </w:p>
    <w:p>
      <w:pPr>
        <w:spacing w:line="360" w:lineRule="auto"/>
        <w:ind w:firstLine="480" w:firstLineChars="200"/>
        <w:rPr>
          <w:rFonts w:ascii="宋体" w:hAnsi="宋体" w:cs="仿宋"/>
          <w:sz w:val="24"/>
        </w:rPr>
      </w:pPr>
      <w:r>
        <w:rPr>
          <w:rFonts w:hint="eastAsia" w:ascii="宋体" w:hAnsi="宋体" w:cs="仿宋"/>
          <w:sz w:val="24"/>
        </w:rPr>
        <w:t>8. 我方投标文件所附开标一览表中所提供的投标报价为</w:t>
      </w:r>
      <w:r>
        <w:rPr>
          <w:rFonts w:hint="eastAsia" w:ascii="宋体" w:hAnsi="宋体" w:cs="仿宋"/>
          <w:sz w:val="24"/>
          <w:u w:val="single"/>
        </w:rPr>
        <w:t xml:space="preserve">       （项目名称）  </w:t>
      </w:r>
      <w:r>
        <w:rPr>
          <w:rFonts w:hint="eastAsia" w:ascii="宋体" w:hAnsi="宋体" w:cs="仿宋"/>
          <w:sz w:val="24"/>
        </w:rPr>
        <w:t>项目的最终报价，包括招标文件中所有要求及其他辅助规定等。</w:t>
      </w:r>
    </w:p>
    <w:p>
      <w:pPr>
        <w:spacing w:line="360" w:lineRule="auto"/>
        <w:jc w:val="left"/>
        <w:rPr>
          <w:rFonts w:ascii="宋体" w:hAnsi="宋体" w:cs="仿宋"/>
          <w:sz w:val="24"/>
        </w:rPr>
      </w:pPr>
    </w:p>
    <w:p>
      <w:pPr>
        <w:spacing w:line="360" w:lineRule="auto"/>
        <w:jc w:val="left"/>
        <w:rPr>
          <w:rFonts w:ascii="宋体" w:hAnsi="宋体" w:cs="仿宋"/>
          <w:sz w:val="24"/>
        </w:rPr>
      </w:pPr>
      <w:r>
        <w:rPr>
          <w:rFonts w:hint="eastAsia" w:ascii="宋体" w:hAnsi="宋体" w:cs="仿宋"/>
          <w:sz w:val="24"/>
        </w:rPr>
        <w:t xml:space="preserve">供应商 （全称并加盖公章）： </w:t>
      </w:r>
      <w:r>
        <w:rPr>
          <w:rFonts w:hint="eastAsia" w:ascii="宋体" w:hAnsi="宋体" w:cs="仿宋"/>
          <w:sz w:val="24"/>
          <w:u w:val="single"/>
        </w:rPr>
        <w:t xml:space="preserve">                           </w:t>
      </w:r>
    </w:p>
    <w:p>
      <w:pPr>
        <w:spacing w:line="360" w:lineRule="auto"/>
        <w:jc w:val="left"/>
        <w:rPr>
          <w:rFonts w:ascii="宋体" w:hAnsi="宋体" w:cs="仿宋"/>
          <w:sz w:val="24"/>
          <w:u w:val="single"/>
        </w:rPr>
      </w:pPr>
      <w:r>
        <w:rPr>
          <w:rFonts w:hint="eastAsia" w:ascii="宋体" w:hAnsi="宋体" w:cs="宋体"/>
          <w:bCs/>
          <w:sz w:val="24"/>
          <w:szCs w:val="24"/>
        </w:rPr>
        <w:t>法定代表人或委托代理人（签字或盖章）</w:t>
      </w:r>
      <w:r>
        <w:rPr>
          <w:rFonts w:hint="eastAsia" w:ascii="宋体" w:hAnsi="宋体" w:cs="仿宋"/>
          <w:sz w:val="24"/>
        </w:rPr>
        <w:t>：</w:t>
      </w:r>
      <w:r>
        <w:rPr>
          <w:rFonts w:hint="eastAsia" w:ascii="宋体" w:hAnsi="宋体" w:cs="仿宋"/>
          <w:sz w:val="24"/>
          <w:u w:val="single"/>
        </w:rPr>
        <w:t xml:space="preserve">             </w:t>
      </w:r>
    </w:p>
    <w:p>
      <w:pPr>
        <w:spacing w:line="360" w:lineRule="auto"/>
        <w:jc w:val="left"/>
      </w:pPr>
      <w:r>
        <w:rPr>
          <w:rFonts w:hint="eastAsia" w:ascii="宋体" w:hAnsi="宋体" w:cs="仿宋"/>
          <w:sz w:val="24"/>
        </w:rPr>
        <w:t>联系电话：                  地址：</w:t>
      </w:r>
    </w:p>
    <w:p>
      <w:pPr>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日  期：   年    月    日</w:t>
      </w:r>
    </w:p>
    <w:p>
      <w:pPr>
        <w:pStyle w:val="3"/>
        <w:tabs>
          <w:tab w:val="left" w:pos="3852"/>
          <w:tab w:val="left" w:pos="5323"/>
          <w:tab w:val="left" w:pos="5952"/>
          <w:tab w:val="left" w:pos="6583"/>
        </w:tabs>
        <w:spacing w:before="1"/>
        <w:ind w:left="3432"/>
        <w:rPr>
          <w:rFonts w:ascii="宋体" w:hAnsi="宋体" w:cs="宋体"/>
          <w:szCs w:val="24"/>
        </w:rPr>
      </w:pPr>
    </w:p>
    <w:p>
      <w:pPr>
        <w:spacing w:before="120" w:beforeLines="50" w:after="120" w:afterLines="50"/>
        <w:jc w:val="center"/>
        <w:rPr>
          <w:rFonts w:ascii="宋体" w:hAnsi="宋体" w:cs="宋体"/>
          <w:b/>
          <w:bCs/>
          <w:sz w:val="24"/>
        </w:rPr>
      </w:pPr>
      <w:bookmarkStart w:id="55" w:name="_Toc179632810"/>
      <w:bookmarkStart w:id="56" w:name="_Toc152042579"/>
      <w:bookmarkStart w:id="57" w:name="_Toc152045790"/>
    </w:p>
    <w:p>
      <w:pPr>
        <w:spacing w:before="120" w:beforeLines="50" w:after="120" w:afterLines="50"/>
        <w:jc w:val="center"/>
        <w:rPr>
          <w:rFonts w:ascii="宋体" w:hAnsi="宋体" w:cs="宋体"/>
          <w:sz w:val="24"/>
        </w:rPr>
      </w:pPr>
      <w:r>
        <w:rPr>
          <w:rFonts w:hint="eastAsia" w:ascii="宋体" w:hAnsi="宋体" w:cs="宋体"/>
          <w:b/>
          <w:bCs/>
          <w:sz w:val="24"/>
        </w:rPr>
        <w:t>二、投标函附录</w:t>
      </w:r>
      <w:bookmarkEnd w:id="55"/>
      <w:bookmarkEnd w:id="56"/>
      <w:bookmarkEnd w:id="57"/>
    </w:p>
    <w:tbl>
      <w:tblPr>
        <w:tblStyle w:val="2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520" w:type="dxa"/>
            <w:vAlign w:val="center"/>
          </w:tcPr>
          <w:p>
            <w:pPr>
              <w:rPr>
                <w:rFonts w:ascii="宋体" w:hAnsi="宋体" w:cs="宋体"/>
              </w:rPr>
            </w:pPr>
            <w:r>
              <w:rPr>
                <w:rFonts w:hint="eastAsia" w:ascii="宋体" w:hAnsi="宋体" w:cs="宋体"/>
              </w:rPr>
              <w:t>项目名称</w:t>
            </w:r>
          </w:p>
        </w:tc>
        <w:tc>
          <w:tcPr>
            <w:tcW w:w="6660" w:type="dxa"/>
            <w:vAlign w:val="center"/>
          </w:tcPr>
          <w:p>
            <w:pPr>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2520" w:type="dxa"/>
            <w:vAlign w:val="center"/>
          </w:tcPr>
          <w:p>
            <w:pPr>
              <w:rPr>
                <w:rFonts w:ascii="宋体" w:hAnsi="宋体" w:cs="宋体"/>
              </w:rPr>
            </w:pPr>
            <w:r>
              <w:rPr>
                <w:rFonts w:hint="eastAsia" w:ascii="宋体" w:hAnsi="宋体" w:cs="宋体"/>
              </w:rPr>
              <w:t>供应商名称</w:t>
            </w:r>
          </w:p>
        </w:tc>
        <w:tc>
          <w:tcPr>
            <w:tcW w:w="6660"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520" w:type="dxa"/>
            <w:vAlign w:val="center"/>
          </w:tcPr>
          <w:p>
            <w:pPr>
              <w:rPr>
                <w:rFonts w:ascii="宋体" w:hAnsi="宋体" w:cs="宋体"/>
              </w:rPr>
            </w:pPr>
            <w:r>
              <w:rPr>
                <w:rFonts w:hint="eastAsia" w:ascii="宋体" w:hAnsi="宋体" w:cs="宋体"/>
              </w:rPr>
              <w:t>投标报价</w:t>
            </w:r>
          </w:p>
        </w:tc>
        <w:tc>
          <w:tcPr>
            <w:tcW w:w="6660" w:type="dxa"/>
            <w:vAlign w:val="center"/>
          </w:tcPr>
          <w:p>
            <w:pPr>
              <w:rPr>
                <w:rFonts w:ascii="宋体" w:hAnsi="宋体" w:cs="宋体"/>
              </w:rPr>
            </w:pPr>
            <w:r>
              <w:rPr>
                <w:rFonts w:hint="eastAsia" w:ascii="宋体" w:hAnsi="宋体" w:cs="宋体"/>
              </w:rPr>
              <w:t>大写：</w:t>
            </w:r>
          </w:p>
          <w:p>
            <w:pPr>
              <w:rPr>
                <w:rFonts w:ascii="宋体" w:hAnsi="宋体" w:cs="宋体"/>
              </w:rPr>
            </w:pPr>
            <w:r>
              <w:rPr>
                <w:rFonts w:hint="eastAsia" w:ascii="宋体" w:hAnsi="宋体" w:cs="宋体"/>
              </w:rPr>
              <w:t>小写：                           （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520" w:type="dxa"/>
            <w:vAlign w:val="center"/>
          </w:tcPr>
          <w:p>
            <w:pPr>
              <w:rPr>
                <w:rFonts w:ascii="宋体" w:hAnsi="宋体" w:cs="宋体"/>
              </w:rPr>
            </w:pPr>
            <w:r>
              <w:rPr>
                <w:rFonts w:hint="eastAsia" w:ascii="宋体" w:hAnsi="宋体" w:cs="宋体"/>
                <w:lang w:val="en-US" w:eastAsia="zh-CN"/>
              </w:rPr>
              <w:t>服务期限</w:t>
            </w:r>
          </w:p>
        </w:tc>
        <w:tc>
          <w:tcPr>
            <w:tcW w:w="6660" w:type="dxa"/>
            <w:vAlign w:val="center"/>
          </w:tcPr>
          <w:p>
            <w:pPr>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520" w:type="dxa"/>
            <w:vAlign w:val="center"/>
          </w:tcPr>
          <w:p>
            <w:pPr>
              <w:rPr>
                <w:rFonts w:ascii="宋体" w:hAnsi="宋体" w:cs="宋体"/>
              </w:rPr>
            </w:pPr>
            <w:r>
              <w:rPr>
                <w:rFonts w:hint="eastAsia" w:ascii="宋体" w:hAnsi="宋体" w:cs="宋体"/>
              </w:rPr>
              <w:t xml:space="preserve">质量标准 </w:t>
            </w:r>
          </w:p>
        </w:tc>
        <w:tc>
          <w:tcPr>
            <w:tcW w:w="6660"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520" w:type="dxa"/>
            <w:vAlign w:val="center"/>
          </w:tcPr>
          <w:p>
            <w:pPr>
              <w:rPr>
                <w:rFonts w:ascii="宋体" w:hAnsi="宋体" w:cs="宋体"/>
              </w:rPr>
            </w:pPr>
            <w:r>
              <w:rPr>
                <w:rFonts w:hint="eastAsia" w:ascii="宋体" w:hAnsi="宋体" w:cs="宋体"/>
              </w:rPr>
              <w:t xml:space="preserve"> 优惠条款</w:t>
            </w:r>
          </w:p>
        </w:tc>
        <w:tc>
          <w:tcPr>
            <w:tcW w:w="6660" w:type="dxa"/>
            <w:vAlign w:val="center"/>
          </w:tcPr>
          <w:p>
            <w:pPr>
              <w:rPr>
                <w:rFonts w:ascii="宋体" w:hAnsi="宋体" w:cs="宋体"/>
              </w:rPr>
            </w:pPr>
          </w:p>
        </w:tc>
      </w:tr>
    </w:tbl>
    <w:p>
      <w:pPr>
        <w:rPr>
          <w:rFonts w:ascii="宋体" w:hAnsi="宋体" w:cs="宋体"/>
        </w:rPr>
      </w:pPr>
    </w:p>
    <w:p>
      <w:pPr>
        <w:spacing w:line="440" w:lineRule="exact"/>
        <w:rPr>
          <w:rFonts w:ascii="宋体" w:hAnsi="宋体" w:cs="宋体"/>
          <w:szCs w:val="21"/>
        </w:rPr>
      </w:pPr>
    </w:p>
    <w:p>
      <w:pPr>
        <w:pStyle w:val="13"/>
        <w:spacing w:line="400" w:lineRule="exact"/>
        <w:ind w:left="560"/>
        <w:rPr>
          <w:rFonts w:ascii="宋体" w:hAnsi="宋体" w:cs="宋体"/>
          <w:bCs/>
          <w:u w:val="single"/>
        </w:rPr>
      </w:pPr>
      <w:r>
        <w:rPr>
          <w:rFonts w:hint="eastAsia" w:ascii="宋体" w:hAnsi="宋体" w:cs="宋体"/>
          <w:bCs/>
        </w:rPr>
        <w:t>法定代表人或委托代理人： （签字）</w:t>
      </w:r>
    </w:p>
    <w:p>
      <w:pPr>
        <w:pStyle w:val="13"/>
        <w:spacing w:line="400" w:lineRule="exact"/>
        <w:ind w:left="560"/>
        <w:rPr>
          <w:rFonts w:ascii="宋体" w:hAnsi="宋体" w:cs="宋体"/>
          <w:bCs/>
          <w:u w:val="single"/>
        </w:rPr>
      </w:pPr>
      <w:r>
        <w:rPr>
          <w:rFonts w:hint="eastAsia" w:ascii="宋体" w:hAnsi="宋体" w:cs="宋体"/>
          <w:bCs/>
        </w:rPr>
        <w:t>投标人：（全称并加盖公章）</w:t>
      </w:r>
    </w:p>
    <w:p>
      <w:pPr>
        <w:pStyle w:val="13"/>
        <w:spacing w:line="400" w:lineRule="exact"/>
        <w:ind w:left="560"/>
        <w:rPr>
          <w:rFonts w:ascii="宋体" w:hAnsi="宋体" w:cs="宋体"/>
          <w:bCs/>
        </w:rPr>
      </w:pPr>
      <w:r>
        <w:rPr>
          <w:rFonts w:hint="eastAsia" w:ascii="宋体" w:hAnsi="宋体" w:cs="宋体"/>
          <w:bCs/>
        </w:rPr>
        <w:t>日  期：  年  月  日</w:t>
      </w:r>
    </w:p>
    <w:p>
      <w:pPr>
        <w:pStyle w:val="3"/>
        <w:tabs>
          <w:tab w:val="left" w:pos="3852"/>
          <w:tab w:val="left" w:pos="5323"/>
          <w:tab w:val="left" w:pos="5952"/>
          <w:tab w:val="left" w:pos="6583"/>
        </w:tabs>
        <w:spacing w:before="1"/>
        <w:ind w:left="3432"/>
        <w:rPr>
          <w:rFonts w:ascii="宋体" w:hAnsi="宋体" w:cs="宋体"/>
          <w:szCs w:val="24"/>
        </w:rPr>
      </w:pPr>
    </w:p>
    <w:p>
      <w:pPr>
        <w:spacing w:before="120" w:beforeLines="50" w:after="120" w:afterLines="50"/>
        <w:jc w:val="center"/>
        <w:rPr>
          <w:rFonts w:ascii="宋体" w:hAnsi="宋体" w:cs="宋体"/>
          <w:sz w:val="24"/>
        </w:rPr>
      </w:pPr>
      <w:bookmarkStart w:id="58" w:name="_Toc404096933"/>
    </w:p>
    <w:p>
      <w:pPr>
        <w:pStyle w:val="3"/>
        <w:rPr>
          <w:rFonts w:ascii="宋体" w:hAnsi="宋体" w:cs="宋体"/>
        </w:rPr>
      </w:pPr>
    </w:p>
    <w:p>
      <w:pPr>
        <w:pStyle w:val="28"/>
        <w:rPr>
          <w:rFonts w:hAnsi="宋体"/>
        </w:rPr>
      </w:pPr>
    </w:p>
    <w:p/>
    <w:p>
      <w:pPr>
        <w:pStyle w:val="6"/>
      </w:pPr>
    </w:p>
    <w:p>
      <w:pPr>
        <w:pStyle w:val="7"/>
      </w:pPr>
    </w:p>
    <w:p>
      <w:pPr>
        <w:spacing w:before="120" w:beforeLines="50" w:after="120" w:afterLines="50"/>
        <w:jc w:val="center"/>
        <w:rPr>
          <w:rFonts w:cs="宋体" w:asciiTheme="minorEastAsia" w:hAnsiTheme="minorEastAsia" w:eastAsiaTheme="minorEastAsia"/>
          <w:b/>
          <w:bCs/>
          <w:sz w:val="24"/>
          <w:szCs w:val="24"/>
        </w:rPr>
      </w:pPr>
    </w:p>
    <w:p>
      <w:pPr>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pStyle w:val="2"/>
      </w:pPr>
    </w:p>
    <w:p>
      <w:pPr>
        <w:spacing w:before="120" w:beforeLines="50" w:after="120" w:afterLines="5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三、法定代表人身份证明</w:t>
      </w:r>
      <w:bookmarkEnd w:id="58"/>
    </w:p>
    <w:p>
      <w:pPr>
        <w:snapToGrid w:val="0"/>
        <w:spacing w:line="360" w:lineRule="auto"/>
        <w:rPr>
          <w:rFonts w:cs="宋体" w:asciiTheme="minorEastAsia" w:hAnsiTheme="minorEastAsia" w:eastAsiaTheme="minorEastAsia"/>
          <w:sz w:val="24"/>
          <w:szCs w:val="24"/>
        </w:rPr>
      </w:pP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 标 人：</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单位性质：</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    址：</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成立时间：     年   月   日</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经营期限：</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    名：           性    别：</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龄：           职    务：</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系（投标人名称）的法定代表人。</w:t>
      </w: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p>
      <w:pPr>
        <w:snapToGrid w:val="0"/>
        <w:spacing w:line="360" w:lineRule="auto"/>
        <w:rPr>
          <w:rFonts w:cs="宋体" w:asciiTheme="minorEastAsia" w:hAnsiTheme="minorEastAsia" w:eastAsiaTheme="minorEastAsia"/>
          <w:sz w:val="24"/>
          <w:szCs w:val="24"/>
        </w:rPr>
      </w:pPr>
    </w:p>
    <w:p>
      <w:pPr>
        <w:snapToGrid w:val="0"/>
        <w:spacing w:line="360" w:lineRule="auto"/>
        <w:rPr>
          <w:rFonts w:cs="宋体" w:asciiTheme="minorEastAsia" w:hAnsiTheme="minorEastAsia" w:eastAsiaTheme="minorEastAsia"/>
          <w:sz w:val="24"/>
          <w:szCs w:val="24"/>
        </w:rPr>
      </w:pPr>
    </w:p>
    <w:p>
      <w:pPr>
        <w:snapToGrid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投标人：（全称并加盖公章）</w:t>
      </w:r>
    </w:p>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rPr>
          <w:rFonts w:hint="eastAsia" w:cs="宋体" w:asciiTheme="minorEastAsia" w:hAnsiTheme="minorEastAsia" w:eastAsiaTheme="minorEastAsia"/>
          <w:sz w:val="24"/>
          <w:szCs w:val="24"/>
        </w:rPr>
      </w:pPr>
    </w:p>
    <w:p>
      <w:pPr>
        <w:rPr>
          <w:rFonts w:hint="eastAsia" w:cs="宋体" w:asciiTheme="minorEastAsia" w:hAnsiTheme="minorEastAsia" w:eastAsiaTheme="minorEastAsia"/>
          <w:sz w:val="24"/>
          <w:szCs w:val="24"/>
        </w:rPr>
      </w:pPr>
    </w:p>
    <w:p>
      <w:pPr>
        <w:rPr>
          <w:rFonts w:hint="eastAsia" w:cs="宋体" w:asciiTheme="minorEastAsia" w:hAnsiTheme="minorEastAsia" w:eastAsiaTheme="minorEastAsia"/>
          <w:sz w:val="24"/>
          <w:szCs w:val="24"/>
        </w:rPr>
      </w:pPr>
    </w:p>
    <w:p>
      <w:pPr>
        <w:rPr>
          <w:rFonts w:hint="eastAsia" w:cs="宋体" w:asciiTheme="minorEastAsia" w:hAnsiTheme="minorEastAsia" w:eastAsiaTheme="minorEastAsia"/>
          <w:sz w:val="24"/>
          <w:szCs w:val="24"/>
        </w:rPr>
      </w:pPr>
    </w:p>
    <w:p>
      <w:pP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pPr>
        <w:pStyle w:val="2"/>
        <w:rPr>
          <w:rFonts w:hint="eastAsia"/>
        </w:rPr>
      </w:pPr>
    </w:p>
    <w:p>
      <w:pPr>
        <w:spacing w:before="120" w:beforeLines="50" w:after="120" w:afterLines="5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四、法定代表人授权书</w:t>
      </w:r>
    </w:p>
    <w:p>
      <w:pPr>
        <w:spacing w:line="400" w:lineRule="exact"/>
        <w:rPr>
          <w:rFonts w:cs="宋体" w:asciiTheme="minorEastAsia" w:hAnsiTheme="minorEastAsia" w:eastAsiaTheme="minorEastAsia"/>
          <w:sz w:val="24"/>
          <w:szCs w:val="24"/>
        </w:rPr>
      </w:pP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__________________（采购人名称）：</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本授权书声明：注册于中华人民共和国的</w:t>
      </w:r>
      <w:r>
        <w:rPr>
          <w:rFonts w:hint="eastAsia" w:cs="宋体" w:asciiTheme="minorEastAsia" w:hAnsiTheme="minorEastAsia" w:eastAsiaTheme="minorEastAsia"/>
          <w:sz w:val="24"/>
          <w:szCs w:val="24"/>
          <w:u w:val="single"/>
        </w:rPr>
        <w:t>（投标人名称）</w:t>
      </w:r>
      <w:r>
        <w:rPr>
          <w:rFonts w:hint="eastAsia" w:cs="宋体" w:asciiTheme="minorEastAsia" w:hAnsiTheme="minorEastAsia" w:eastAsiaTheme="minorEastAsia"/>
          <w:sz w:val="24"/>
          <w:szCs w:val="24"/>
        </w:rPr>
        <w:t>的在下面签字的</w:t>
      </w:r>
      <w:r>
        <w:rPr>
          <w:rFonts w:hint="eastAsia" w:cs="宋体" w:asciiTheme="minorEastAsia" w:hAnsiTheme="minorEastAsia" w:eastAsiaTheme="minorEastAsia"/>
          <w:sz w:val="24"/>
          <w:szCs w:val="24"/>
          <w:u w:val="single"/>
        </w:rPr>
        <w:t>（法定代表人姓名、职务）</w:t>
      </w:r>
      <w:r>
        <w:rPr>
          <w:rFonts w:hint="eastAsia" w:cs="宋体" w:asciiTheme="minorEastAsia" w:hAnsiTheme="minorEastAsia" w:eastAsiaTheme="minorEastAsia"/>
          <w:sz w:val="24"/>
          <w:szCs w:val="24"/>
        </w:rPr>
        <w:t>代表本公司授权的在下面签字的</w:t>
      </w:r>
      <w:r>
        <w:rPr>
          <w:rFonts w:hint="eastAsia" w:cs="宋体" w:asciiTheme="minorEastAsia" w:hAnsiTheme="minorEastAsia" w:eastAsiaTheme="minorEastAsia"/>
          <w:sz w:val="24"/>
          <w:szCs w:val="24"/>
          <w:u w:val="single"/>
        </w:rPr>
        <w:t>（被授权人的姓名、职务、身份证号）</w:t>
      </w:r>
      <w:r>
        <w:rPr>
          <w:rFonts w:hint="eastAsia" w:cs="宋体" w:asciiTheme="minorEastAsia" w:hAnsiTheme="minorEastAsia" w:eastAsiaTheme="minorEastAsia"/>
          <w:sz w:val="24"/>
          <w:szCs w:val="24"/>
        </w:rPr>
        <w:t>为本公司的合法代理人，就</w:t>
      </w:r>
      <w:r>
        <w:rPr>
          <w:rFonts w:hint="eastAsia" w:cs="宋体" w:asciiTheme="minorEastAsia" w:hAnsiTheme="minorEastAsia" w:eastAsiaTheme="minorEastAsia"/>
          <w:sz w:val="24"/>
          <w:szCs w:val="24"/>
          <w:u w:val="single"/>
          <w:lang w:eastAsia="zh-CN"/>
        </w:rPr>
        <w:t>（</w:t>
      </w:r>
      <w:r>
        <w:rPr>
          <w:rFonts w:hint="eastAsia" w:cs="宋体" w:asciiTheme="minorEastAsia" w:hAnsiTheme="minorEastAsia" w:eastAsiaTheme="minorEastAsia"/>
          <w:sz w:val="24"/>
          <w:szCs w:val="24"/>
          <w:u w:val="single"/>
          <w:lang w:val="en-US" w:eastAsia="zh-CN"/>
        </w:rPr>
        <w:t xml:space="preserve">项目名称）     </w:t>
      </w:r>
      <w:r>
        <w:rPr>
          <w:rFonts w:hint="eastAsia" w:cs="宋体" w:asciiTheme="minorEastAsia" w:hAnsiTheme="minorEastAsia" w:eastAsiaTheme="minorEastAsia"/>
          <w:sz w:val="24"/>
          <w:szCs w:val="24"/>
        </w:rPr>
        <w:t>采购</w:t>
      </w:r>
      <w:r>
        <w:rPr>
          <w:rFonts w:hint="eastAsia" w:cs="宋体" w:asciiTheme="minorEastAsia" w:hAnsiTheme="minorEastAsia" w:eastAsiaTheme="minorEastAsia"/>
          <w:sz w:val="24"/>
          <w:szCs w:val="24"/>
          <w:lang w:val="en-US" w:eastAsia="zh-CN"/>
        </w:rPr>
        <w:t>项目</w:t>
      </w:r>
      <w:r>
        <w:rPr>
          <w:rFonts w:hint="eastAsia" w:cs="宋体" w:asciiTheme="minorEastAsia" w:hAnsiTheme="minorEastAsia" w:eastAsiaTheme="minorEastAsia"/>
          <w:sz w:val="24"/>
          <w:szCs w:val="24"/>
        </w:rPr>
        <w:t>编号为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的投标、谈判、签约、履约等具体工作，并签署全部有关文件。我公司对被授权人的签名负全部法律责任。</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本授权书于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日签字生效，特此声明。</w:t>
      </w:r>
    </w:p>
    <w:p>
      <w:pPr>
        <w:spacing w:line="360" w:lineRule="auto"/>
        <w:rPr>
          <w:rFonts w:cs="宋体" w:asciiTheme="minorEastAsia" w:hAnsiTheme="minorEastAsia" w:eastAsiaTheme="minorEastAsia"/>
          <w:sz w:val="24"/>
          <w:szCs w:val="24"/>
        </w:rPr>
      </w:pP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（后附法定代表人及被授权人身份证复印件）</w:t>
      </w:r>
    </w:p>
    <w:p>
      <w:pPr>
        <w:spacing w:line="360" w:lineRule="auto"/>
        <w:rPr>
          <w:rFonts w:cs="宋体" w:asciiTheme="minorEastAsia" w:hAnsiTheme="minorEastAsia" w:eastAsiaTheme="minorEastAsia"/>
          <w:sz w:val="24"/>
          <w:szCs w:val="24"/>
        </w:rPr>
      </w:pPr>
    </w:p>
    <w:p>
      <w:pPr>
        <w:spacing w:line="360"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法定代表人：（签字或盖章）</w:t>
      </w:r>
    </w:p>
    <w:p>
      <w:pPr>
        <w:spacing w:line="360" w:lineRule="auto"/>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被授权人：（签字）</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投标人名称：（全称并加盖公章）</w:t>
      </w:r>
    </w:p>
    <w:p>
      <w:pPr>
        <w:spacing w:line="360" w:lineRule="auto"/>
        <w:rPr>
          <w:rFonts w:cs="宋体" w:asciiTheme="minorEastAsia" w:hAnsiTheme="minorEastAsia" w:eastAsiaTheme="minorEastAsia"/>
          <w:sz w:val="24"/>
          <w:szCs w:val="24"/>
          <w:u w:val="single"/>
        </w:rPr>
      </w:pPr>
    </w:p>
    <w:p>
      <w:pPr>
        <w:spacing w:before="120" w:beforeLines="50" w:after="120" w:afterLines="50"/>
        <w:rPr>
          <w:rFonts w:cs="宋体" w:asciiTheme="minorEastAsia" w:hAnsiTheme="minorEastAsia" w:eastAsiaTheme="minorEastAsia"/>
          <w:sz w:val="24"/>
          <w:szCs w:val="24"/>
        </w:rPr>
      </w:pPr>
    </w:p>
    <w:p>
      <w:pPr>
        <w:spacing w:before="120" w:beforeLines="50" w:after="120" w:afterLines="50"/>
        <w:rPr>
          <w:rFonts w:cs="宋体" w:asciiTheme="minorEastAsia" w:hAnsiTheme="minorEastAsia" w:eastAsiaTheme="minorEastAsia"/>
          <w:sz w:val="24"/>
          <w:szCs w:val="24"/>
        </w:rPr>
      </w:pPr>
    </w:p>
    <w:p>
      <w:pPr>
        <w:spacing w:before="120" w:beforeLines="50" w:after="120" w:afterLines="50"/>
        <w:rPr>
          <w:rFonts w:cs="宋体" w:asciiTheme="minorEastAsia" w:hAnsiTheme="minorEastAsia" w:eastAsiaTheme="minorEastAsia"/>
          <w:sz w:val="24"/>
          <w:szCs w:val="24"/>
        </w:rPr>
      </w:pPr>
    </w:p>
    <w:p>
      <w:pPr>
        <w:spacing w:before="120" w:beforeLines="50" w:after="120" w:afterLines="50"/>
        <w:rPr>
          <w:rFonts w:cs="宋体" w:asciiTheme="minorEastAsia" w:hAnsiTheme="minorEastAsia" w:eastAsiaTheme="minorEastAsia"/>
          <w:sz w:val="24"/>
          <w:szCs w:val="24"/>
        </w:rPr>
      </w:pPr>
    </w:p>
    <w:p>
      <w:pPr>
        <w:tabs>
          <w:tab w:val="left" w:pos="6300"/>
        </w:tabs>
        <w:snapToGrid w:val="0"/>
        <w:spacing w:line="500" w:lineRule="exact"/>
        <w:ind w:right="480" w:firstLine="570"/>
        <w:rPr>
          <w:rFonts w:cs="宋体" w:asciiTheme="minorEastAsia" w:hAnsiTheme="minorEastAsia" w:eastAsiaTheme="minorEastAsia"/>
          <w:sz w:val="24"/>
          <w:szCs w:val="24"/>
        </w:rPr>
      </w:pPr>
    </w:p>
    <w:p>
      <w:pP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pPr>
        <w:spacing w:line="360" w:lineRule="auto"/>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五、投标承诺函</w:t>
      </w:r>
    </w:p>
    <w:p>
      <w:pPr>
        <w:spacing w:before="120" w:beforeLines="50" w:after="120" w:afterLines="50"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hint="eastAsia" w:cs="宋体" w:asciiTheme="minorEastAsia" w:hAnsiTheme="minorEastAsia" w:eastAsiaTheme="minorEastAsia"/>
          <w:kern w:val="0"/>
          <w:sz w:val="24"/>
          <w:szCs w:val="24"/>
          <w:u w:val="single"/>
        </w:rPr>
        <w:t> （采购人）    </w:t>
      </w:r>
      <w:r>
        <w:rPr>
          <w:rFonts w:hint="eastAsia" w:cs="宋体" w:asciiTheme="minorEastAsia" w:hAnsiTheme="minorEastAsia" w:eastAsiaTheme="minorEastAsia"/>
          <w:kern w:val="0"/>
          <w:sz w:val="24"/>
          <w:szCs w:val="24"/>
        </w:rPr>
        <w:t>：</w:t>
      </w:r>
    </w:p>
    <w:p>
      <w:pPr>
        <w:widowControl/>
        <w:spacing w:line="360" w:lineRule="auto"/>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很荣幸能参与（项目名称）的招投标工作。我代表</w:t>
      </w:r>
      <w:r>
        <w:rPr>
          <w:rFonts w:hint="eastAsia"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lang w:val="en-US" w:eastAsia="zh-CN"/>
        </w:rPr>
        <w:t>投标</w:t>
      </w:r>
      <w:r>
        <w:rPr>
          <w:rFonts w:hint="eastAsia" w:cs="宋体" w:asciiTheme="minorEastAsia" w:hAnsiTheme="minorEastAsia" w:eastAsiaTheme="minorEastAsia"/>
          <w:kern w:val="0"/>
          <w:sz w:val="24"/>
          <w:szCs w:val="24"/>
        </w:rPr>
        <w:t>人名称），在此作如下承诺：</w:t>
      </w:r>
    </w:p>
    <w:p>
      <w:pPr>
        <w:widowControl/>
        <w:numPr>
          <w:ilvl w:val="0"/>
          <w:numId w:val="16"/>
        </w:num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将遵循公开、公正和诚实信用的原则自愿参加本项目的投标工作，所提供的一切材料都是真实、有效、合法的；</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2、完全理解和接受招标文件的一切规定和要求。</w:t>
      </w:r>
    </w:p>
    <w:p>
      <w:pPr>
        <w:widowControl/>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3、</w:t>
      </w:r>
      <w:r>
        <w:rPr>
          <w:rFonts w:hint="eastAsia" w:cs="宋体" w:asciiTheme="minorEastAsia" w:hAnsiTheme="minorEastAsia" w:eastAsiaTheme="minorEastAsia"/>
          <w:sz w:val="24"/>
          <w:szCs w:val="24"/>
        </w:rPr>
        <w:t>不与其他投标人相互串通投标报价，不排挤其他投标人的公平竞争、损害采购人的合法权益；不与采购人或者招标代理机构串通投标，损害国家利益、社会公共利益或者他人的合法权益；不向采购人或者评标委员会成员行贿以牟取中标；</w:t>
      </w:r>
    </w:p>
    <w:p>
      <w:pPr>
        <w:widowControl/>
        <w:spacing w:line="36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4、若我方被确定为中标人，</w:t>
      </w:r>
      <w:r>
        <w:rPr>
          <w:rFonts w:hint="eastAsia" w:cs="宋体" w:asciiTheme="minorEastAsia" w:hAnsiTheme="minorEastAsia" w:eastAsiaTheme="minorEastAsia"/>
          <w:sz w:val="24"/>
          <w:szCs w:val="24"/>
        </w:rPr>
        <w:t>保证中标后不转包，</w:t>
      </w:r>
      <w:r>
        <w:rPr>
          <w:rFonts w:hint="eastAsia" w:cs="宋体" w:asciiTheme="minorEastAsia" w:hAnsiTheme="minorEastAsia" w:eastAsiaTheme="minorEastAsia"/>
          <w:kern w:val="0"/>
          <w:sz w:val="24"/>
          <w:szCs w:val="24"/>
        </w:rPr>
        <w:t>我方将按照招标文件和投标文件的具体规定与采购人签订合同，并且严格履行合同义务。如果在合同执行过程中，发现质量问题，我方一定尽快处理，由此造成的贵方经济损失由我方承担。严格</w:t>
      </w:r>
      <w:r>
        <w:rPr>
          <w:rFonts w:hint="eastAsia" w:cs="宋体" w:asciiTheme="minorEastAsia" w:hAnsiTheme="minorEastAsia" w:eastAsiaTheme="minorEastAsia"/>
          <w:sz w:val="24"/>
          <w:szCs w:val="24"/>
        </w:rPr>
        <w:t>按照招标文件的承诺，如有违反，同意接受建设单位违约处罚。</w:t>
      </w:r>
    </w:p>
    <w:p>
      <w:pPr>
        <w:widowControl/>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5、在整个招标过程中，我方若有违规行为，贵方可按招标文件和政府采购有关的法律法规之规定给予惩罚，我方完全接受。</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6、若中标，本承诺函将成为合同不可分割的一部分，与合同具有同等的法律效力。</w:t>
      </w: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本公司若有违反承诺内容的行为，自愿接受取消其投标资格、记入信用档案、等有关处理，愿意承担法律责任。如已中标的，自动放弃中标资格；给招标人造成损失的，依法承担赔偿责任。</w:t>
      </w:r>
    </w:p>
    <w:p>
      <w:pPr>
        <w:rPr>
          <w:rFonts w:cs="宋体" w:asciiTheme="minorEastAsia" w:hAnsiTheme="minorEastAsia" w:eastAsiaTheme="minorEastAsia"/>
          <w:sz w:val="24"/>
          <w:szCs w:val="24"/>
        </w:rPr>
      </w:pPr>
    </w:p>
    <w:p>
      <w:pPr>
        <w:tabs>
          <w:tab w:val="left" w:pos="1980"/>
        </w:tabs>
        <w:spacing w:line="360" w:lineRule="auto"/>
        <w:ind w:left="1322" w:leftChars="472" w:firstLine="1920" w:firstLineChars="8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 （全称并加盖公章）</w:t>
      </w:r>
    </w:p>
    <w:p>
      <w:pPr>
        <w:tabs>
          <w:tab w:val="left" w:pos="1980"/>
        </w:tabs>
        <w:spacing w:line="360" w:lineRule="auto"/>
        <w:ind w:left="1322" w:leftChars="472" w:firstLine="1920" w:firstLineChars="8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法定代表人或委托代理人：（签字或盖章）</w:t>
      </w:r>
    </w:p>
    <w:p>
      <w:pPr>
        <w:tabs>
          <w:tab w:val="left" w:pos="1980"/>
        </w:tabs>
        <w:spacing w:line="360" w:lineRule="auto"/>
        <w:ind w:left="1322" w:leftChars="472" w:firstLine="1920" w:firstLineChars="8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日期：</w:t>
      </w:r>
    </w:p>
    <w:p>
      <w:pPr>
        <w:pStyle w:val="2"/>
        <w:rPr>
          <w:rFonts w:hint="eastAsia" w:cs="宋体" w:asciiTheme="minorEastAsia" w:hAnsiTheme="minorEastAsia" w:eastAsiaTheme="minorEastAsia"/>
          <w:sz w:val="24"/>
          <w:szCs w:val="24"/>
        </w:rPr>
      </w:pPr>
    </w:p>
    <w:p>
      <w:r>
        <w:br w:type="page"/>
      </w:r>
    </w:p>
    <w:p>
      <w:pPr>
        <w:pStyle w:val="6"/>
        <w:sectPr>
          <w:headerReference r:id="rId9" w:type="default"/>
          <w:footerReference r:id="rId10" w:type="default"/>
          <w:pgSz w:w="12240" w:h="15840"/>
          <w:pgMar w:top="1418" w:right="1610" w:bottom="1418" w:left="1587" w:header="720" w:footer="720" w:gutter="0"/>
          <w:cols w:space="720" w:num="1"/>
        </w:sectPr>
      </w:pPr>
    </w:p>
    <w:p>
      <w:pPr>
        <w:tabs>
          <w:tab w:val="left" w:pos="6300"/>
        </w:tabs>
        <w:snapToGrid w:val="0"/>
        <w:spacing w:line="50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六</w:t>
      </w:r>
      <w:r>
        <w:rPr>
          <w:rFonts w:hint="eastAsia" w:cs="宋体" w:asciiTheme="minorEastAsia" w:hAnsiTheme="minorEastAsia" w:eastAsiaTheme="minorEastAsia"/>
          <w:b/>
          <w:bCs/>
          <w:sz w:val="24"/>
          <w:szCs w:val="24"/>
        </w:rPr>
        <w:t>、无重大违法记录声明函（格式自拟）</w:t>
      </w:r>
    </w:p>
    <w:p>
      <w:pPr>
        <w:tabs>
          <w:tab w:val="left" w:pos="6300"/>
        </w:tabs>
        <w:snapToGrid w:val="0"/>
        <w:spacing w:line="500" w:lineRule="exact"/>
        <w:ind w:firstLine="570"/>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r>
        <w:rPr>
          <w:rFonts w:cs="宋体" w:asciiTheme="minorEastAsia" w:hAnsiTheme="minorEastAsia" w:eastAsiaTheme="minorEastAsia"/>
          <w:sz w:val="24"/>
          <w:szCs w:val="24"/>
        </w:rPr>
        <w:br w:type="page"/>
      </w:r>
    </w:p>
    <w:p>
      <w:pPr>
        <w:tabs>
          <w:tab w:val="left" w:pos="6300"/>
        </w:tabs>
        <w:snapToGrid w:val="0"/>
        <w:spacing w:line="500" w:lineRule="exact"/>
        <w:ind w:firstLine="482" w:firstLineChars="20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七</w:t>
      </w:r>
      <w:r>
        <w:rPr>
          <w:rFonts w:hint="eastAsia" w:cs="宋体" w:asciiTheme="minorEastAsia" w:hAnsiTheme="minorEastAsia" w:eastAsiaTheme="minorEastAsia"/>
          <w:b/>
          <w:bCs/>
          <w:sz w:val="24"/>
          <w:szCs w:val="24"/>
        </w:rPr>
        <w:t>、资格证明文件</w:t>
      </w:r>
    </w:p>
    <w:p>
      <w:pPr>
        <w:tabs>
          <w:tab w:val="left" w:pos="6300"/>
        </w:tabs>
        <w:snapToGrid w:val="0"/>
        <w:spacing w:line="500" w:lineRule="exact"/>
        <w:ind w:firstLine="964" w:firstLineChars="402"/>
        <w:rPr>
          <w:rFonts w:cs="宋体" w:asciiTheme="minorEastAsia" w:hAnsiTheme="minorEastAsia" w:eastAsiaTheme="minorEastAsia"/>
          <w:sz w:val="24"/>
          <w:szCs w:val="24"/>
        </w:rPr>
      </w:pPr>
      <w:bookmarkStart w:id="59" w:name="_Toc5259"/>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r>
        <w:rPr>
          <w:rFonts w:cs="宋体" w:asciiTheme="minorEastAsia" w:hAnsiTheme="minorEastAsia" w:eastAsiaTheme="minorEastAsia"/>
          <w:sz w:val="24"/>
          <w:szCs w:val="24"/>
        </w:rPr>
        <w:br w:type="page"/>
      </w:r>
    </w:p>
    <w:bookmarkEnd w:id="59"/>
    <w:p>
      <w:pPr>
        <w:spacing w:before="156" w:beforeLines="50" w:after="156" w:afterLines="5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八</w:t>
      </w:r>
      <w:r>
        <w:rPr>
          <w:rFonts w:hint="eastAsia" w:cs="宋体" w:asciiTheme="minorEastAsia" w:hAnsiTheme="minorEastAsia" w:eastAsiaTheme="minorEastAsia"/>
          <w:b/>
          <w:bCs/>
          <w:sz w:val="24"/>
          <w:szCs w:val="24"/>
        </w:rPr>
        <w:t>、质量保证措施</w:t>
      </w: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tabs>
          <w:tab w:val="left" w:pos="6300"/>
        </w:tabs>
        <w:snapToGrid w:val="0"/>
        <w:spacing w:line="500" w:lineRule="exact"/>
        <w:ind w:firstLine="480" w:firstLineChars="200"/>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r>
        <w:rPr>
          <w:rFonts w:cs="宋体" w:asciiTheme="minorEastAsia" w:hAnsiTheme="minorEastAsia" w:eastAsiaTheme="minorEastAsia"/>
          <w:sz w:val="24"/>
          <w:szCs w:val="24"/>
        </w:rPr>
        <w:br w:type="page"/>
      </w:r>
    </w:p>
    <w:p>
      <w:pPr>
        <w:tabs>
          <w:tab w:val="left" w:pos="6300"/>
        </w:tabs>
        <w:snapToGrid w:val="0"/>
        <w:spacing w:line="500" w:lineRule="exact"/>
        <w:ind w:firstLine="482" w:firstLineChars="20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九</w:t>
      </w:r>
      <w:r>
        <w:rPr>
          <w:rFonts w:hint="eastAsia" w:cs="宋体" w:asciiTheme="minorEastAsia" w:hAnsiTheme="minorEastAsia" w:eastAsiaTheme="minorEastAsia"/>
          <w:b/>
          <w:bCs/>
          <w:sz w:val="24"/>
          <w:szCs w:val="24"/>
        </w:rPr>
        <w:t>、服务承诺</w:t>
      </w:r>
    </w:p>
    <w:p>
      <w:pPr>
        <w:tabs>
          <w:tab w:val="left" w:pos="6300"/>
        </w:tabs>
        <w:snapToGrid w:val="0"/>
        <w:spacing w:line="5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投标人认为需要说明的其他服务承诺</w:t>
      </w:r>
      <w:bookmarkStart w:id="60" w:name="_Toc404096943"/>
      <w:bookmarkStart w:id="61" w:name="_Toc266116834"/>
      <w:bookmarkStart w:id="62" w:name="_Toc276044063"/>
      <w:r>
        <w:rPr>
          <w:rFonts w:hint="eastAsia" w:cs="宋体" w:asciiTheme="minorEastAsia" w:hAnsiTheme="minorEastAsia" w:eastAsiaTheme="minorEastAsia"/>
          <w:sz w:val="24"/>
          <w:szCs w:val="24"/>
        </w:rPr>
        <w:t xml:space="preserve"> </w:t>
      </w: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tabs>
          <w:tab w:val="left" w:pos="6300"/>
        </w:tabs>
        <w:snapToGrid w:val="0"/>
        <w:spacing w:line="500" w:lineRule="exact"/>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r>
        <w:rPr>
          <w:rFonts w:cs="宋体" w:asciiTheme="minorEastAsia" w:hAnsiTheme="minorEastAsia" w:eastAsiaTheme="minorEastAsia"/>
          <w:sz w:val="24"/>
          <w:szCs w:val="24"/>
        </w:rPr>
        <w:br w:type="page"/>
      </w:r>
    </w:p>
    <w:p>
      <w:pPr>
        <w:tabs>
          <w:tab w:val="left" w:pos="6300"/>
        </w:tabs>
        <w:snapToGrid w:val="0"/>
        <w:spacing w:line="5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十、其他证明材料</w:t>
      </w:r>
      <w:bookmarkEnd w:id="60"/>
      <w:bookmarkEnd w:id="61"/>
      <w:bookmarkEnd w:id="62"/>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p>
    <w:p>
      <w:pPr>
        <w:pStyle w:val="11"/>
      </w:pPr>
    </w:p>
    <w:p>
      <w:pPr>
        <w:spacing w:before="156" w:beforeLines="50" w:after="156" w:afterLines="50"/>
        <w:rPr>
          <w:rFonts w:cs="宋体" w:asciiTheme="minorEastAsia" w:hAnsiTheme="minorEastAsia" w:eastAsiaTheme="minorEastAsia"/>
          <w:sz w:val="24"/>
          <w:szCs w:val="24"/>
        </w:rPr>
      </w:pPr>
    </w:p>
    <w:p>
      <w:pPr>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pStyle w:val="11"/>
        <w:rPr>
          <w:rFonts w:cs="宋体" w:asciiTheme="minorEastAsia" w:hAnsiTheme="minorEastAsia" w:eastAsiaTheme="minorEastAsia"/>
          <w:sz w:val="24"/>
          <w:szCs w:val="24"/>
        </w:rPr>
      </w:pPr>
    </w:p>
    <w:p>
      <w:pPr>
        <w:spacing w:before="156" w:beforeLines="50" w:after="156" w:afterLines="50"/>
        <w:rPr>
          <w:rFonts w:cs="宋体" w:asciiTheme="minorEastAsia" w:hAnsiTheme="minorEastAsia" w:eastAsiaTheme="minorEastAsia"/>
          <w:b/>
          <w:bCs/>
          <w:sz w:val="24"/>
          <w:szCs w:val="24"/>
        </w:rPr>
      </w:pPr>
    </w:p>
    <w:p>
      <w:pPr>
        <w:spacing w:before="156" w:beforeLines="50" w:after="156" w:afterLines="50"/>
        <w:rPr>
          <w:rFonts w:cs="宋体" w:asciiTheme="minorEastAsia" w:hAnsiTheme="minorEastAsia" w:eastAsiaTheme="minorEastAsia"/>
          <w:b/>
          <w:bCs/>
          <w:sz w:val="24"/>
          <w:szCs w:val="24"/>
        </w:rPr>
      </w:pPr>
    </w:p>
    <w:p>
      <w:pPr>
        <w:spacing w:before="156" w:beforeLines="50" w:after="156" w:afterLines="50"/>
        <w:rPr>
          <w:rFonts w:cs="宋体" w:asciiTheme="minorEastAsia" w:hAnsiTheme="minorEastAsia" w:eastAsiaTheme="minorEastAsia"/>
          <w:b/>
          <w:bCs/>
          <w:sz w:val="24"/>
          <w:szCs w:val="24"/>
        </w:rPr>
      </w:pPr>
    </w:p>
    <w:p>
      <w:pPr>
        <w:spacing w:before="156" w:beforeLines="50" w:after="156" w:afterLines="50"/>
        <w:rPr>
          <w:rFonts w:cs="宋体" w:asciiTheme="minorEastAsia" w:hAnsiTheme="minorEastAsia" w:eastAsiaTheme="minorEastAsia"/>
          <w:b/>
          <w:bCs/>
          <w:sz w:val="24"/>
          <w:szCs w:val="24"/>
        </w:rPr>
      </w:pPr>
    </w:p>
    <w:p>
      <w:pPr>
        <w:spacing w:before="156" w:beforeLines="50" w:after="156" w:afterLines="50"/>
        <w:rPr>
          <w:rFonts w:cs="宋体" w:asciiTheme="minorEastAsia" w:hAnsiTheme="minorEastAsia" w:eastAsiaTheme="minorEastAsia"/>
          <w:b/>
          <w:bCs/>
          <w:sz w:val="24"/>
          <w:szCs w:val="24"/>
        </w:rPr>
      </w:pPr>
    </w:p>
    <w:p>
      <w:pPr>
        <w:spacing w:before="156" w:beforeLines="50" w:after="156" w:afterLines="50"/>
        <w:rPr>
          <w:rFonts w:cs="宋体" w:asciiTheme="minorEastAsia" w:hAnsiTheme="minorEastAsia" w:eastAsiaTheme="minorEastAsia"/>
          <w:b/>
          <w:bCs/>
          <w:sz w:val="24"/>
          <w:szCs w:val="24"/>
        </w:rPr>
      </w:pPr>
    </w:p>
    <w:p>
      <w:pPr>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spacing w:before="156" w:beforeLines="50" w:after="156" w:afterLines="50"/>
        <w:jc w:val="center"/>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十</w:t>
      </w:r>
      <w:r>
        <w:rPr>
          <w:rFonts w:hint="eastAsia" w:cs="宋体" w:asciiTheme="minorEastAsia" w:hAnsiTheme="minorEastAsia" w:eastAsiaTheme="minorEastAsia"/>
          <w:b/>
          <w:bCs/>
          <w:sz w:val="24"/>
          <w:szCs w:val="24"/>
          <w:lang w:val="en-US" w:eastAsia="zh-CN"/>
        </w:rPr>
        <w:t>一</w:t>
      </w:r>
      <w:r>
        <w:rPr>
          <w:rFonts w:hint="eastAsia" w:cs="宋体" w:asciiTheme="minorEastAsia" w:hAnsiTheme="minorEastAsia" w:eastAsiaTheme="minorEastAsia"/>
          <w:b/>
          <w:bCs/>
          <w:sz w:val="24"/>
          <w:szCs w:val="24"/>
        </w:rPr>
        <w:t>、反商业贿赂承诺书</w:t>
      </w:r>
    </w:p>
    <w:p>
      <w:pPr>
        <w:spacing w:line="48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我公司承诺：</w:t>
      </w:r>
    </w:p>
    <w:p>
      <w:pPr>
        <w:spacing w:line="480" w:lineRule="auto"/>
        <w:rPr>
          <w:rFonts w:cs="宋体" w:asciiTheme="minorEastAsia" w:hAnsiTheme="minorEastAsia" w:eastAsiaTheme="minorEastAsia"/>
          <w:sz w:val="24"/>
          <w:szCs w:val="24"/>
        </w:rPr>
      </w:pPr>
    </w:p>
    <w:p>
      <w:pPr>
        <w:spacing w:line="48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在招标活动中，我公司保证做到：</w:t>
      </w:r>
    </w:p>
    <w:p>
      <w:pPr>
        <w:spacing w:line="48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一、公平竞争参加本次招标活动。</w:t>
      </w:r>
    </w:p>
    <w:p>
      <w:pPr>
        <w:spacing w:line="48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spacing w:line="48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三、若出现上述行为，我公司及参与投标的工作人员愿意接受按照国家法律法规等有关规定给予的处罚。</w:t>
      </w:r>
    </w:p>
    <w:p>
      <w:pPr>
        <w:spacing w:line="360" w:lineRule="auto"/>
        <w:ind w:firstLine="480" w:firstLineChars="200"/>
        <w:rPr>
          <w:rFonts w:cs="宋体" w:asciiTheme="minorEastAsia" w:hAnsiTheme="minorEastAsia" w:eastAsiaTheme="minorEastAsia"/>
          <w:sz w:val="24"/>
          <w:szCs w:val="24"/>
        </w:rPr>
      </w:pPr>
    </w:p>
    <w:p>
      <w:pPr>
        <w:spacing w:line="360" w:lineRule="auto"/>
        <w:ind w:firstLine="480" w:firstLineChars="200"/>
        <w:rPr>
          <w:rFonts w:cs="宋体" w:asciiTheme="minorEastAsia" w:hAnsiTheme="minorEastAsia" w:eastAsiaTheme="minorEastAsia"/>
          <w:sz w:val="24"/>
          <w:szCs w:val="24"/>
        </w:rPr>
      </w:pPr>
    </w:p>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投标单位:(全称并加盖公章)</w:t>
      </w:r>
    </w:p>
    <w:p>
      <w:pPr>
        <w:spacing w:line="360" w:lineRule="auto"/>
        <w:ind w:firstLine="3600" w:firstLineChars="1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法定代表人（签字或盖章）：</w:t>
      </w:r>
    </w:p>
    <w:p>
      <w:pPr>
        <w:spacing w:line="360" w:lineRule="auto"/>
        <w:ind w:firstLine="2880" w:firstLineChars="1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委托代理人（签字或盖章）：</w:t>
      </w:r>
    </w:p>
    <w:p>
      <w:pPr>
        <w:spacing w:line="360" w:lineRule="auto"/>
        <w:ind w:firstLine="5280" w:firstLineChars="2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rPr>
          <w:rFonts w:ascii="宋体" w:hAnsi="宋体" w:cs="宋体"/>
        </w:rPr>
      </w:pPr>
    </w:p>
    <w:p>
      <w:pPr>
        <w:rPr>
          <w:rFonts w:ascii="宋体" w:hAnsi="宋体" w:cs="宋体"/>
        </w:rPr>
      </w:pPr>
    </w:p>
    <w:p>
      <w:pPr>
        <w:pStyle w:val="6"/>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rPr>
      </w:pPr>
    </w:p>
    <w:p>
      <w:pPr>
        <w:rPr>
          <w:rFonts w:ascii="宋体" w:hAnsi="宋体" w:cs="宋体"/>
        </w:rPr>
      </w:pPr>
    </w:p>
    <w:p>
      <w:pPr>
        <w:pStyle w:val="2"/>
        <w:rPr>
          <w:rFonts w:ascii="宋体" w:hAnsi="宋体" w:cs="宋体"/>
        </w:rPr>
      </w:pPr>
    </w:p>
    <w:p>
      <w:r>
        <w:br w:type="page"/>
      </w:r>
    </w:p>
    <w:p>
      <w:pPr>
        <w:spacing w:before="143" w:line="360" w:lineRule="auto"/>
        <w:jc w:val="center"/>
        <w:rPr>
          <w:rFonts w:hint="eastAsia" w:ascii="宋体" w:hAnsi="宋体" w:eastAsia="宋体" w:cs="宋体"/>
          <w:b/>
          <w:bCs/>
          <w:spacing w:val="-5"/>
          <w:sz w:val="24"/>
        </w:rPr>
      </w:pPr>
      <w:r>
        <w:rPr>
          <w:rFonts w:hint="eastAsia" w:cs="宋体" w:asciiTheme="minorEastAsia" w:hAnsiTheme="minorEastAsia" w:eastAsiaTheme="minorEastAsia"/>
          <w:b/>
          <w:bCs/>
          <w:sz w:val="24"/>
          <w:szCs w:val="24"/>
        </w:rPr>
        <w:t>十</w:t>
      </w:r>
      <w:r>
        <w:rPr>
          <w:rFonts w:hint="eastAsia" w:cs="宋体" w:asciiTheme="minorEastAsia" w:hAnsiTheme="minorEastAsia" w:eastAsiaTheme="minorEastAsia"/>
          <w:b/>
          <w:bCs/>
          <w:sz w:val="24"/>
          <w:szCs w:val="24"/>
          <w:lang w:val="en-US" w:eastAsia="zh-CN"/>
        </w:rPr>
        <w:t>二</w:t>
      </w:r>
      <w:r>
        <w:rPr>
          <w:rFonts w:hint="eastAsia" w:cs="宋体" w:asciiTheme="minorEastAsia" w:hAnsiTheme="minorEastAsia" w:eastAsiaTheme="minorEastAsia"/>
          <w:b/>
          <w:bCs/>
          <w:sz w:val="24"/>
          <w:szCs w:val="24"/>
        </w:rPr>
        <w:t>、</w:t>
      </w:r>
      <w:r>
        <w:rPr>
          <w:rFonts w:hint="eastAsia" w:ascii="宋体" w:hAnsi="宋体" w:eastAsia="宋体" w:cs="宋体"/>
          <w:b/>
          <w:bCs/>
          <w:spacing w:val="-5"/>
          <w:sz w:val="24"/>
        </w:rPr>
        <w:t>中小企业声明函（工程、服务）</w:t>
      </w:r>
    </w:p>
    <w:p>
      <w:pPr>
        <w:autoSpaceDE w:val="0"/>
        <w:autoSpaceDN w:val="0"/>
        <w:adjustRightInd w:val="0"/>
        <w:spacing w:before="5"/>
        <w:jc w:val="left"/>
        <w:rPr>
          <w:rFonts w:hint="eastAsia" w:ascii="宋体" w:hAnsi="宋体" w:eastAsia="宋体" w:cs="宋体"/>
          <w:b/>
          <w:kern w:val="0"/>
          <w:sz w:val="48"/>
        </w:rPr>
      </w:pPr>
    </w:p>
    <w:p>
      <w:pPr>
        <w:autoSpaceDE w:val="0"/>
        <w:autoSpaceDN w:val="0"/>
        <w:adjustRightInd w:val="0"/>
        <w:spacing w:line="302" w:lineRule="auto"/>
        <w:ind w:right="415" w:firstLine="640"/>
        <w:jc w:val="left"/>
        <w:rPr>
          <w:rFonts w:hint="eastAsia" w:ascii="宋体" w:hAnsi="宋体" w:eastAsia="宋体" w:cs="宋体"/>
          <w:kern w:val="0"/>
          <w:sz w:val="24"/>
        </w:rPr>
      </w:pPr>
      <w:r>
        <w:rPr>
          <w:rFonts w:hint="eastAsia" w:ascii="宋体" w:hAnsi="宋体" w:eastAsia="宋体" w:cs="宋体"/>
          <w:kern w:val="0"/>
          <w:sz w:val="24"/>
        </w:rPr>
        <w:t>本公司（联合体）郑重声明，根据《政府采购促进中小企业发展管理办法》（财库﹝2020﹞46 号）的规定，本公司（联合体）参加</w:t>
      </w:r>
      <w:r>
        <w:rPr>
          <w:rFonts w:hint="eastAsia" w:ascii="宋体" w:hAnsi="宋体" w:eastAsia="宋体" w:cs="宋体"/>
          <w:kern w:val="0"/>
          <w:sz w:val="24"/>
          <w:u w:val="single"/>
        </w:rPr>
        <w:t>（单位名称）</w:t>
      </w:r>
      <w:r>
        <w:rPr>
          <w:rFonts w:hint="eastAsia" w:ascii="宋体" w:hAnsi="宋体" w:eastAsia="宋体" w:cs="宋体"/>
          <w:kern w:val="0"/>
          <w:sz w:val="24"/>
        </w:rPr>
        <w:t>的</w:t>
      </w:r>
      <w:r>
        <w:rPr>
          <w:rFonts w:hint="eastAsia" w:ascii="宋体" w:hAnsi="宋体" w:eastAsia="宋体" w:cs="宋体"/>
          <w:kern w:val="0"/>
          <w:sz w:val="24"/>
          <w:u w:val="single"/>
        </w:rPr>
        <w:t>（项目名称）</w:t>
      </w:r>
      <w:r>
        <w:rPr>
          <w:rFonts w:hint="eastAsia" w:ascii="宋体" w:hAnsi="宋体" w:eastAsia="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7"/>
        </w:numPr>
        <w:tabs>
          <w:tab w:val="left" w:pos="1243"/>
        </w:tabs>
        <w:autoSpaceDE w:val="0"/>
        <w:autoSpaceDN w:val="0"/>
        <w:adjustRightInd w:val="0"/>
        <w:spacing w:line="402" w:lineRule="exact"/>
        <w:ind w:firstLine="655"/>
        <w:jc w:val="left"/>
        <w:rPr>
          <w:rFonts w:hint="eastAsia" w:ascii="宋体" w:hAnsi="宋体" w:eastAsia="宋体" w:cs="宋体"/>
          <w:kern w:val="0"/>
          <w:sz w:val="24"/>
        </w:rPr>
      </w:pPr>
      <w:r>
        <w:rPr>
          <w:rFonts w:hint="eastAsia" w:ascii="宋体" w:hAnsi="宋体" w:eastAsia="宋体" w:cs="宋体"/>
          <w:w w:val="96"/>
          <w:kern w:val="0"/>
          <w:sz w:val="24"/>
          <w:u w:val="single"/>
        </w:rPr>
        <w:t>（标的名称）</w:t>
      </w:r>
      <w:r>
        <w:rPr>
          <w:rFonts w:hint="eastAsia" w:ascii="宋体" w:hAnsi="宋体" w:eastAsia="宋体" w:cs="宋体"/>
          <w:w w:val="99"/>
          <w:kern w:val="0"/>
          <w:sz w:val="24"/>
        </w:rPr>
        <w:t>，属于</w:t>
      </w:r>
      <w:r>
        <w:rPr>
          <w:rFonts w:hint="eastAsia" w:ascii="宋体" w:hAnsi="宋体" w:eastAsia="宋体" w:cs="宋体"/>
          <w:w w:val="96"/>
          <w:kern w:val="0"/>
          <w:sz w:val="24"/>
        </w:rPr>
        <w:t>（</w:t>
      </w:r>
      <w:r>
        <w:rPr>
          <w:rFonts w:hint="eastAsia" w:ascii="宋体" w:hAnsi="宋体" w:eastAsia="宋体" w:cs="宋体"/>
          <w:w w:val="96"/>
          <w:kern w:val="0"/>
          <w:sz w:val="24"/>
          <w:u w:val="single"/>
        </w:rPr>
        <w:t>采购文件中明确的所属行业）</w:t>
      </w:r>
      <w:r>
        <w:rPr>
          <w:rFonts w:hint="eastAsia" w:ascii="宋体" w:hAnsi="宋体" w:eastAsia="宋体" w:cs="宋体"/>
          <w:w w:val="99"/>
          <w:kern w:val="0"/>
          <w:sz w:val="24"/>
        </w:rPr>
        <w:t>；</w:t>
      </w:r>
    </w:p>
    <w:p>
      <w:pPr>
        <w:tabs>
          <w:tab w:val="left" w:pos="1806"/>
          <w:tab w:val="left" w:pos="5005"/>
          <w:tab w:val="left" w:pos="7227"/>
        </w:tabs>
        <w:autoSpaceDE w:val="0"/>
        <w:autoSpaceDN w:val="0"/>
        <w:adjustRightInd w:val="0"/>
        <w:spacing w:before="94" w:line="295" w:lineRule="auto"/>
        <w:ind w:left="205" w:right="236" w:firstLine="14"/>
        <w:jc w:val="left"/>
        <w:rPr>
          <w:rFonts w:hint="eastAsia" w:ascii="宋体" w:hAnsi="宋体" w:eastAsia="宋体" w:cs="宋体"/>
          <w:kern w:val="0"/>
          <w:sz w:val="24"/>
        </w:rPr>
      </w:pPr>
      <w:r>
        <w:rPr>
          <w:rFonts w:hint="eastAsia" w:ascii="宋体" w:hAnsi="宋体" w:eastAsia="宋体" w:cs="宋体"/>
          <w:w w:val="99"/>
          <w:kern w:val="0"/>
          <w:sz w:val="24"/>
        </w:rPr>
        <w:t>承建（承接）企业为</w:t>
      </w:r>
      <w:r>
        <w:rPr>
          <w:rFonts w:hint="eastAsia" w:ascii="宋体" w:hAnsi="宋体" w:eastAsia="宋体" w:cs="宋体"/>
          <w:w w:val="96"/>
          <w:kern w:val="0"/>
          <w:sz w:val="24"/>
          <w:u w:val="single"/>
        </w:rPr>
        <w:t>（企业名称）</w:t>
      </w:r>
      <w:r>
        <w:rPr>
          <w:rFonts w:hint="eastAsia" w:ascii="宋体" w:hAnsi="宋体" w:eastAsia="宋体" w:cs="宋体"/>
          <w:w w:val="99"/>
          <w:kern w:val="0"/>
          <w:sz w:val="24"/>
        </w:rPr>
        <w:t>，从业人员</w:t>
      </w:r>
      <w:r>
        <w:rPr>
          <w:rFonts w:hint="eastAsia" w:ascii="宋体" w:hAnsi="宋体" w:eastAsia="宋体" w:cs="宋体"/>
          <w:w w:val="99"/>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w w:val="99"/>
          <w:kern w:val="0"/>
          <w:sz w:val="24"/>
        </w:rPr>
        <w:t>人，营业</w:t>
      </w:r>
      <w:r>
        <w:rPr>
          <w:rFonts w:hint="eastAsia" w:ascii="宋体" w:hAnsi="宋体" w:eastAsia="宋体" w:cs="宋体"/>
          <w:kern w:val="0"/>
          <w:sz w:val="24"/>
        </w:rPr>
        <w:t>收入为</w:t>
      </w:r>
      <w:r>
        <w:rPr>
          <w:rFonts w:hint="eastAsia" w:ascii="宋体" w:hAnsi="宋体" w:eastAsia="宋体" w:cs="宋体"/>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kern w:val="0"/>
          <w:sz w:val="24"/>
        </w:rPr>
        <w:t>万元，资产总额为</w:t>
      </w:r>
      <w:r>
        <w:rPr>
          <w:rFonts w:hint="eastAsia" w:ascii="宋体" w:hAnsi="宋体" w:eastAsia="宋体" w:cs="宋体"/>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kern w:val="0"/>
          <w:sz w:val="24"/>
        </w:rPr>
        <w:t>万元，属于</w:t>
      </w:r>
      <w:r>
        <w:rPr>
          <w:rFonts w:hint="eastAsia" w:ascii="宋体" w:hAnsi="宋体" w:eastAsia="宋体" w:cs="宋体"/>
          <w:kern w:val="0"/>
          <w:sz w:val="24"/>
          <w:u w:val="single"/>
        </w:rPr>
        <w:t>（中型企业、</w:t>
      </w:r>
      <w:r>
        <w:rPr>
          <w:rFonts w:hint="eastAsia" w:ascii="宋体" w:hAnsi="宋体" w:eastAsia="宋体" w:cs="宋体"/>
          <w:w w:val="96"/>
          <w:kern w:val="0"/>
          <w:sz w:val="24"/>
          <w:u w:val="single"/>
        </w:rPr>
        <w:t>小型企业、微型企业）</w:t>
      </w:r>
      <w:r>
        <w:rPr>
          <w:rFonts w:hint="eastAsia" w:ascii="宋体" w:hAnsi="宋体" w:eastAsia="宋体" w:cs="宋体"/>
          <w:w w:val="99"/>
          <w:kern w:val="0"/>
          <w:sz w:val="24"/>
        </w:rPr>
        <w:t>；</w:t>
      </w:r>
    </w:p>
    <w:p>
      <w:pPr>
        <w:numPr>
          <w:ilvl w:val="0"/>
          <w:numId w:val="17"/>
        </w:numPr>
        <w:tabs>
          <w:tab w:val="left" w:pos="1243"/>
          <w:tab w:val="left" w:pos="1806"/>
          <w:tab w:val="left" w:pos="5005"/>
          <w:tab w:val="left" w:pos="7213"/>
        </w:tabs>
        <w:autoSpaceDE w:val="0"/>
        <w:autoSpaceDN w:val="0"/>
        <w:adjustRightInd w:val="0"/>
        <w:spacing w:line="295" w:lineRule="auto"/>
        <w:ind w:right="258" w:firstLine="655"/>
        <w:jc w:val="left"/>
        <w:rPr>
          <w:rFonts w:hint="eastAsia" w:ascii="宋体" w:hAnsi="宋体" w:eastAsia="宋体" w:cs="宋体"/>
          <w:kern w:val="0"/>
          <w:sz w:val="24"/>
        </w:rPr>
      </w:pPr>
      <w:r>
        <w:rPr>
          <w:rFonts w:hint="eastAsia" w:ascii="宋体" w:hAnsi="宋体" w:eastAsia="宋体" w:cs="宋体"/>
          <w:w w:val="96"/>
          <w:kern w:val="0"/>
          <w:sz w:val="24"/>
          <w:u w:val="single"/>
        </w:rPr>
        <w:t>（标的名称）</w:t>
      </w:r>
      <w:r>
        <w:rPr>
          <w:rFonts w:hint="eastAsia" w:ascii="宋体" w:hAnsi="宋体" w:eastAsia="宋体" w:cs="宋体"/>
          <w:w w:val="99"/>
          <w:kern w:val="0"/>
          <w:sz w:val="24"/>
        </w:rPr>
        <w:t>，属于</w:t>
      </w:r>
      <w:r>
        <w:rPr>
          <w:rFonts w:hint="eastAsia" w:ascii="宋体" w:hAnsi="宋体" w:eastAsia="宋体" w:cs="宋体"/>
          <w:w w:val="96"/>
          <w:kern w:val="0"/>
          <w:sz w:val="24"/>
        </w:rPr>
        <w:t>（</w:t>
      </w:r>
      <w:r>
        <w:rPr>
          <w:rFonts w:hint="eastAsia" w:ascii="宋体" w:hAnsi="宋体" w:eastAsia="宋体" w:cs="宋体"/>
          <w:w w:val="96"/>
          <w:kern w:val="0"/>
          <w:sz w:val="24"/>
          <w:u w:val="single"/>
        </w:rPr>
        <w:t>采购文件中明确的所属行业）</w:t>
      </w:r>
      <w:r>
        <w:rPr>
          <w:rFonts w:hint="eastAsia" w:ascii="宋体" w:hAnsi="宋体" w:eastAsia="宋体" w:cs="宋体"/>
          <w:w w:val="99"/>
          <w:kern w:val="0"/>
          <w:sz w:val="24"/>
        </w:rPr>
        <w:t>；承建（承接）企业为</w:t>
      </w:r>
      <w:r>
        <w:rPr>
          <w:rFonts w:hint="eastAsia" w:ascii="宋体" w:hAnsi="宋体" w:eastAsia="宋体" w:cs="宋体"/>
          <w:w w:val="96"/>
          <w:kern w:val="0"/>
          <w:sz w:val="24"/>
          <w:u w:val="single"/>
        </w:rPr>
        <w:t>（企业名称）</w:t>
      </w:r>
      <w:r>
        <w:rPr>
          <w:rFonts w:hint="eastAsia" w:ascii="宋体" w:hAnsi="宋体" w:eastAsia="宋体" w:cs="宋体"/>
          <w:w w:val="99"/>
          <w:kern w:val="0"/>
          <w:sz w:val="24"/>
        </w:rPr>
        <w:t>，从业人员</w:t>
      </w:r>
      <w:r>
        <w:rPr>
          <w:rFonts w:hint="eastAsia" w:ascii="宋体" w:hAnsi="宋体" w:eastAsia="宋体" w:cs="宋体"/>
          <w:w w:val="99"/>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w w:val="99"/>
          <w:kern w:val="0"/>
          <w:sz w:val="24"/>
        </w:rPr>
        <w:t>人，营业</w:t>
      </w:r>
      <w:r>
        <w:rPr>
          <w:rFonts w:hint="eastAsia" w:ascii="宋体" w:hAnsi="宋体" w:eastAsia="宋体" w:cs="宋体"/>
          <w:kern w:val="0"/>
          <w:sz w:val="24"/>
        </w:rPr>
        <w:t>收入为</w:t>
      </w:r>
      <w:r>
        <w:rPr>
          <w:rFonts w:hint="eastAsia" w:ascii="宋体" w:hAnsi="宋体" w:eastAsia="宋体" w:cs="宋体"/>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kern w:val="0"/>
          <w:sz w:val="24"/>
        </w:rPr>
        <w:t>万元，资产总额为</w:t>
      </w:r>
      <w:r>
        <w:rPr>
          <w:rFonts w:hint="eastAsia" w:ascii="宋体" w:hAnsi="宋体" w:eastAsia="宋体" w:cs="宋体"/>
          <w:kern w:val="0"/>
          <w:sz w:val="24"/>
          <w:u w:val="single"/>
        </w:rPr>
        <w:t xml:space="preserve"> </w:t>
      </w:r>
      <w:r>
        <w:rPr>
          <w:rFonts w:hint="eastAsia" w:ascii="宋体" w:hAnsi="宋体" w:eastAsia="宋体" w:cs="宋体"/>
          <w:kern w:val="0"/>
          <w:sz w:val="24"/>
          <w:u w:val="single"/>
        </w:rPr>
        <w:tab/>
      </w:r>
      <w:r>
        <w:rPr>
          <w:rFonts w:hint="eastAsia" w:ascii="宋体" w:hAnsi="宋体" w:eastAsia="宋体" w:cs="宋体"/>
          <w:kern w:val="0"/>
          <w:sz w:val="24"/>
        </w:rPr>
        <w:t>万元，属于</w:t>
      </w:r>
      <w:r>
        <w:rPr>
          <w:rFonts w:hint="eastAsia" w:ascii="宋体" w:hAnsi="宋体" w:eastAsia="宋体" w:cs="宋体"/>
          <w:kern w:val="0"/>
          <w:sz w:val="24"/>
          <w:u w:val="single"/>
        </w:rPr>
        <w:t>（中型企业、</w:t>
      </w:r>
      <w:r>
        <w:rPr>
          <w:rFonts w:hint="eastAsia" w:ascii="宋体" w:hAnsi="宋体" w:eastAsia="宋体" w:cs="宋体"/>
          <w:w w:val="96"/>
          <w:kern w:val="0"/>
          <w:sz w:val="24"/>
          <w:u w:val="single"/>
        </w:rPr>
        <w:t>小型企业、微型企业）</w:t>
      </w:r>
      <w:r>
        <w:rPr>
          <w:rFonts w:hint="eastAsia" w:ascii="宋体" w:hAnsi="宋体" w:eastAsia="宋体" w:cs="宋体"/>
          <w:w w:val="99"/>
          <w:kern w:val="0"/>
          <w:sz w:val="24"/>
        </w:rPr>
        <w:t>；</w:t>
      </w:r>
    </w:p>
    <w:p>
      <w:pPr>
        <w:autoSpaceDE w:val="0"/>
        <w:autoSpaceDN w:val="0"/>
        <w:adjustRightInd w:val="0"/>
        <w:spacing w:before="11"/>
        <w:ind w:left="860"/>
        <w:jc w:val="left"/>
        <w:rPr>
          <w:rFonts w:hint="eastAsia" w:ascii="宋体" w:hAnsi="宋体" w:eastAsia="宋体" w:cs="宋体"/>
          <w:kern w:val="0"/>
          <w:sz w:val="24"/>
        </w:rPr>
      </w:pPr>
      <w:r>
        <w:rPr>
          <w:rFonts w:hint="eastAsia" w:ascii="宋体" w:hAnsi="宋体" w:eastAsia="宋体" w:cs="宋体"/>
          <w:kern w:val="0"/>
          <w:sz w:val="24"/>
        </w:rPr>
        <w:t>……</w:t>
      </w:r>
    </w:p>
    <w:p>
      <w:pPr>
        <w:autoSpaceDE w:val="0"/>
        <w:autoSpaceDN w:val="0"/>
        <w:adjustRightInd w:val="0"/>
        <w:spacing w:before="108" w:line="304" w:lineRule="auto"/>
        <w:ind w:right="417" w:firstLine="645"/>
        <w:rPr>
          <w:rFonts w:hint="eastAsia" w:ascii="宋体" w:hAnsi="宋体" w:eastAsia="宋体" w:cs="宋体"/>
          <w:kern w:val="0"/>
          <w:sz w:val="24"/>
        </w:rPr>
      </w:pPr>
      <w:r>
        <w:rPr>
          <w:rFonts w:hint="eastAsia" w:ascii="宋体" w:hAnsi="宋体" w:eastAsia="宋体" w:cs="宋体"/>
          <w:kern w:val="0"/>
          <w:sz w:val="24"/>
        </w:rPr>
        <w:t>以上企业，不属于大企业的分支机构，不存在控股股东</w:t>
      </w:r>
      <w:r>
        <w:rPr>
          <w:rFonts w:hint="eastAsia" w:ascii="宋体" w:hAnsi="宋体" w:eastAsia="宋体" w:cs="宋体"/>
          <w:w w:val="95"/>
          <w:kern w:val="0"/>
          <w:sz w:val="24"/>
        </w:rPr>
        <w:t xml:space="preserve">为大企业的情形，也不存在与大企业的负责人为同一人的情 </w:t>
      </w:r>
      <w:r>
        <w:rPr>
          <w:rFonts w:hint="eastAsia" w:ascii="宋体" w:hAnsi="宋体" w:eastAsia="宋体" w:cs="宋体"/>
          <w:kern w:val="0"/>
          <w:sz w:val="24"/>
        </w:rPr>
        <w:t>形。</w:t>
      </w:r>
    </w:p>
    <w:p>
      <w:pPr>
        <w:autoSpaceDE w:val="0"/>
        <w:autoSpaceDN w:val="0"/>
        <w:adjustRightInd w:val="0"/>
        <w:spacing w:line="304" w:lineRule="auto"/>
        <w:ind w:right="420" w:firstLine="640"/>
        <w:jc w:val="left"/>
        <w:rPr>
          <w:rFonts w:hint="eastAsia" w:ascii="宋体" w:hAnsi="宋体" w:eastAsia="宋体" w:cs="宋体"/>
          <w:kern w:val="0"/>
          <w:sz w:val="24"/>
        </w:rPr>
      </w:pPr>
      <w:r>
        <w:rPr>
          <w:rFonts w:hint="eastAsia" w:ascii="宋体" w:hAnsi="宋体" w:eastAsia="宋体" w:cs="宋体"/>
          <w:w w:val="95"/>
          <w:kern w:val="0"/>
          <w:sz w:val="24"/>
        </w:rPr>
        <w:t xml:space="preserve">本企业对上述声明内容的真实性负责。如有虚假，将依 </w:t>
      </w:r>
      <w:r>
        <w:rPr>
          <w:rFonts w:hint="eastAsia" w:ascii="宋体" w:hAnsi="宋体" w:eastAsia="宋体" w:cs="宋体"/>
          <w:kern w:val="0"/>
          <w:sz w:val="24"/>
        </w:rPr>
        <w:t>法承担相应责任。</w:t>
      </w:r>
    </w:p>
    <w:p>
      <w:pPr>
        <w:autoSpaceDE w:val="0"/>
        <w:autoSpaceDN w:val="0"/>
        <w:adjustRightInd w:val="0"/>
        <w:jc w:val="left"/>
        <w:rPr>
          <w:rFonts w:hint="eastAsia" w:ascii="宋体" w:hAnsi="宋体" w:eastAsia="宋体" w:cs="宋体"/>
          <w:kern w:val="0"/>
          <w:sz w:val="24"/>
        </w:rPr>
      </w:pPr>
    </w:p>
    <w:p>
      <w:pPr>
        <w:autoSpaceDE w:val="0"/>
        <w:autoSpaceDN w:val="0"/>
        <w:adjustRightInd w:val="0"/>
        <w:jc w:val="left"/>
        <w:rPr>
          <w:rFonts w:hint="eastAsia" w:ascii="宋体" w:hAnsi="宋体" w:eastAsia="宋体" w:cs="宋体"/>
          <w:kern w:val="0"/>
          <w:sz w:val="24"/>
        </w:rPr>
      </w:pPr>
    </w:p>
    <w:p>
      <w:pPr>
        <w:autoSpaceDE w:val="0"/>
        <w:autoSpaceDN w:val="0"/>
        <w:adjustRightInd w:val="0"/>
        <w:jc w:val="left"/>
        <w:rPr>
          <w:rFonts w:hint="eastAsia" w:ascii="宋体" w:hAnsi="宋体" w:eastAsia="宋体" w:cs="宋体"/>
          <w:kern w:val="0"/>
          <w:sz w:val="24"/>
        </w:rPr>
      </w:pPr>
    </w:p>
    <w:p>
      <w:pPr>
        <w:autoSpaceDE w:val="0"/>
        <w:autoSpaceDN w:val="0"/>
        <w:adjustRightInd w:val="0"/>
        <w:ind w:right="420"/>
        <w:jc w:val="center"/>
        <w:rPr>
          <w:rFonts w:hint="eastAsia" w:ascii="宋体" w:hAnsi="宋体" w:eastAsia="宋体" w:cs="宋体"/>
          <w:w w:val="95"/>
          <w:kern w:val="0"/>
          <w:sz w:val="24"/>
        </w:rPr>
      </w:pPr>
      <w:r>
        <w:rPr>
          <w:rFonts w:hint="eastAsia" w:ascii="宋体" w:hAnsi="宋体" w:eastAsia="宋体" w:cs="宋体"/>
          <w:w w:val="95"/>
          <w:kern w:val="0"/>
          <w:sz w:val="24"/>
        </w:rPr>
        <w:t xml:space="preserve">       企业名称（盖章）：                   </w:t>
      </w:r>
    </w:p>
    <w:p>
      <w:pPr>
        <w:autoSpaceDE w:val="0"/>
        <w:autoSpaceDN w:val="0"/>
        <w:adjustRightInd w:val="0"/>
        <w:ind w:right="420"/>
        <w:jc w:val="center"/>
        <w:rPr>
          <w:rFonts w:hint="eastAsia" w:ascii="宋体" w:hAnsi="宋体" w:eastAsia="宋体" w:cs="宋体"/>
          <w:w w:val="95"/>
          <w:kern w:val="0"/>
          <w:sz w:val="24"/>
        </w:rPr>
      </w:pPr>
      <w:r>
        <w:rPr>
          <w:rFonts w:hint="eastAsia" w:ascii="宋体" w:hAnsi="宋体" w:eastAsia="宋体" w:cs="宋体"/>
          <w:w w:val="95"/>
          <w:kern w:val="0"/>
          <w:sz w:val="24"/>
        </w:rPr>
        <w:t>日    期：</w:t>
      </w:r>
    </w:p>
    <w:p>
      <w:pPr>
        <w:autoSpaceDE w:val="0"/>
        <w:autoSpaceDN w:val="0"/>
        <w:adjustRightInd w:val="0"/>
        <w:jc w:val="left"/>
        <w:rPr>
          <w:rFonts w:hint="eastAsia" w:ascii="宋体" w:hAnsi="宋体" w:eastAsia="宋体" w:cs="宋体"/>
          <w:kern w:val="0"/>
          <w:sz w:val="24"/>
        </w:rPr>
      </w:pPr>
    </w:p>
    <w:p>
      <w:pPr>
        <w:autoSpaceDE w:val="0"/>
        <w:autoSpaceDN w:val="0"/>
        <w:adjustRightInd w:val="0"/>
        <w:spacing w:before="108" w:line="304" w:lineRule="auto"/>
        <w:ind w:right="417" w:firstLine="645"/>
        <w:rPr>
          <w:rFonts w:hint="eastAsia" w:ascii="宋体" w:hAnsi="宋体" w:eastAsia="宋体" w:cs="宋体"/>
          <w:w w:val="95"/>
          <w:kern w:val="0"/>
          <w:sz w:val="24"/>
        </w:rPr>
      </w:pPr>
      <w:r>
        <w:rPr>
          <w:rFonts w:hint="eastAsia" w:ascii="宋体" w:hAnsi="宋体" w:eastAsia="宋体" w:cs="宋体"/>
          <w:w w:val="95"/>
          <w:kern w:val="0"/>
          <w:sz w:val="24"/>
        </w:rPr>
        <w:t>附注：1 从业人员、营业收入、资产总额填报上一年度数据，无上一年度数据的新成立企业可不填报。</w:t>
      </w:r>
    </w:p>
    <w:p>
      <w:pPr>
        <w:autoSpaceDE w:val="0"/>
        <w:autoSpaceDN w:val="0"/>
        <w:adjustRightInd w:val="0"/>
        <w:spacing w:before="108" w:line="304" w:lineRule="auto"/>
        <w:ind w:right="417" w:firstLine="645"/>
        <w:rPr>
          <w:rFonts w:hint="eastAsia" w:ascii="宋体" w:hAnsi="宋体" w:eastAsia="宋体" w:cs="宋体"/>
          <w:w w:val="95"/>
          <w:kern w:val="0"/>
          <w:sz w:val="24"/>
        </w:rPr>
      </w:pPr>
      <w:r>
        <w:rPr>
          <w:rFonts w:hint="eastAsia" w:ascii="宋体" w:hAnsi="宋体" w:eastAsia="宋体" w:cs="宋体"/>
          <w:w w:val="95"/>
          <w:kern w:val="0"/>
          <w:sz w:val="24"/>
        </w:rPr>
        <w:t>（提醒：如果响应人不是中小微企业，则不需要填《中小企业声明函》。否则，因此导致虚假投标的后果由投标供应商自行承担。）</w:t>
      </w:r>
    </w:p>
    <w:p>
      <w:pPr>
        <w:autoSpaceDE w:val="0"/>
        <w:autoSpaceDN w:val="0"/>
        <w:adjustRightInd w:val="0"/>
        <w:spacing w:before="108" w:line="304" w:lineRule="auto"/>
        <w:ind w:right="417" w:firstLine="645"/>
        <w:rPr>
          <w:rFonts w:hint="eastAsia" w:ascii="宋体" w:hAnsi="宋体" w:eastAsia="宋体" w:cs="宋体"/>
          <w:sz w:val="24"/>
        </w:rPr>
      </w:pPr>
      <w:r>
        <w:rPr>
          <w:rFonts w:hint="eastAsia" w:ascii="宋体" w:hAnsi="宋体" w:eastAsia="宋体" w:cs="宋体"/>
          <w:w w:val="95"/>
          <w:kern w:val="0"/>
          <w:sz w:val="24"/>
        </w:rPr>
        <w:t>特别说明：不符合中小企业或监狱企业或残疾人福利性单位的响应人不需要提供以上附件。</w:t>
      </w:r>
    </w:p>
    <w:p>
      <w:pPr>
        <w:pStyle w:val="7"/>
        <w:rPr>
          <w:rFonts w:hint="eastAsia" w:ascii="宋体" w:hAnsi="宋体" w:eastAsia="宋体" w:cs="宋体"/>
          <w:lang w:val="en-US" w:eastAsia="zh-CN"/>
        </w:rPr>
      </w:pPr>
      <w:r>
        <w:rPr>
          <w:rFonts w:hint="eastAsia" w:cs="宋体"/>
          <w:lang w:val="en-US" w:eastAsia="zh-CN"/>
        </w:rPr>
        <w:br w:type="textWrapp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69E47"/>
    <w:multiLevelType w:val="singleLevel"/>
    <w:tmpl w:val="C1469E47"/>
    <w:lvl w:ilvl="0" w:tentative="0">
      <w:start w:val="1"/>
      <w:numFmt w:val="decimal"/>
      <w:suff w:val="nothing"/>
      <w:lvlText w:val="%1、"/>
      <w:lvlJc w:val="left"/>
    </w:lvl>
  </w:abstractNum>
  <w:abstractNum w:abstractNumId="1">
    <w:nsid w:val="D200A036"/>
    <w:multiLevelType w:val="singleLevel"/>
    <w:tmpl w:val="D200A036"/>
    <w:lvl w:ilvl="0" w:tentative="0">
      <w:start w:val="2"/>
      <w:numFmt w:val="decimal"/>
      <w:suff w:val="space"/>
      <w:lvlText w:val="%1."/>
      <w:lvlJc w:val="left"/>
    </w:lvl>
  </w:abstractNum>
  <w:abstractNum w:abstractNumId="2">
    <w:nsid w:val="F79C1D10"/>
    <w:multiLevelType w:val="singleLevel"/>
    <w:tmpl w:val="F79C1D10"/>
    <w:lvl w:ilvl="0" w:tentative="0">
      <w:start w:val="5"/>
      <w:numFmt w:val="chineseCounting"/>
      <w:suff w:val="space"/>
      <w:lvlText w:val="第%1篇"/>
      <w:lvlJc w:val="left"/>
      <w:rPr>
        <w:rFonts w:hint="eastAsia"/>
      </w:rPr>
    </w:lvl>
  </w:abstractNum>
  <w:abstractNum w:abstractNumId="3">
    <w:nsid w:val="0053208E"/>
    <w:multiLevelType w:val="multilevel"/>
    <w:tmpl w:val="0053208E"/>
    <w:lvl w:ilvl="0" w:tentative="0">
      <w:start w:val="1"/>
      <w:numFmt w:val="decimal"/>
      <w:lvlText w:val="%1."/>
      <w:lvlJc w:val="left"/>
      <w:pPr>
        <w:ind w:left="476" w:hanging="243"/>
      </w:pPr>
      <w:rPr>
        <w:rFonts w:hint="default" w:ascii="宋体" w:hAnsi="宋体" w:eastAsia="宋体" w:cs="宋体"/>
        <w:b/>
        <w:bCs/>
        <w:w w:val="99"/>
        <w:sz w:val="22"/>
        <w:szCs w:val="22"/>
        <w:lang w:val="zh-CN" w:eastAsia="zh-CN" w:bidi="zh-CN"/>
      </w:rPr>
    </w:lvl>
    <w:lvl w:ilvl="1" w:tentative="0">
      <w:start w:val="1"/>
      <w:numFmt w:val="decimal"/>
      <w:lvlText w:val="%1.%2"/>
      <w:lvlJc w:val="left"/>
      <w:pPr>
        <w:ind w:left="716" w:hanging="483"/>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34"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240" w:hanging="632"/>
      </w:pPr>
      <w:rPr>
        <w:rFonts w:hint="default"/>
        <w:lang w:val="zh-CN" w:eastAsia="zh-CN" w:bidi="zh-CN"/>
      </w:rPr>
    </w:lvl>
    <w:lvl w:ilvl="4" w:tentative="0">
      <w:start w:val="0"/>
      <w:numFmt w:val="bullet"/>
      <w:lvlText w:val="•"/>
      <w:lvlJc w:val="left"/>
      <w:pPr>
        <w:ind w:left="1280" w:hanging="632"/>
      </w:pPr>
      <w:rPr>
        <w:rFonts w:hint="default"/>
        <w:lang w:val="zh-CN" w:eastAsia="zh-CN" w:bidi="zh-CN"/>
      </w:rPr>
    </w:lvl>
    <w:lvl w:ilvl="5" w:tentative="0">
      <w:start w:val="0"/>
      <w:numFmt w:val="bullet"/>
      <w:lvlText w:val="•"/>
      <w:lvlJc w:val="left"/>
      <w:pPr>
        <w:ind w:left="2687" w:hanging="632"/>
      </w:pPr>
      <w:rPr>
        <w:rFonts w:hint="default"/>
        <w:lang w:val="zh-CN" w:eastAsia="zh-CN" w:bidi="zh-CN"/>
      </w:rPr>
    </w:lvl>
    <w:lvl w:ilvl="6" w:tentative="0">
      <w:start w:val="0"/>
      <w:numFmt w:val="bullet"/>
      <w:lvlText w:val="•"/>
      <w:lvlJc w:val="left"/>
      <w:pPr>
        <w:ind w:left="4095" w:hanging="632"/>
      </w:pPr>
      <w:rPr>
        <w:rFonts w:hint="default"/>
        <w:lang w:val="zh-CN" w:eastAsia="zh-CN" w:bidi="zh-CN"/>
      </w:rPr>
    </w:lvl>
    <w:lvl w:ilvl="7" w:tentative="0">
      <w:start w:val="0"/>
      <w:numFmt w:val="bullet"/>
      <w:lvlText w:val="•"/>
      <w:lvlJc w:val="left"/>
      <w:pPr>
        <w:ind w:left="5503" w:hanging="632"/>
      </w:pPr>
      <w:rPr>
        <w:rFonts w:hint="default"/>
        <w:lang w:val="zh-CN" w:eastAsia="zh-CN" w:bidi="zh-CN"/>
      </w:rPr>
    </w:lvl>
    <w:lvl w:ilvl="8" w:tentative="0">
      <w:start w:val="0"/>
      <w:numFmt w:val="bullet"/>
      <w:lvlText w:val="•"/>
      <w:lvlJc w:val="left"/>
      <w:pPr>
        <w:ind w:left="6910" w:hanging="632"/>
      </w:pPr>
      <w:rPr>
        <w:rFonts w:hint="default"/>
        <w:lang w:val="zh-CN" w:eastAsia="zh-CN" w:bidi="zh-CN"/>
      </w:rPr>
    </w:lvl>
  </w:abstractNum>
  <w:abstractNum w:abstractNumId="4">
    <w:nsid w:val="08153BC0"/>
    <w:multiLevelType w:val="multilevel"/>
    <w:tmpl w:val="08153BC0"/>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1AA02FB3"/>
    <w:multiLevelType w:val="multilevel"/>
    <w:tmpl w:val="1AA02FB3"/>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6">
    <w:nsid w:val="26D20315"/>
    <w:multiLevelType w:val="multilevel"/>
    <w:tmpl w:val="26D20315"/>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7">
    <w:nsid w:val="3A686686"/>
    <w:multiLevelType w:val="multilevel"/>
    <w:tmpl w:val="3A686686"/>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8">
    <w:nsid w:val="42877983"/>
    <w:multiLevelType w:val="multilevel"/>
    <w:tmpl w:val="42877983"/>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9">
    <w:nsid w:val="47BC3521"/>
    <w:multiLevelType w:val="multilevel"/>
    <w:tmpl w:val="47BC3521"/>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0">
    <w:nsid w:val="49336C1C"/>
    <w:multiLevelType w:val="multilevel"/>
    <w:tmpl w:val="49336C1C"/>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1">
    <w:nsid w:val="4AFB40B4"/>
    <w:multiLevelType w:val="multilevel"/>
    <w:tmpl w:val="4AFB40B4"/>
    <w:lvl w:ilvl="0" w:tentative="0">
      <w:start w:val="1"/>
      <w:numFmt w:val="decimal"/>
      <w:lvlText w:val="%1."/>
      <w:lvlJc w:val="left"/>
      <w:pPr>
        <w:ind w:left="205" w:hanging="382"/>
      </w:pPr>
      <w:rPr>
        <w:rFonts w:hint="default" w:ascii="仿宋" w:hAnsi="仿宋" w:eastAsia="仿宋" w:cs="仿宋"/>
        <w:spacing w:val="0"/>
        <w:w w:val="99"/>
        <w:sz w:val="32"/>
        <w:szCs w:val="32"/>
      </w:rPr>
    </w:lvl>
    <w:lvl w:ilvl="1" w:tentative="0">
      <w:start w:val="0"/>
      <w:numFmt w:val="bullet"/>
      <w:lvlText w:val="•"/>
      <w:lvlJc w:val="left"/>
      <w:pPr>
        <w:ind w:left="1074" w:hanging="382"/>
      </w:pPr>
      <w:rPr>
        <w:rFonts w:hint="default"/>
      </w:rPr>
    </w:lvl>
    <w:lvl w:ilvl="2" w:tentative="0">
      <w:start w:val="0"/>
      <w:numFmt w:val="bullet"/>
      <w:lvlText w:val="•"/>
      <w:lvlJc w:val="left"/>
      <w:pPr>
        <w:ind w:left="1949" w:hanging="382"/>
      </w:pPr>
      <w:rPr>
        <w:rFonts w:hint="default"/>
      </w:rPr>
    </w:lvl>
    <w:lvl w:ilvl="3" w:tentative="0">
      <w:start w:val="0"/>
      <w:numFmt w:val="bullet"/>
      <w:lvlText w:val="•"/>
      <w:lvlJc w:val="left"/>
      <w:pPr>
        <w:ind w:left="2823" w:hanging="382"/>
      </w:pPr>
      <w:rPr>
        <w:rFonts w:hint="default"/>
      </w:rPr>
    </w:lvl>
    <w:lvl w:ilvl="4" w:tentative="0">
      <w:start w:val="0"/>
      <w:numFmt w:val="bullet"/>
      <w:lvlText w:val="•"/>
      <w:lvlJc w:val="left"/>
      <w:pPr>
        <w:ind w:left="3698" w:hanging="382"/>
      </w:pPr>
      <w:rPr>
        <w:rFonts w:hint="default"/>
      </w:rPr>
    </w:lvl>
    <w:lvl w:ilvl="5" w:tentative="0">
      <w:start w:val="0"/>
      <w:numFmt w:val="bullet"/>
      <w:lvlText w:val="•"/>
      <w:lvlJc w:val="left"/>
      <w:pPr>
        <w:ind w:left="4573" w:hanging="382"/>
      </w:pPr>
      <w:rPr>
        <w:rFonts w:hint="default"/>
      </w:rPr>
    </w:lvl>
    <w:lvl w:ilvl="6" w:tentative="0">
      <w:start w:val="0"/>
      <w:numFmt w:val="bullet"/>
      <w:lvlText w:val="•"/>
      <w:lvlJc w:val="left"/>
      <w:pPr>
        <w:ind w:left="5447" w:hanging="382"/>
      </w:pPr>
      <w:rPr>
        <w:rFonts w:hint="default"/>
      </w:rPr>
    </w:lvl>
    <w:lvl w:ilvl="7" w:tentative="0">
      <w:start w:val="0"/>
      <w:numFmt w:val="bullet"/>
      <w:lvlText w:val="•"/>
      <w:lvlJc w:val="left"/>
      <w:pPr>
        <w:ind w:left="6322" w:hanging="382"/>
      </w:pPr>
      <w:rPr>
        <w:rFonts w:hint="default"/>
      </w:rPr>
    </w:lvl>
    <w:lvl w:ilvl="8" w:tentative="0">
      <w:start w:val="0"/>
      <w:numFmt w:val="bullet"/>
      <w:lvlText w:val="•"/>
      <w:lvlJc w:val="left"/>
      <w:pPr>
        <w:ind w:left="7196" w:hanging="382"/>
      </w:pPr>
      <w:rPr>
        <w:rFonts w:hint="default"/>
      </w:rPr>
    </w:lvl>
  </w:abstractNum>
  <w:abstractNum w:abstractNumId="12">
    <w:nsid w:val="5EC2158A"/>
    <w:multiLevelType w:val="multilevel"/>
    <w:tmpl w:val="5EC2158A"/>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3">
    <w:nsid w:val="72BC5617"/>
    <w:multiLevelType w:val="multilevel"/>
    <w:tmpl w:val="72BC5617"/>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4">
    <w:nsid w:val="7B552C84"/>
    <w:multiLevelType w:val="multilevel"/>
    <w:tmpl w:val="7B552C84"/>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5">
    <w:nsid w:val="7C3F411C"/>
    <w:multiLevelType w:val="multilevel"/>
    <w:tmpl w:val="7C3F411C"/>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6">
    <w:nsid w:val="7C829637"/>
    <w:multiLevelType w:val="singleLevel"/>
    <w:tmpl w:val="7C829637"/>
    <w:lvl w:ilvl="0" w:tentative="0">
      <w:start w:val="1"/>
      <w:numFmt w:val="decimal"/>
      <w:suff w:val="nothing"/>
      <w:lvlText w:val="%1、"/>
      <w:lvlJc w:val="left"/>
    </w:lvl>
  </w:abstractNum>
  <w:num w:numId="1">
    <w:abstractNumId w:val="1"/>
  </w:num>
  <w:num w:numId="2">
    <w:abstractNumId w:val="3"/>
  </w:num>
  <w:num w:numId="3">
    <w:abstractNumId w:val="16"/>
  </w:num>
  <w:num w:numId="4">
    <w:abstractNumId w:val="2"/>
  </w:num>
  <w:num w:numId="5">
    <w:abstractNumId w:val="14"/>
  </w:num>
  <w:num w:numId="6">
    <w:abstractNumId w:val="8"/>
  </w:num>
  <w:num w:numId="7">
    <w:abstractNumId w:val="13"/>
  </w:num>
  <w:num w:numId="8">
    <w:abstractNumId w:val="5"/>
  </w:num>
  <w:num w:numId="9">
    <w:abstractNumId w:val="4"/>
  </w:num>
  <w:num w:numId="10">
    <w:abstractNumId w:val="12"/>
  </w:num>
  <w:num w:numId="11">
    <w:abstractNumId w:val="6"/>
  </w:num>
  <w:num w:numId="12">
    <w:abstractNumId w:val="7"/>
  </w:num>
  <w:num w:numId="13">
    <w:abstractNumId w:val="9"/>
  </w:num>
  <w:num w:numId="14">
    <w:abstractNumId w:val="10"/>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YjY3NTdiNTBhMGIxOTQxYjllMWM3N2UyZWEwN2EifQ=="/>
    <w:docVar w:name="KSO_WPS_MARK_KEY" w:val="7563b5f3-4b01-4101-bc20-a39f5080cad3"/>
  </w:docVars>
  <w:rsids>
    <w:rsidRoot w:val="66FE0F01"/>
    <w:rsid w:val="00030AE1"/>
    <w:rsid w:val="00056A1E"/>
    <w:rsid w:val="0006014A"/>
    <w:rsid w:val="00076AA1"/>
    <w:rsid w:val="00076CF6"/>
    <w:rsid w:val="00087B9A"/>
    <w:rsid w:val="00090516"/>
    <w:rsid w:val="000A04AF"/>
    <w:rsid w:val="000B1280"/>
    <w:rsid w:val="000B4FC8"/>
    <w:rsid w:val="000C797C"/>
    <w:rsid w:val="000D06B9"/>
    <w:rsid w:val="000E0493"/>
    <w:rsid w:val="00101869"/>
    <w:rsid w:val="001476AC"/>
    <w:rsid w:val="00147ECB"/>
    <w:rsid w:val="00150A11"/>
    <w:rsid w:val="001569C1"/>
    <w:rsid w:val="00157442"/>
    <w:rsid w:val="001639C7"/>
    <w:rsid w:val="00180BCE"/>
    <w:rsid w:val="001828E0"/>
    <w:rsid w:val="0019313D"/>
    <w:rsid w:val="00193487"/>
    <w:rsid w:val="001B3E04"/>
    <w:rsid w:val="001E61F6"/>
    <w:rsid w:val="00205703"/>
    <w:rsid w:val="00253DA9"/>
    <w:rsid w:val="00254575"/>
    <w:rsid w:val="00260AA9"/>
    <w:rsid w:val="00266638"/>
    <w:rsid w:val="0027309B"/>
    <w:rsid w:val="0028006A"/>
    <w:rsid w:val="002C2424"/>
    <w:rsid w:val="002D4F57"/>
    <w:rsid w:val="002D6647"/>
    <w:rsid w:val="002E0D10"/>
    <w:rsid w:val="00300CF4"/>
    <w:rsid w:val="003018EC"/>
    <w:rsid w:val="00313F6F"/>
    <w:rsid w:val="003233C6"/>
    <w:rsid w:val="003233F6"/>
    <w:rsid w:val="00333E39"/>
    <w:rsid w:val="003534F4"/>
    <w:rsid w:val="003A45BC"/>
    <w:rsid w:val="003B757A"/>
    <w:rsid w:val="00411187"/>
    <w:rsid w:val="00465D74"/>
    <w:rsid w:val="00474838"/>
    <w:rsid w:val="004936A9"/>
    <w:rsid w:val="004A56CE"/>
    <w:rsid w:val="004A699F"/>
    <w:rsid w:val="004B6F37"/>
    <w:rsid w:val="004C4995"/>
    <w:rsid w:val="004E0038"/>
    <w:rsid w:val="004E5550"/>
    <w:rsid w:val="00511DA2"/>
    <w:rsid w:val="005142FC"/>
    <w:rsid w:val="00514DCC"/>
    <w:rsid w:val="005337DC"/>
    <w:rsid w:val="00535428"/>
    <w:rsid w:val="00573AD9"/>
    <w:rsid w:val="005827F0"/>
    <w:rsid w:val="00592F00"/>
    <w:rsid w:val="005C4700"/>
    <w:rsid w:val="005D793E"/>
    <w:rsid w:val="0060559C"/>
    <w:rsid w:val="00607DAA"/>
    <w:rsid w:val="00611750"/>
    <w:rsid w:val="006159D2"/>
    <w:rsid w:val="0065291B"/>
    <w:rsid w:val="00665501"/>
    <w:rsid w:val="00682DA0"/>
    <w:rsid w:val="006B61F7"/>
    <w:rsid w:val="006B7165"/>
    <w:rsid w:val="006C37D8"/>
    <w:rsid w:val="006D1028"/>
    <w:rsid w:val="006F0981"/>
    <w:rsid w:val="0070359E"/>
    <w:rsid w:val="00716CDA"/>
    <w:rsid w:val="007462C5"/>
    <w:rsid w:val="00770743"/>
    <w:rsid w:val="00773CA3"/>
    <w:rsid w:val="007767CA"/>
    <w:rsid w:val="0078533F"/>
    <w:rsid w:val="00795695"/>
    <w:rsid w:val="007C0D79"/>
    <w:rsid w:val="007D127C"/>
    <w:rsid w:val="007D4859"/>
    <w:rsid w:val="007E14D7"/>
    <w:rsid w:val="007E5A5D"/>
    <w:rsid w:val="00803682"/>
    <w:rsid w:val="008056E4"/>
    <w:rsid w:val="00810D70"/>
    <w:rsid w:val="00815134"/>
    <w:rsid w:val="00816245"/>
    <w:rsid w:val="00832E19"/>
    <w:rsid w:val="00850AE9"/>
    <w:rsid w:val="00862272"/>
    <w:rsid w:val="0086354D"/>
    <w:rsid w:val="0087245F"/>
    <w:rsid w:val="00877173"/>
    <w:rsid w:val="00895D23"/>
    <w:rsid w:val="008960E9"/>
    <w:rsid w:val="0091539A"/>
    <w:rsid w:val="00930733"/>
    <w:rsid w:val="00935809"/>
    <w:rsid w:val="009403D4"/>
    <w:rsid w:val="00946675"/>
    <w:rsid w:val="009777FB"/>
    <w:rsid w:val="0099399E"/>
    <w:rsid w:val="00997DD4"/>
    <w:rsid w:val="009A0659"/>
    <w:rsid w:val="009B1AF0"/>
    <w:rsid w:val="009C6479"/>
    <w:rsid w:val="009C7BD2"/>
    <w:rsid w:val="009E44CA"/>
    <w:rsid w:val="00A10CEB"/>
    <w:rsid w:val="00A31ABE"/>
    <w:rsid w:val="00A343E1"/>
    <w:rsid w:val="00A5744E"/>
    <w:rsid w:val="00AC5673"/>
    <w:rsid w:val="00AD7730"/>
    <w:rsid w:val="00AE20C2"/>
    <w:rsid w:val="00B14B30"/>
    <w:rsid w:val="00B233A4"/>
    <w:rsid w:val="00B26252"/>
    <w:rsid w:val="00B343A6"/>
    <w:rsid w:val="00BC08D0"/>
    <w:rsid w:val="00BC6CFB"/>
    <w:rsid w:val="00BD44DA"/>
    <w:rsid w:val="00C43F71"/>
    <w:rsid w:val="00C60C4D"/>
    <w:rsid w:val="00C8224F"/>
    <w:rsid w:val="00CC5C73"/>
    <w:rsid w:val="00CF05EC"/>
    <w:rsid w:val="00CF77B6"/>
    <w:rsid w:val="00D0228F"/>
    <w:rsid w:val="00D03B3C"/>
    <w:rsid w:val="00D07CA7"/>
    <w:rsid w:val="00D30554"/>
    <w:rsid w:val="00D43022"/>
    <w:rsid w:val="00D70422"/>
    <w:rsid w:val="00DA7CB5"/>
    <w:rsid w:val="00DE722F"/>
    <w:rsid w:val="00DF00FA"/>
    <w:rsid w:val="00E04D37"/>
    <w:rsid w:val="00E11976"/>
    <w:rsid w:val="00E421C7"/>
    <w:rsid w:val="00E52231"/>
    <w:rsid w:val="00E62532"/>
    <w:rsid w:val="00E64EDA"/>
    <w:rsid w:val="00E830AB"/>
    <w:rsid w:val="00E85BA9"/>
    <w:rsid w:val="00E93D85"/>
    <w:rsid w:val="00EA1489"/>
    <w:rsid w:val="00EA76C4"/>
    <w:rsid w:val="00EB71C2"/>
    <w:rsid w:val="00EE1CB6"/>
    <w:rsid w:val="00EE6E48"/>
    <w:rsid w:val="00F33A9E"/>
    <w:rsid w:val="00F4321F"/>
    <w:rsid w:val="00F70191"/>
    <w:rsid w:val="00F90530"/>
    <w:rsid w:val="00FA14B8"/>
    <w:rsid w:val="00FA42D0"/>
    <w:rsid w:val="00FA60F9"/>
    <w:rsid w:val="00FC07A3"/>
    <w:rsid w:val="00FD245F"/>
    <w:rsid w:val="00FF613D"/>
    <w:rsid w:val="010026B6"/>
    <w:rsid w:val="01CB58C2"/>
    <w:rsid w:val="01E43383"/>
    <w:rsid w:val="0243793F"/>
    <w:rsid w:val="026E1F1B"/>
    <w:rsid w:val="027C6A15"/>
    <w:rsid w:val="02D06CF0"/>
    <w:rsid w:val="02EE236F"/>
    <w:rsid w:val="03243237"/>
    <w:rsid w:val="03345E37"/>
    <w:rsid w:val="033E6ECC"/>
    <w:rsid w:val="038F2165"/>
    <w:rsid w:val="03FA210F"/>
    <w:rsid w:val="04152FCA"/>
    <w:rsid w:val="047731C3"/>
    <w:rsid w:val="04931BB9"/>
    <w:rsid w:val="04BE672E"/>
    <w:rsid w:val="04D60A86"/>
    <w:rsid w:val="05B70D45"/>
    <w:rsid w:val="05DD45F9"/>
    <w:rsid w:val="06137202"/>
    <w:rsid w:val="06281934"/>
    <w:rsid w:val="066225D7"/>
    <w:rsid w:val="069D55EB"/>
    <w:rsid w:val="06E7017C"/>
    <w:rsid w:val="07030802"/>
    <w:rsid w:val="07405ABB"/>
    <w:rsid w:val="07450539"/>
    <w:rsid w:val="07781844"/>
    <w:rsid w:val="079F1234"/>
    <w:rsid w:val="079F783A"/>
    <w:rsid w:val="07DA5C27"/>
    <w:rsid w:val="07F41BC4"/>
    <w:rsid w:val="082578EF"/>
    <w:rsid w:val="08A94CD6"/>
    <w:rsid w:val="090C4E18"/>
    <w:rsid w:val="095063AD"/>
    <w:rsid w:val="09AE6277"/>
    <w:rsid w:val="0A615145"/>
    <w:rsid w:val="0A6B057B"/>
    <w:rsid w:val="0AFF2627"/>
    <w:rsid w:val="0B1F2C9C"/>
    <w:rsid w:val="0B35558A"/>
    <w:rsid w:val="0B4D7A2E"/>
    <w:rsid w:val="0BBF6297"/>
    <w:rsid w:val="0C666A33"/>
    <w:rsid w:val="0C6C2BE6"/>
    <w:rsid w:val="0C7E5351"/>
    <w:rsid w:val="0C984AEC"/>
    <w:rsid w:val="0CAB4C64"/>
    <w:rsid w:val="0D243293"/>
    <w:rsid w:val="0D283144"/>
    <w:rsid w:val="0D324598"/>
    <w:rsid w:val="0D8467C9"/>
    <w:rsid w:val="0DB469D6"/>
    <w:rsid w:val="0DC9427A"/>
    <w:rsid w:val="0E0563D4"/>
    <w:rsid w:val="0E4D727E"/>
    <w:rsid w:val="0E785463"/>
    <w:rsid w:val="0E933FF6"/>
    <w:rsid w:val="0EC87799"/>
    <w:rsid w:val="0F0F6E85"/>
    <w:rsid w:val="0F3B0F72"/>
    <w:rsid w:val="0F82638F"/>
    <w:rsid w:val="0F8F0724"/>
    <w:rsid w:val="0F964AB0"/>
    <w:rsid w:val="100A5CAB"/>
    <w:rsid w:val="10171605"/>
    <w:rsid w:val="10301C10"/>
    <w:rsid w:val="104561DF"/>
    <w:rsid w:val="10B41292"/>
    <w:rsid w:val="10DA0964"/>
    <w:rsid w:val="110A7F6F"/>
    <w:rsid w:val="110C0CF4"/>
    <w:rsid w:val="11162E9C"/>
    <w:rsid w:val="11180B32"/>
    <w:rsid w:val="112B39E1"/>
    <w:rsid w:val="12070E20"/>
    <w:rsid w:val="121C4F47"/>
    <w:rsid w:val="1246683E"/>
    <w:rsid w:val="12560F7D"/>
    <w:rsid w:val="125B3C7A"/>
    <w:rsid w:val="128E4DD5"/>
    <w:rsid w:val="12EE07E9"/>
    <w:rsid w:val="137B6517"/>
    <w:rsid w:val="137C6ACB"/>
    <w:rsid w:val="138E4AB1"/>
    <w:rsid w:val="13920070"/>
    <w:rsid w:val="13934D34"/>
    <w:rsid w:val="13A10CA7"/>
    <w:rsid w:val="13C45474"/>
    <w:rsid w:val="13EB3EBB"/>
    <w:rsid w:val="14014B8A"/>
    <w:rsid w:val="142F6764"/>
    <w:rsid w:val="145200C4"/>
    <w:rsid w:val="1490760A"/>
    <w:rsid w:val="14C07E31"/>
    <w:rsid w:val="14E97CB5"/>
    <w:rsid w:val="1521701F"/>
    <w:rsid w:val="15373D7A"/>
    <w:rsid w:val="153937B0"/>
    <w:rsid w:val="15831BCF"/>
    <w:rsid w:val="15D67C61"/>
    <w:rsid w:val="15ED1A7C"/>
    <w:rsid w:val="165455AE"/>
    <w:rsid w:val="169E30B4"/>
    <w:rsid w:val="16DA6555"/>
    <w:rsid w:val="17734910"/>
    <w:rsid w:val="1795258B"/>
    <w:rsid w:val="17C97060"/>
    <w:rsid w:val="17E13112"/>
    <w:rsid w:val="18387A22"/>
    <w:rsid w:val="185F3A57"/>
    <w:rsid w:val="186A57AF"/>
    <w:rsid w:val="187B4C98"/>
    <w:rsid w:val="18CC4F36"/>
    <w:rsid w:val="18EB0511"/>
    <w:rsid w:val="1941766A"/>
    <w:rsid w:val="19B50AEE"/>
    <w:rsid w:val="1A06060E"/>
    <w:rsid w:val="1A277FE1"/>
    <w:rsid w:val="1A5F1A92"/>
    <w:rsid w:val="1A830273"/>
    <w:rsid w:val="1AB576FF"/>
    <w:rsid w:val="1AFA0A84"/>
    <w:rsid w:val="1AFD3664"/>
    <w:rsid w:val="1B537CF5"/>
    <w:rsid w:val="1B8C0239"/>
    <w:rsid w:val="1BA2481C"/>
    <w:rsid w:val="1BBB4F0E"/>
    <w:rsid w:val="1BE0597E"/>
    <w:rsid w:val="1C7101F4"/>
    <w:rsid w:val="1CAC526F"/>
    <w:rsid w:val="1D102403"/>
    <w:rsid w:val="1D2543E5"/>
    <w:rsid w:val="1D74191C"/>
    <w:rsid w:val="1D890638"/>
    <w:rsid w:val="1DA23D2C"/>
    <w:rsid w:val="1DC50A29"/>
    <w:rsid w:val="1E0E1D0A"/>
    <w:rsid w:val="1E3468B0"/>
    <w:rsid w:val="1E417008"/>
    <w:rsid w:val="1E741939"/>
    <w:rsid w:val="1ED648C5"/>
    <w:rsid w:val="1EDC0FC5"/>
    <w:rsid w:val="1EF6757D"/>
    <w:rsid w:val="1F176483"/>
    <w:rsid w:val="1F310C35"/>
    <w:rsid w:val="1F386F98"/>
    <w:rsid w:val="1F6805A4"/>
    <w:rsid w:val="1FAB0F1C"/>
    <w:rsid w:val="1FB41542"/>
    <w:rsid w:val="201B354E"/>
    <w:rsid w:val="201E658E"/>
    <w:rsid w:val="20534497"/>
    <w:rsid w:val="206802C4"/>
    <w:rsid w:val="20690849"/>
    <w:rsid w:val="20FA5EC9"/>
    <w:rsid w:val="21410DF4"/>
    <w:rsid w:val="21B33BC2"/>
    <w:rsid w:val="22394A78"/>
    <w:rsid w:val="22567A94"/>
    <w:rsid w:val="22682C67"/>
    <w:rsid w:val="22823BBF"/>
    <w:rsid w:val="228A3B3D"/>
    <w:rsid w:val="22E07B93"/>
    <w:rsid w:val="22F71299"/>
    <w:rsid w:val="231653B5"/>
    <w:rsid w:val="23A3296C"/>
    <w:rsid w:val="23D15046"/>
    <w:rsid w:val="2416424F"/>
    <w:rsid w:val="2457528E"/>
    <w:rsid w:val="245F7C25"/>
    <w:rsid w:val="249A7186"/>
    <w:rsid w:val="24A106B2"/>
    <w:rsid w:val="24E4175F"/>
    <w:rsid w:val="250C1366"/>
    <w:rsid w:val="252D6C0B"/>
    <w:rsid w:val="2533456E"/>
    <w:rsid w:val="256B63B0"/>
    <w:rsid w:val="263300D5"/>
    <w:rsid w:val="26891D9E"/>
    <w:rsid w:val="27027E3C"/>
    <w:rsid w:val="272F1EF6"/>
    <w:rsid w:val="273C030B"/>
    <w:rsid w:val="276E2DED"/>
    <w:rsid w:val="27B75237"/>
    <w:rsid w:val="27BE212E"/>
    <w:rsid w:val="27FB5C09"/>
    <w:rsid w:val="2832282C"/>
    <w:rsid w:val="2845386D"/>
    <w:rsid w:val="28A975A6"/>
    <w:rsid w:val="28C05D1C"/>
    <w:rsid w:val="28FA3204"/>
    <w:rsid w:val="29AB079C"/>
    <w:rsid w:val="29BD7D3C"/>
    <w:rsid w:val="29D84C24"/>
    <w:rsid w:val="29DA2BF8"/>
    <w:rsid w:val="2A1F52E0"/>
    <w:rsid w:val="2A2F6144"/>
    <w:rsid w:val="2A354C78"/>
    <w:rsid w:val="2A4760B7"/>
    <w:rsid w:val="2A60357C"/>
    <w:rsid w:val="2A7944E8"/>
    <w:rsid w:val="2B3E065C"/>
    <w:rsid w:val="2B7F5DF8"/>
    <w:rsid w:val="2BA83FDC"/>
    <w:rsid w:val="2C0D1D20"/>
    <w:rsid w:val="2C385C4B"/>
    <w:rsid w:val="2C465EC9"/>
    <w:rsid w:val="2C8C47E1"/>
    <w:rsid w:val="2CA34BC2"/>
    <w:rsid w:val="2D145E37"/>
    <w:rsid w:val="2D8C23B6"/>
    <w:rsid w:val="2D951725"/>
    <w:rsid w:val="2DD85728"/>
    <w:rsid w:val="2DEA068D"/>
    <w:rsid w:val="2DF137F4"/>
    <w:rsid w:val="2DF96F38"/>
    <w:rsid w:val="2DFC69E0"/>
    <w:rsid w:val="2E3072FD"/>
    <w:rsid w:val="2E43414B"/>
    <w:rsid w:val="2E7A4029"/>
    <w:rsid w:val="2E7F1A64"/>
    <w:rsid w:val="2E8A1F03"/>
    <w:rsid w:val="2EA91E5B"/>
    <w:rsid w:val="2ED84D86"/>
    <w:rsid w:val="2F0D005E"/>
    <w:rsid w:val="2F5845A9"/>
    <w:rsid w:val="2F596444"/>
    <w:rsid w:val="2FFF2007"/>
    <w:rsid w:val="300268FA"/>
    <w:rsid w:val="302C34A1"/>
    <w:rsid w:val="3044150C"/>
    <w:rsid w:val="307C75D1"/>
    <w:rsid w:val="309E0841"/>
    <w:rsid w:val="30E27D1E"/>
    <w:rsid w:val="30FB739F"/>
    <w:rsid w:val="310224D9"/>
    <w:rsid w:val="31713DE6"/>
    <w:rsid w:val="3179310D"/>
    <w:rsid w:val="317C6E96"/>
    <w:rsid w:val="31960B90"/>
    <w:rsid w:val="323450C7"/>
    <w:rsid w:val="326C5C55"/>
    <w:rsid w:val="329841EC"/>
    <w:rsid w:val="32E479EF"/>
    <w:rsid w:val="32F47280"/>
    <w:rsid w:val="332C6D01"/>
    <w:rsid w:val="33A2038C"/>
    <w:rsid w:val="343C7FBF"/>
    <w:rsid w:val="348022CC"/>
    <w:rsid w:val="349224DF"/>
    <w:rsid w:val="353157CF"/>
    <w:rsid w:val="35557E4C"/>
    <w:rsid w:val="35AA74CC"/>
    <w:rsid w:val="35BB03D7"/>
    <w:rsid w:val="35F53CC9"/>
    <w:rsid w:val="360B2107"/>
    <w:rsid w:val="36666B0C"/>
    <w:rsid w:val="36722985"/>
    <w:rsid w:val="3692204E"/>
    <w:rsid w:val="369557B1"/>
    <w:rsid w:val="369C523B"/>
    <w:rsid w:val="3714085C"/>
    <w:rsid w:val="3795095F"/>
    <w:rsid w:val="37E35E7F"/>
    <w:rsid w:val="387805E2"/>
    <w:rsid w:val="38914119"/>
    <w:rsid w:val="38CB1C58"/>
    <w:rsid w:val="38F30908"/>
    <w:rsid w:val="38F83104"/>
    <w:rsid w:val="3922368E"/>
    <w:rsid w:val="394D2D13"/>
    <w:rsid w:val="39587EE6"/>
    <w:rsid w:val="396368C4"/>
    <w:rsid w:val="39A858C0"/>
    <w:rsid w:val="39C418DC"/>
    <w:rsid w:val="39D60A3B"/>
    <w:rsid w:val="39DF2031"/>
    <w:rsid w:val="3A1667F3"/>
    <w:rsid w:val="3A37044A"/>
    <w:rsid w:val="3A9B6AAD"/>
    <w:rsid w:val="3AAA4FE0"/>
    <w:rsid w:val="3ADD1102"/>
    <w:rsid w:val="3AFE5C0B"/>
    <w:rsid w:val="3B153BB4"/>
    <w:rsid w:val="3BD83DAA"/>
    <w:rsid w:val="3C140588"/>
    <w:rsid w:val="3C4109C9"/>
    <w:rsid w:val="3C9B0B67"/>
    <w:rsid w:val="3CEB6EE5"/>
    <w:rsid w:val="3D02416B"/>
    <w:rsid w:val="3D0C1687"/>
    <w:rsid w:val="3D2A550C"/>
    <w:rsid w:val="3D2C261E"/>
    <w:rsid w:val="3D3551CC"/>
    <w:rsid w:val="3D7E008C"/>
    <w:rsid w:val="3DDA3A1F"/>
    <w:rsid w:val="3DEC3E67"/>
    <w:rsid w:val="3DED6F9F"/>
    <w:rsid w:val="3E2814CA"/>
    <w:rsid w:val="3E2D7BE4"/>
    <w:rsid w:val="3E981982"/>
    <w:rsid w:val="3EB5526F"/>
    <w:rsid w:val="3EE0179A"/>
    <w:rsid w:val="3EE54877"/>
    <w:rsid w:val="3F1A7830"/>
    <w:rsid w:val="3F202E7F"/>
    <w:rsid w:val="3F3F1C13"/>
    <w:rsid w:val="402453EF"/>
    <w:rsid w:val="40467E34"/>
    <w:rsid w:val="40583091"/>
    <w:rsid w:val="40BE0D16"/>
    <w:rsid w:val="4159692C"/>
    <w:rsid w:val="41D204DC"/>
    <w:rsid w:val="41FF4250"/>
    <w:rsid w:val="421E7717"/>
    <w:rsid w:val="42853900"/>
    <w:rsid w:val="42E903D7"/>
    <w:rsid w:val="42ED37A9"/>
    <w:rsid w:val="4316347E"/>
    <w:rsid w:val="432A5254"/>
    <w:rsid w:val="433D7C0A"/>
    <w:rsid w:val="438D0328"/>
    <w:rsid w:val="43AD36ED"/>
    <w:rsid w:val="43BF3FB9"/>
    <w:rsid w:val="43C96DDC"/>
    <w:rsid w:val="442778CB"/>
    <w:rsid w:val="44485F50"/>
    <w:rsid w:val="44775970"/>
    <w:rsid w:val="45163199"/>
    <w:rsid w:val="452542A5"/>
    <w:rsid w:val="4530448B"/>
    <w:rsid w:val="45513F3D"/>
    <w:rsid w:val="457F6E01"/>
    <w:rsid w:val="45B22034"/>
    <w:rsid w:val="462C7F97"/>
    <w:rsid w:val="465060E9"/>
    <w:rsid w:val="465A4E30"/>
    <w:rsid w:val="46713F31"/>
    <w:rsid w:val="467D1CB3"/>
    <w:rsid w:val="46B35C05"/>
    <w:rsid w:val="47237824"/>
    <w:rsid w:val="4726708A"/>
    <w:rsid w:val="474D1F80"/>
    <w:rsid w:val="47BA53E2"/>
    <w:rsid w:val="47D223C3"/>
    <w:rsid w:val="488A6B20"/>
    <w:rsid w:val="48EE685C"/>
    <w:rsid w:val="48F36244"/>
    <w:rsid w:val="49366818"/>
    <w:rsid w:val="4A580A2B"/>
    <w:rsid w:val="4A720612"/>
    <w:rsid w:val="4A9C368B"/>
    <w:rsid w:val="4AA21C38"/>
    <w:rsid w:val="4AAA6D64"/>
    <w:rsid w:val="4ABB09AB"/>
    <w:rsid w:val="4AC53F8E"/>
    <w:rsid w:val="4AE23F7E"/>
    <w:rsid w:val="4AE45FD7"/>
    <w:rsid w:val="4B00530B"/>
    <w:rsid w:val="4B5E736F"/>
    <w:rsid w:val="4B8B01E7"/>
    <w:rsid w:val="4BA32D34"/>
    <w:rsid w:val="4BFC053C"/>
    <w:rsid w:val="4C301D57"/>
    <w:rsid w:val="4C4E6B9A"/>
    <w:rsid w:val="4C8A7AFA"/>
    <w:rsid w:val="4CC545E7"/>
    <w:rsid w:val="4CEA7EA5"/>
    <w:rsid w:val="4CEB2E61"/>
    <w:rsid w:val="4DFB21B7"/>
    <w:rsid w:val="4E0E6F2F"/>
    <w:rsid w:val="4E3D32F7"/>
    <w:rsid w:val="4E630D86"/>
    <w:rsid w:val="4E9256C0"/>
    <w:rsid w:val="4EAA4E20"/>
    <w:rsid w:val="4F64032B"/>
    <w:rsid w:val="4F9A6598"/>
    <w:rsid w:val="4FB11D06"/>
    <w:rsid w:val="502F13C2"/>
    <w:rsid w:val="50442A44"/>
    <w:rsid w:val="50777735"/>
    <w:rsid w:val="50B656D2"/>
    <w:rsid w:val="50D67E22"/>
    <w:rsid w:val="512B3998"/>
    <w:rsid w:val="51BE1E75"/>
    <w:rsid w:val="52030EBD"/>
    <w:rsid w:val="52353E9C"/>
    <w:rsid w:val="529B1270"/>
    <w:rsid w:val="52B454ED"/>
    <w:rsid w:val="52FE2A6F"/>
    <w:rsid w:val="531568D9"/>
    <w:rsid w:val="533B17C9"/>
    <w:rsid w:val="53452E19"/>
    <w:rsid w:val="53892497"/>
    <w:rsid w:val="53D24040"/>
    <w:rsid w:val="5408097B"/>
    <w:rsid w:val="54171587"/>
    <w:rsid w:val="5422686A"/>
    <w:rsid w:val="544B46B9"/>
    <w:rsid w:val="54526FAA"/>
    <w:rsid w:val="54544468"/>
    <w:rsid w:val="545C02C5"/>
    <w:rsid w:val="547A2F09"/>
    <w:rsid w:val="54A02D73"/>
    <w:rsid w:val="54F14C08"/>
    <w:rsid w:val="54F81919"/>
    <w:rsid w:val="5549190E"/>
    <w:rsid w:val="558E414C"/>
    <w:rsid w:val="559D6ED7"/>
    <w:rsid w:val="55E47AE4"/>
    <w:rsid w:val="55ED1B14"/>
    <w:rsid w:val="55FE5B65"/>
    <w:rsid w:val="562A6361"/>
    <w:rsid w:val="56576C9F"/>
    <w:rsid w:val="5707131F"/>
    <w:rsid w:val="570E7462"/>
    <w:rsid w:val="572D1E85"/>
    <w:rsid w:val="57754449"/>
    <w:rsid w:val="57A93801"/>
    <w:rsid w:val="57F06C8E"/>
    <w:rsid w:val="580A42D6"/>
    <w:rsid w:val="58134E48"/>
    <w:rsid w:val="581779DC"/>
    <w:rsid w:val="58AB7756"/>
    <w:rsid w:val="58AF22C9"/>
    <w:rsid w:val="58DD6FB5"/>
    <w:rsid w:val="58EC1E68"/>
    <w:rsid w:val="58F14AB6"/>
    <w:rsid w:val="58FC37C4"/>
    <w:rsid w:val="59FA368E"/>
    <w:rsid w:val="5A214550"/>
    <w:rsid w:val="5A376DFD"/>
    <w:rsid w:val="5AC44E4A"/>
    <w:rsid w:val="5ACD3F07"/>
    <w:rsid w:val="5AD05B53"/>
    <w:rsid w:val="5B4E5A71"/>
    <w:rsid w:val="5B9330D0"/>
    <w:rsid w:val="5BA07911"/>
    <w:rsid w:val="5BAF4BE2"/>
    <w:rsid w:val="5BBE1558"/>
    <w:rsid w:val="5BE23C1E"/>
    <w:rsid w:val="5BF27D84"/>
    <w:rsid w:val="5BFE3C0E"/>
    <w:rsid w:val="5C1F353E"/>
    <w:rsid w:val="5C335EDD"/>
    <w:rsid w:val="5C546EEB"/>
    <w:rsid w:val="5C6D4564"/>
    <w:rsid w:val="5C840AF8"/>
    <w:rsid w:val="5CCC13AC"/>
    <w:rsid w:val="5CD6171C"/>
    <w:rsid w:val="5CD956B4"/>
    <w:rsid w:val="5D0114B3"/>
    <w:rsid w:val="5D5A5299"/>
    <w:rsid w:val="5D660AC2"/>
    <w:rsid w:val="5D843D00"/>
    <w:rsid w:val="5DB30DF1"/>
    <w:rsid w:val="5DDE66F2"/>
    <w:rsid w:val="5E3D7F45"/>
    <w:rsid w:val="5E534C15"/>
    <w:rsid w:val="5E594C44"/>
    <w:rsid w:val="5E5B5C0E"/>
    <w:rsid w:val="5E770F17"/>
    <w:rsid w:val="5E8F0122"/>
    <w:rsid w:val="5EB158D4"/>
    <w:rsid w:val="5EB63992"/>
    <w:rsid w:val="5F1406E9"/>
    <w:rsid w:val="5F767451"/>
    <w:rsid w:val="5F7D71B9"/>
    <w:rsid w:val="5F966A09"/>
    <w:rsid w:val="5FA53185"/>
    <w:rsid w:val="601142A2"/>
    <w:rsid w:val="6021340E"/>
    <w:rsid w:val="603003F3"/>
    <w:rsid w:val="60327B15"/>
    <w:rsid w:val="608A42EC"/>
    <w:rsid w:val="608F18CD"/>
    <w:rsid w:val="60F8107F"/>
    <w:rsid w:val="61412FDA"/>
    <w:rsid w:val="616455BA"/>
    <w:rsid w:val="61AD7EAE"/>
    <w:rsid w:val="61FD3FA6"/>
    <w:rsid w:val="62316BC5"/>
    <w:rsid w:val="627D6A37"/>
    <w:rsid w:val="629C2D6E"/>
    <w:rsid w:val="62B17E40"/>
    <w:rsid w:val="62C1231F"/>
    <w:rsid w:val="62F153C8"/>
    <w:rsid w:val="63077DC3"/>
    <w:rsid w:val="634B73EB"/>
    <w:rsid w:val="638E3F0A"/>
    <w:rsid w:val="6392349B"/>
    <w:rsid w:val="639F6FFB"/>
    <w:rsid w:val="63B502CA"/>
    <w:rsid w:val="648A1AA3"/>
    <w:rsid w:val="64D329A8"/>
    <w:rsid w:val="65051629"/>
    <w:rsid w:val="65E90700"/>
    <w:rsid w:val="66674AD4"/>
    <w:rsid w:val="666A3C5D"/>
    <w:rsid w:val="666D279C"/>
    <w:rsid w:val="66FE0F01"/>
    <w:rsid w:val="67543963"/>
    <w:rsid w:val="675E3DDF"/>
    <w:rsid w:val="67BF7034"/>
    <w:rsid w:val="67CF0303"/>
    <w:rsid w:val="67E74D0D"/>
    <w:rsid w:val="68054705"/>
    <w:rsid w:val="681A28A1"/>
    <w:rsid w:val="682A2040"/>
    <w:rsid w:val="68D04E5D"/>
    <w:rsid w:val="68FA74B4"/>
    <w:rsid w:val="692F39EC"/>
    <w:rsid w:val="697653AC"/>
    <w:rsid w:val="69774593"/>
    <w:rsid w:val="698403A5"/>
    <w:rsid w:val="69A6551F"/>
    <w:rsid w:val="69C07651"/>
    <w:rsid w:val="69EB52CE"/>
    <w:rsid w:val="6AC0186D"/>
    <w:rsid w:val="6B4250C3"/>
    <w:rsid w:val="6B9067F5"/>
    <w:rsid w:val="6BC157FC"/>
    <w:rsid w:val="6C621471"/>
    <w:rsid w:val="6C7A50A5"/>
    <w:rsid w:val="6CE2639E"/>
    <w:rsid w:val="6CE558D9"/>
    <w:rsid w:val="6CE62E81"/>
    <w:rsid w:val="6D166C67"/>
    <w:rsid w:val="6D8E2182"/>
    <w:rsid w:val="6DB11C6F"/>
    <w:rsid w:val="6E080DD1"/>
    <w:rsid w:val="6E485F63"/>
    <w:rsid w:val="6EBB351F"/>
    <w:rsid w:val="6EC45F16"/>
    <w:rsid w:val="6ED672F3"/>
    <w:rsid w:val="6EE85103"/>
    <w:rsid w:val="6F201C7F"/>
    <w:rsid w:val="6F456EB1"/>
    <w:rsid w:val="6F91116C"/>
    <w:rsid w:val="6FD769B7"/>
    <w:rsid w:val="704E7D52"/>
    <w:rsid w:val="705647ED"/>
    <w:rsid w:val="706F60BF"/>
    <w:rsid w:val="70702A92"/>
    <w:rsid w:val="70734AFA"/>
    <w:rsid w:val="707A05B2"/>
    <w:rsid w:val="70AD6E19"/>
    <w:rsid w:val="70CC0CD3"/>
    <w:rsid w:val="70FA7D9A"/>
    <w:rsid w:val="7109231E"/>
    <w:rsid w:val="712717CE"/>
    <w:rsid w:val="713C1169"/>
    <w:rsid w:val="714424C1"/>
    <w:rsid w:val="71B515D1"/>
    <w:rsid w:val="71CA3120"/>
    <w:rsid w:val="72582550"/>
    <w:rsid w:val="72852647"/>
    <w:rsid w:val="730504CC"/>
    <w:rsid w:val="733D4BBB"/>
    <w:rsid w:val="734C374F"/>
    <w:rsid w:val="73533385"/>
    <w:rsid w:val="73586A70"/>
    <w:rsid w:val="73861471"/>
    <w:rsid w:val="74125CA5"/>
    <w:rsid w:val="743D7DEF"/>
    <w:rsid w:val="74687E10"/>
    <w:rsid w:val="74B60792"/>
    <w:rsid w:val="74FF3460"/>
    <w:rsid w:val="75764E2C"/>
    <w:rsid w:val="75B40B49"/>
    <w:rsid w:val="75CE27D2"/>
    <w:rsid w:val="76C37C8F"/>
    <w:rsid w:val="778E420E"/>
    <w:rsid w:val="77C971FB"/>
    <w:rsid w:val="781C184B"/>
    <w:rsid w:val="78865E2F"/>
    <w:rsid w:val="788F1231"/>
    <w:rsid w:val="78E81C43"/>
    <w:rsid w:val="79A30A07"/>
    <w:rsid w:val="79D1494B"/>
    <w:rsid w:val="79E70385"/>
    <w:rsid w:val="79F07045"/>
    <w:rsid w:val="7A60727C"/>
    <w:rsid w:val="7A6233F3"/>
    <w:rsid w:val="7AE82928"/>
    <w:rsid w:val="7AEA6FDC"/>
    <w:rsid w:val="7B4B5923"/>
    <w:rsid w:val="7BEA7F51"/>
    <w:rsid w:val="7BFB5E23"/>
    <w:rsid w:val="7C037540"/>
    <w:rsid w:val="7C7E18B8"/>
    <w:rsid w:val="7C954F33"/>
    <w:rsid w:val="7CA11B28"/>
    <w:rsid w:val="7CAB09A9"/>
    <w:rsid w:val="7CCA1E87"/>
    <w:rsid w:val="7D1B0250"/>
    <w:rsid w:val="7D320981"/>
    <w:rsid w:val="7D3E0FD2"/>
    <w:rsid w:val="7D584372"/>
    <w:rsid w:val="7D982276"/>
    <w:rsid w:val="7DA019CE"/>
    <w:rsid w:val="7DA56F40"/>
    <w:rsid w:val="7DF66188"/>
    <w:rsid w:val="7E062DEA"/>
    <w:rsid w:val="7E1A4A19"/>
    <w:rsid w:val="7E310439"/>
    <w:rsid w:val="7EA56EF2"/>
    <w:rsid w:val="7EAC2AA0"/>
    <w:rsid w:val="7ECD31E4"/>
    <w:rsid w:val="7ED337A6"/>
    <w:rsid w:val="7EE603A6"/>
    <w:rsid w:val="7F23152C"/>
    <w:rsid w:val="7F2D6CBB"/>
    <w:rsid w:val="7F716C24"/>
    <w:rsid w:val="7FB306BA"/>
    <w:rsid w:val="7FBA5439"/>
    <w:rsid w:val="7FC55E9D"/>
    <w:rsid w:val="7FD37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8">
    <w:name w:val="heading 1"/>
    <w:basedOn w:val="1"/>
    <w:next w:val="1"/>
    <w:qFormat/>
    <w:uiPriority w:val="0"/>
    <w:pPr>
      <w:keepNext/>
      <w:keepLines/>
      <w:spacing w:line="360" w:lineRule="auto"/>
      <w:outlineLvl w:val="0"/>
    </w:pPr>
    <w:rPr>
      <w:b/>
      <w:bCs/>
      <w:kern w:val="44"/>
      <w:sz w:val="44"/>
      <w:szCs w:val="44"/>
    </w:rPr>
  </w:style>
  <w:style w:type="paragraph" w:styleId="9">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1"/>
    <w:qFormat/>
    <w:uiPriority w:val="0"/>
    <w:pPr>
      <w:spacing w:after="120"/>
    </w:pPr>
    <w:rPr>
      <w:rFonts w:ascii="Calibri" w:hAnsi="Calibri"/>
      <w:sz w:val="24"/>
    </w:rPr>
  </w:style>
  <w:style w:type="paragraph" w:styleId="4">
    <w:name w:val="Body Text First Indent 2"/>
    <w:basedOn w:val="5"/>
    <w:next w:val="6"/>
    <w:qFormat/>
    <w:uiPriority w:val="0"/>
    <w:pPr>
      <w:spacing w:after="120" w:line="240" w:lineRule="auto"/>
      <w:ind w:left="420" w:leftChars="200" w:firstLine="200" w:firstLineChars="200"/>
      <w:jc w:val="left"/>
    </w:pPr>
    <w:rPr>
      <w:rFonts w:hAnsi="宋体"/>
    </w:rPr>
  </w:style>
  <w:style w:type="paragraph" w:styleId="5">
    <w:name w:val="Body Text Indent"/>
    <w:basedOn w:val="1"/>
    <w:qFormat/>
    <w:uiPriority w:val="0"/>
    <w:pPr>
      <w:spacing w:after="120"/>
      <w:ind w:left="420" w:leftChars="200"/>
    </w:pPr>
    <w:rPr>
      <w:sz w:val="24"/>
    </w:rPr>
  </w:style>
  <w:style w:type="paragraph" w:styleId="6">
    <w:name w:val="Normal Indent"/>
    <w:basedOn w:val="1"/>
    <w:next w:val="7"/>
    <w:qFormat/>
    <w:uiPriority w:val="0"/>
    <w:pPr>
      <w:ind w:firstLine="420" w:firstLineChars="200"/>
    </w:pPr>
    <w:rPr>
      <w:sz w:val="24"/>
    </w:rPr>
  </w:style>
  <w:style w:type="paragraph" w:styleId="7">
    <w:name w:val="Body Text 2"/>
    <w:basedOn w:val="1"/>
    <w:qFormat/>
    <w:uiPriority w:val="0"/>
    <w:pPr>
      <w:spacing w:line="360" w:lineRule="auto"/>
    </w:pPr>
    <w:rPr>
      <w:rFonts w:ascii="宋体" w:hAnsi="宋体"/>
      <w:sz w:val="24"/>
    </w:rPr>
  </w:style>
  <w:style w:type="paragraph" w:styleId="10">
    <w:name w:val="annotation text"/>
    <w:basedOn w:val="1"/>
    <w:qFormat/>
    <w:uiPriority w:val="0"/>
    <w:pPr>
      <w:jc w:val="left"/>
    </w:pPr>
    <w:rPr>
      <w:kern w:val="0"/>
      <w:sz w:val="20"/>
    </w:rPr>
  </w:style>
  <w:style w:type="paragraph" w:styleId="11">
    <w:name w:val="Plain Text"/>
    <w:basedOn w:val="1"/>
    <w:qFormat/>
    <w:uiPriority w:val="0"/>
    <w:rPr>
      <w:rFonts w:ascii="宋体" w:hAnsi="Courier New"/>
    </w:rPr>
  </w:style>
  <w:style w:type="paragraph" w:styleId="12">
    <w:name w:val="Date"/>
    <w:basedOn w:val="1"/>
    <w:next w:val="1"/>
    <w:qFormat/>
    <w:uiPriority w:val="0"/>
  </w:style>
  <w:style w:type="paragraph" w:styleId="13">
    <w:name w:val="Body Text Indent 2"/>
    <w:basedOn w:val="1"/>
    <w:qFormat/>
    <w:uiPriority w:val="0"/>
    <w:pPr>
      <w:spacing w:after="120" w:line="480" w:lineRule="auto"/>
      <w:ind w:left="420" w:leftChars="200"/>
    </w:pPr>
    <w:rPr>
      <w:sz w:val="24"/>
    </w:rPr>
  </w:style>
  <w:style w:type="paragraph" w:styleId="14">
    <w:name w:val="Balloon Text"/>
    <w:basedOn w:val="1"/>
    <w:link w:val="3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style>
  <w:style w:type="paragraph" w:styleId="18">
    <w:name w:val="footnote text"/>
    <w:basedOn w:val="1"/>
    <w:qFormat/>
    <w:uiPriority w:val="0"/>
    <w:pPr>
      <w:snapToGrid w:val="0"/>
      <w:jc w:val="left"/>
    </w:pPr>
    <w:rPr>
      <w:sz w:val="18"/>
    </w:rPr>
  </w:style>
  <w:style w:type="paragraph" w:styleId="19">
    <w:name w:val="Message Header"/>
    <w:basedOn w:val="1"/>
    <w:next w:val="1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kern w:val="0"/>
    </w:rPr>
  </w:style>
  <w:style w:type="paragraph" w:styleId="20">
    <w:name w:val="Normal (Web)"/>
    <w:basedOn w:val="1"/>
    <w:qFormat/>
    <w:uiPriority w:val="0"/>
    <w:pPr>
      <w:widowControl/>
      <w:spacing w:before="100" w:beforeAutospacing="1" w:after="100" w:afterAutospacing="1"/>
      <w:jc w:val="left"/>
    </w:pPr>
    <w:rPr>
      <w:rFonts w:ascii="宋体" w:hAnsi="宋体" w:cs="宋体"/>
      <w:sz w:val="24"/>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444444"/>
      <w:sz w:val="21"/>
      <w:szCs w:val="21"/>
      <w:u w:val="none"/>
    </w:rPr>
  </w:style>
  <w:style w:type="character" w:styleId="26">
    <w:name w:val="Hyperlink"/>
    <w:basedOn w:val="23"/>
    <w:qFormat/>
    <w:uiPriority w:val="99"/>
    <w:rPr>
      <w:rFonts w:cs="Times New Roman"/>
      <w:color w:val="0000FF"/>
      <w:sz w:val="20"/>
      <w:u w:val="single"/>
    </w:rPr>
  </w:style>
  <w:style w:type="character" w:styleId="27">
    <w:name w:val="annotation reference"/>
    <w:qFormat/>
    <w:uiPriority w:val="0"/>
    <w:rPr>
      <w:sz w:val="21"/>
      <w:szCs w:val="21"/>
    </w:rPr>
  </w:style>
  <w:style w:type="paragraph" w:customStyle="1" w:styleId="2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无间隔1"/>
    <w:basedOn w:val="1"/>
    <w:qFormat/>
    <w:uiPriority w:val="0"/>
    <w:pPr>
      <w:autoSpaceDE w:val="0"/>
      <w:autoSpaceDN w:val="0"/>
      <w:spacing w:beforeAutospacing="1" w:line="400" w:lineRule="exact"/>
      <w:jc w:val="left"/>
    </w:pPr>
    <w:rPr>
      <w:rFonts w:hint="eastAsia" w:ascii="宋体" w:hAnsi="宋体"/>
      <w:kern w:val="0"/>
      <w:sz w:val="24"/>
      <w:szCs w:val="24"/>
    </w:rPr>
  </w:style>
  <w:style w:type="paragraph" w:customStyle="1" w:styleId="30">
    <w:name w:val="Table Paragraph"/>
    <w:basedOn w:val="1"/>
    <w:qFormat/>
    <w:uiPriority w:val="1"/>
    <w:rPr>
      <w:rFonts w:ascii="宋体" w:hAnsi="宋体" w:cs="宋体"/>
      <w:lang w:val="zh-CN" w:bidi="zh-CN"/>
    </w:rPr>
  </w:style>
  <w:style w:type="paragraph" w:styleId="31">
    <w:name w:val="List Paragraph"/>
    <w:basedOn w:val="1"/>
    <w:qFormat/>
    <w:uiPriority w:val="1"/>
    <w:pPr>
      <w:ind w:firstLine="420" w:firstLineChars="200"/>
    </w:pPr>
  </w:style>
  <w:style w:type="character" w:customStyle="1" w:styleId="32">
    <w:name w:val="hover16"/>
    <w:basedOn w:val="23"/>
    <w:qFormat/>
    <w:uiPriority w:val="0"/>
  </w:style>
  <w:style w:type="character" w:customStyle="1" w:styleId="33">
    <w:name w:val="hover"/>
    <w:basedOn w:val="23"/>
    <w:qFormat/>
    <w:uiPriority w:val="0"/>
  </w:style>
  <w:style w:type="character" w:customStyle="1" w:styleId="34">
    <w:name w:val="NormalCharacter"/>
    <w:semiHidden/>
    <w:qFormat/>
    <w:uiPriority w:val="0"/>
    <w:rPr>
      <w:rFonts w:ascii="Times New Roman" w:hAnsi="Times New Roman" w:eastAsia="宋体" w:cs="Times New Roman"/>
      <w:kern w:val="2"/>
      <w:sz w:val="28"/>
      <w:lang w:val="en-US" w:eastAsia="zh-CN" w:bidi="ar-SA"/>
    </w:rPr>
  </w:style>
  <w:style w:type="character" w:customStyle="1" w:styleId="35">
    <w:name w:val="批注框文本 Char"/>
    <w:basedOn w:val="23"/>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2CD7E-3DE1-455D-81B3-F0728655D2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14843</Words>
  <Characters>15898</Characters>
  <Lines>112</Lines>
  <Paragraphs>31</Paragraphs>
  <TotalTime>0</TotalTime>
  <ScaleCrop>false</ScaleCrop>
  <LinksUpToDate>false</LinksUpToDate>
  <CharactersWithSpaces>16463</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2020-08-13T07:47:00Z</dcterms:created>
  <dc:creator>河南英华汝州部</dc:creator>
  <cp:lastModifiedBy>华为</cp:lastModifiedBy>
  <cp:lastPrinted>2025-02-24T09:00:00Z</cp:lastPrinted>
  <dcterms:modified xsi:type="dcterms:W3CDTF">2025-02-25T01:38:47Z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9F14C39127CD4891885F994E285F9FA2</vt:lpwstr>
  </property>
</Properties>
</file>