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07EB1">
      <w:pPr>
        <w:spacing w:line="360" w:lineRule="auto"/>
        <w:jc w:val="center"/>
        <w:rPr>
          <w:rFonts w:ascii="宋体" w:hAnsi="宋体" w:cs="宋体"/>
          <w:b/>
          <w:sz w:val="52"/>
          <w:szCs w:val="52"/>
        </w:rPr>
      </w:pPr>
      <w:bookmarkStart w:id="667" w:name="_GoBack"/>
      <w:bookmarkEnd w:id="667"/>
    </w:p>
    <w:p w14:paraId="470BD3A3">
      <w:pPr>
        <w:spacing w:line="360" w:lineRule="auto"/>
        <w:ind w:firstLine="201" w:firstLineChars="50"/>
        <w:jc w:val="center"/>
        <w:rPr>
          <w:rFonts w:hint="eastAsia" w:ascii="宋体" w:hAnsi="宋体"/>
          <w:b/>
          <w:sz w:val="40"/>
          <w:szCs w:val="40"/>
        </w:rPr>
      </w:pPr>
      <w:r>
        <w:rPr>
          <w:rFonts w:hint="eastAsia" w:ascii="宋体" w:hAnsi="宋体"/>
          <w:b/>
          <w:sz w:val="40"/>
          <w:szCs w:val="40"/>
        </w:rPr>
        <w:t>2025年灵宝市第一批农村公路安全生命</w:t>
      </w:r>
    </w:p>
    <w:p w14:paraId="3FC92AAE">
      <w:pPr>
        <w:spacing w:line="360" w:lineRule="auto"/>
        <w:ind w:firstLine="201" w:firstLineChars="50"/>
        <w:jc w:val="center"/>
        <w:rPr>
          <w:rFonts w:ascii="宋体" w:hAnsi="宋体" w:cs="宋体"/>
          <w:b/>
          <w:sz w:val="40"/>
          <w:szCs w:val="40"/>
        </w:rPr>
      </w:pPr>
      <w:r>
        <w:rPr>
          <w:rFonts w:hint="eastAsia" w:ascii="宋体" w:hAnsi="宋体"/>
          <w:b/>
          <w:sz w:val="40"/>
          <w:szCs w:val="40"/>
        </w:rPr>
        <w:t>防护工程（二次）</w:t>
      </w:r>
    </w:p>
    <w:p w14:paraId="298E0D56">
      <w:pPr>
        <w:spacing w:line="360" w:lineRule="auto"/>
        <w:rPr>
          <w:rFonts w:ascii="宋体" w:hAnsi="宋体" w:cs="宋体"/>
          <w:b/>
          <w:sz w:val="44"/>
          <w:szCs w:val="44"/>
        </w:rPr>
      </w:pPr>
    </w:p>
    <w:p w14:paraId="75BA50D7">
      <w:pPr>
        <w:spacing w:line="360" w:lineRule="auto"/>
        <w:rPr>
          <w:rFonts w:ascii="宋体" w:hAnsi="宋体" w:cs="宋体"/>
          <w:b/>
          <w:sz w:val="44"/>
          <w:szCs w:val="44"/>
        </w:rPr>
      </w:pPr>
    </w:p>
    <w:p w14:paraId="6A42C1E9">
      <w:pPr>
        <w:spacing w:line="360" w:lineRule="auto"/>
        <w:ind w:firstLine="422" w:firstLineChars="50"/>
        <w:jc w:val="center"/>
        <w:rPr>
          <w:rFonts w:ascii="宋体" w:hAnsi="宋体" w:cs="宋体"/>
          <w:b/>
          <w:sz w:val="84"/>
          <w:szCs w:val="84"/>
        </w:rPr>
      </w:pPr>
      <w:r>
        <w:rPr>
          <w:rFonts w:hint="eastAsia" w:ascii="宋体" w:hAnsi="宋体" w:cs="宋体"/>
          <w:b/>
          <w:sz w:val="84"/>
          <w:szCs w:val="84"/>
        </w:rPr>
        <w:t>竞争性磋商文件</w:t>
      </w:r>
    </w:p>
    <w:p w14:paraId="01C72DE7">
      <w:pPr>
        <w:spacing w:line="360" w:lineRule="auto"/>
        <w:jc w:val="center"/>
        <w:rPr>
          <w:rFonts w:hint="eastAsia" w:ascii="宋体" w:hAnsi="宋体" w:cs="宋体"/>
          <w:b/>
          <w:sz w:val="28"/>
          <w:szCs w:val="28"/>
        </w:rPr>
      </w:pPr>
      <w:r>
        <w:rPr>
          <w:rFonts w:hint="eastAsia" w:ascii="宋体" w:hAnsi="宋体" w:cs="宋体"/>
          <w:b/>
          <w:sz w:val="28"/>
          <w:szCs w:val="28"/>
        </w:rPr>
        <w:t>项目编号：灵宝竞磋采购-2025-155、LBGZ[2025]339-ZC255</w:t>
      </w:r>
    </w:p>
    <w:p w14:paraId="72F60437">
      <w:pPr>
        <w:spacing w:line="360" w:lineRule="auto"/>
        <w:jc w:val="center"/>
        <w:rPr>
          <w:rFonts w:hint="eastAsia" w:ascii="宋体" w:hAnsi="宋体" w:cs="宋体"/>
          <w:b/>
          <w:sz w:val="28"/>
          <w:szCs w:val="28"/>
        </w:rPr>
      </w:pPr>
    </w:p>
    <w:p w14:paraId="2546EEB4">
      <w:pPr>
        <w:widowControl/>
        <w:jc w:val="left"/>
        <w:rPr>
          <w:rFonts w:ascii="宋体" w:hAnsi="宋体"/>
        </w:rPr>
      </w:pPr>
    </w:p>
    <w:p w14:paraId="61D6D0EB">
      <w:pPr>
        <w:widowControl/>
        <w:jc w:val="left"/>
        <w:rPr>
          <w:rFonts w:ascii="宋体" w:hAnsi="宋体"/>
        </w:rPr>
      </w:pPr>
    </w:p>
    <w:p w14:paraId="61B4DBF6">
      <w:pPr>
        <w:widowControl/>
        <w:jc w:val="left"/>
        <w:rPr>
          <w:rFonts w:ascii="宋体" w:hAnsi="宋体"/>
        </w:rPr>
      </w:pPr>
    </w:p>
    <w:p w14:paraId="12033A98">
      <w:pPr>
        <w:widowControl/>
        <w:jc w:val="left"/>
        <w:rPr>
          <w:rFonts w:ascii="宋体" w:hAnsi="宋体"/>
        </w:rPr>
      </w:pPr>
    </w:p>
    <w:p w14:paraId="6A512DA3">
      <w:pPr>
        <w:widowControl/>
        <w:jc w:val="left"/>
        <w:rPr>
          <w:rFonts w:ascii="宋体" w:hAnsi="宋体"/>
        </w:rPr>
      </w:pPr>
    </w:p>
    <w:p w14:paraId="6A79E11E">
      <w:pPr>
        <w:widowControl/>
        <w:jc w:val="left"/>
        <w:rPr>
          <w:rFonts w:ascii="宋体" w:hAnsi="宋体"/>
        </w:rPr>
      </w:pPr>
    </w:p>
    <w:p w14:paraId="45DF7348">
      <w:pPr>
        <w:pStyle w:val="2"/>
        <w:rPr>
          <w:rFonts w:ascii="宋体" w:hAnsi="宋体" w:eastAsia="宋体"/>
        </w:rPr>
      </w:pPr>
    </w:p>
    <w:p w14:paraId="7C208CBF">
      <w:pPr>
        <w:pStyle w:val="4"/>
        <w:rPr>
          <w:rFonts w:ascii="宋体" w:hAnsi="宋体" w:eastAsia="宋体"/>
        </w:rPr>
      </w:pPr>
    </w:p>
    <w:p w14:paraId="3EF00C49">
      <w:pPr>
        <w:rPr>
          <w:rFonts w:ascii="宋体" w:hAnsi="宋体"/>
        </w:rPr>
      </w:pPr>
    </w:p>
    <w:p w14:paraId="25CC7FFA">
      <w:pPr>
        <w:pStyle w:val="2"/>
        <w:rPr>
          <w:rFonts w:ascii="宋体" w:hAnsi="宋体" w:eastAsia="宋体"/>
        </w:rPr>
      </w:pPr>
    </w:p>
    <w:p w14:paraId="34AAC082">
      <w:pPr>
        <w:pStyle w:val="4"/>
        <w:rPr>
          <w:rFonts w:ascii="宋体" w:hAnsi="宋体" w:eastAsia="宋体"/>
        </w:rPr>
      </w:pPr>
    </w:p>
    <w:p w14:paraId="703E820E">
      <w:pPr>
        <w:rPr>
          <w:rFonts w:ascii="宋体" w:hAnsi="宋体"/>
        </w:rPr>
      </w:pPr>
    </w:p>
    <w:p w14:paraId="7C28C4DF">
      <w:pPr>
        <w:widowControl/>
        <w:jc w:val="left"/>
        <w:rPr>
          <w:rFonts w:ascii="宋体" w:hAnsi="宋体"/>
        </w:rPr>
      </w:pPr>
    </w:p>
    <w:p w14:paraId="5B3C1A21">
      <w:pPr>
        <w:widowControl/>
        <w:jc w:val="left"/>
        <w:rPr>
          <w:rFonts w:ascii="宋体" w:hAnsi="宋体"/>
        </w:rPr>
      </w:pPr>
    </w:p>
    <w:p w14:paraId="3D420E1D">
      <w:pPr>
        <w:spacing w:line="360" w:lineRule="auto"/>
        <w:ind w:firstLine="1928" w:firstLineChars="600"/>
        <w:jc w:val="left"/>
        <w:rPr>
          <w:rFonts w:ascii="宋体" w:hAnsi="宋体" w:cs="宋体"/>
          <w:b/>
          <w:kern w:val="0"/>
          <w:sz w:val="32"/>
          <w:szCs w:val="32"/>
          <w:shd w:val="clear" w:color="auto" w:fill="FFFFFF"/>
        </w:rPr>
      </w:pPr>
      <w:r>
        <w:rPr>
          <w:rFonts w:hint="eastAsia" w:ascii="宋体" w:hAnsi="宋体" w:cs="宋体"/>
          <w:b/>
          <w:kern w:val="0"/>
          <w:sz w:val="32"/>
          <w:szCs w:val="32"/>
          <w:shd w:val="clear" w:color="auto" w:fill="FFFFFF"/>
        </w:rPr>
        <w:t>采 购 人：灵宝市公路事业发展中心</w:t>
      </w:r>
    </w:p>
    <w:p w14:paraId="73F65D3E">
      <w:pPr>
        <w:spacing w:line="360" w:lineRule="auto"/>
        <w:ind w:firstLine="1928" w:firstLineChars="600"/>
        <w:jc w:val="left"/>
        <w:rPr>
          <w:rFonts w:ascii="宋体" w:hAnsi="宋体" w:cs="宋体"/>
          <w:b/>
          <w:kern w:val="0"/>
          <w:sz w:val="32"/>
          <w:szCs w:val="32"/>
          <w:shd w:val="clear" w:color="auto" w:fill="FFFFFF"/>
        </w:rPr>
      </w:pPr>
      <w:r>
        <w:rPr>
          <w:rFonts w:hint="eastAsia" w:ascii="宋体" w:hAnsi="宋体" w:cs="宋体"/>
          <w:b/>
          <w:kern w:val="0"/>
          <w:sz w:val="32"/>
          <w:szCs w:val="32"/>
          <w:shd w:val="clear" w:color="auto" w:fill="FFFFFF"/>
        </w:rPr>
        <w:t>代理机构：中恭鸿建项目管理有限公司</w:t>
      </w:r>
    </w:p>
    <w:p w14:paraId="5BE066F6">
      <w:pPr>
        <w:spacing w:line="360" w:lineRule="auto"/>
        <w:ind w:firstLine="1928" w:firstLineChars="600"/>
        <w:jc w:val="left"/>
        <w:rPr>
          <w:rFonts w:ascii="宋体" w:hAnsi="宋体" w:cs="宋体"/>
          <w:b/>
          <w:kern w:val="0"/>
          <w:sz w:val="32"/>
          <w:szCs w:val="32"/>
          <w:shd w:val="clear" w:color="auto" w:fill="FFFFFF"/>
        </w:rPr>
      </w:pPr>
      <w:r>
        <w:rPr>
          <w:rFonts w:hint="eastAsia" w:ascii="宋体" w:hAnsi="宋体" w:cs="宋体"/>
          <w:b/>
          <w:kern w:val="0"/>
          <w:sz w:val="32"/>
          <w:szCs w:val="32"/>
          <w:shd w:val="clear" w:color="auto" w:fill="FFFFFF"/>
        </w:rPr>
        <w:t>日    期：二0二五年十二月</w:t>
      </w:r>
    </w:p>
    <w:p w14:paraId="48897C57">
      <w:pPr>
        <w:spacing w:line="360" w:lineRule="auto"/>
        <w:jc w:val="left"/>
        <w:rPr>
          <w:rFonts w:ascii="宋体" w:hAnsi="宋体" w:cs="宋体"/>
          <w:b/>
          <w:sz w:val="32"/>
          <w:szCs w:val="32"/>
        </w:rPr>
      </w:pPr>
    </w:p>
    <w:p w14:paraId="78B8B15B">
      <w:pPr>
        <w:widowControl/>
        <w:jc w:val="left"/>
        <w:rPr>
          <w:rFonts w:ascii="宋体" w:hAnsi="宋体"/>
        </w:rPr>
      </w:pPr>
    </w:p>
    <w:p w14:paraId="40B458B0">
      <w:pPr>
        <w:spacing w:line="360" w:lineRule="auto"/>
        <w:jc w:val="center"/>
        <w:rPr>
          <w:rFonts w:ascii="宋体" w:hAnsi="宋体"/>
          <w:b/>
          <w:kern w:val="44"/>
          <w:sz w:val="44"/>
          <w:szCs w:val="44"/>
        </w:rPr>
      </w:pPr>
      <w:bookmarkStart w:id="0" w:name="_Toc508179882"/>
      <w:r>
        <w:rPr>
          <w:rFonts w:hint="eastAsia" w:ascii="宋体" w:hAnsi="宋体"/>
          <w:b/>
          <w:kern w:val="44"/>
          <w:sz w:val="44"/>
          <w:szCs w:val="44"/>
        </w:rPr>
        <w:t>目   录</w:t>
      </w:r>
      <w:bookmarkEnd w:id="0"/>
      <w:bookmarkStart w:id="1" w:name="_Toc16520163"/>
      <w:bookmarkStart w:id="2" w:name="_Toc523220931"/>
      <w:bookmarkStart w:id="3" w:name="_Toc525811562"/>
    </w:p>
    <w:p w14:paraId="42BCCF72">
      <w:pPr>
        <w:pStyle w:val="9"/>
        <w:tabs>
          <w:tab w:val="right" w:leader="dot" w:pos="9628"/>
        </w:tabs>
        <w:spacing w:line="360" w:lineRule="auto"/>
        <w:rPr>
          <w:rFonts w:ascii="宋体" w:hAnsi="宋体" w:cs="Times New Roman"/>
          <w:b w:val="0"/>
          <w:bCs w:val="0"/>
          <w:caps w:val="0"/>
          <w:sz w:val="24"/>
          <w:szCs w:val="24"/>
        </w:rPr>
      </w:pPr>
      <w:r>
        <w:rPr>
          <w:rFonts w:ascii="宋体" w:hAnsi="宋体"/>
          <w:b w:val="0"/>
          <w:caps w:val="0"/>
          <w:sz w:val="24"/>
          <w:szCs w:val="24"/>
        </w:rPr>
        <w:fldChar w:fldCharType="begin"/>
      </w:r>
      <w:r>
        <w:rPr>
          <w:rFonts w:ascii="宋体" w:hAnsi="宋体"/>
          <w:b w:val="0"/>
          <w:caps w:val="0"/>
          <w:sz w:val="24"/>
          <w:szCs w:val="24"/>
        </w:rPr>
        <w:instrText xml:space="preserve"> TOC \o "1-3" \h \z \u </w:instrText>
      </w:r>
      <w:r>
        <w:rPr>
          <w:rFonts w:ascii="宋体" w:hAnsi="宋体"/>
          <w:b w:val="0"/>
          <w:caps w:val="0"/>
          <w:sz w:val="24"/>
          <w:szCs w:val="24"/>
        </w:rPr>
        <w:fldChar w:fldCharType="separate"/>
      </w:r>
      <w:r>
        <w:fldChar w:fldCharType="begin"/>
      </w:r>
      <w:r>
        <w:instrText xml:space="preserve"> HYPERLINK \l "_Toc171013992" </w:instrText>
      </w:r>
      <w:r>
        <w:fldChar w:fldCharType="separate"/>
      </w:r>
      <w:r>
        <w:rPr>
          <w:rStyle w:val="13"/>
          <w:rFonts w:hint="eastAsia" w:ascii="宋体" w:hAnsi="宋体"/>
          <w:sz w:val="24"/>
          <w:szCs w:val="24"/>
        </w:rPr>
        <w:t>第一章 竞争性磋商公告</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_Toc171013992 \h </w:instrText>
      </w:r>
      <w:r>
        <w:rPr>
          <w:rFonts w:ascii="宋体" w:hAnsi="宋体"/>
          <w:sz w:val="24"/>
          <w:szCs w:val="24"/>
        </w:rPr>
        <w:fldChar w:fldCharType="separate"/>
      </w:r>
      <w:r>
        <w:rPr>
          <w:rFonts w:ascii="宋体" w:hAnsi="宋体"/>
          <w:sz w:val="24"/>
          <w:szCs w:val="24"/>
        </w:rPr>
        <w:t>3</w:t>
      </w:r>
      <w:r>
        <w:rPr>
          <w:rFonts w:ascii="宋体" w:hAnsi="宋体"/>
          <w:sz w:val="24"/>
          <w:szCs w:val="24"/>
        </w:rPr>
        <w:fldChar w:fldCharType="end"/>
      </w:r>
      <w:r>
        <w:rPr>
          <w:rFonts w:ascii="宋体" w:hAnsi="宋体"/>
          <w:sz w:val="24"/>
          <w:szCs w:val="24"/>
        </w:rPr>
        <w:fldChar w:fldCharType="end"/>
      </w:r>
    </w:p>
    <w:p w14:paraId="5E135D91">
      <w:pPr>
        <w:pStyle w:val="9"/>
        <w:tabs>
          <w:tab w:val="right" w:leader="dot" w:pos="9628"/>
        </w:tabs>
        <w:spacing w:line="360" w:lineRule="auto"/>
        <w:rPr>
          <w:rFonts w:ascii="宋体" w:hAnsi="宋体" w:cs="Times New Roman"/>
          <w:b w:val="0"/>
          <w:bCs w:val="0"/>
          <w:caps w:val="0"/>
          <w:sz w:val="24"/>
          <w:szCs w:val="24"/>
        </w:rPr>
      </w:pPr>
      <w:r>
        <w:fldChar w:fldCharType="begin"/>
      </w:r>
      <w:r>
        <w:instrText xml:space="preserve"> HYPERLINK \l "_Toc171013993" </w:instrText>
      </w:r>
      <w:r>
        <w:fldChar w:fldCharType="separate"/>
      </w:r>
      <w:r>
        <w:rPr>
          <w:rStyle w:val="13"/>
          <w:rFonts w:hint="eastAsia" w:ascii="宋体" w:hAnsi="宋体"/>
          <w:sz w:val="24"/>
          <w:szCs w:val="24"/>
        </w:rPr>
        <w:t>第二章 供应商须知</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_Toc171013993 \h </w:instrText>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r>
        <w:rPr>
          <w:rFonts w:ascii="宋体" w:hAnsi="宋体"/>
          <w:sz w:val="24"/>
          <w:szCs w:val="24"/>
        </w:rPr>
        <w:fldChar w:fldCharType="end"/>
      </w:r>
    </w:p>
    <w:p w14:paraId="0DB1328F">
      <w:pPr>
        <w:pStyle w:val="9"/>
        <w:tabs>
          <w:tab w:val="right" w:leader="dot" w:pos="9628"/>
        </w:tabs>
        <w:spacing w:line="360" w:lineRule="auto"/>
        <w:rPr>
          <w:rFonts w:ascii="宋体" w:hAnsi="宋体" w:cs="Times New Roman"/>
          <w:b w:val="0"/>
          <w:bCs w:val="0"/>
          <w:caps w:val="0"/>
          <w:sz w:val="24"/>
          <w:szCs w:val="24"/>
        </w:rPr>
      </w:pPr>
      <w:r>
        <w:fldChar w:fldCharType="begin"/>
      </w:r>
      <w:r>
        <w:instrText xml:space="preserve"> HYPERLINK \l "_Toc171013995" </w:instrText>
      </w:r>
      <w:r>
        <w:fldChar w:fldCharType="separate"/>
      </w:r>
      <w:r>
        <w:rPr>
          <w:rStyle w:val="13"/>
          <w:rFonts w:hint="eastAsia" w:ascii="宋体" w:hAnsi="宋体"/>
          <w:sz w:val="24"/>
          <w:szCs w:val="24"/>
        </w:rPr>
        <w:t>第三章</w:t>
      </w:r>
      <w:bookmarkStart w:id="4" w:name="_Hlt171014118"/>
      <w:r>
        <w:rPr>
          <w:rStyle w:val="13"/>
          <w:rFonts w:hint="eastAsia" w:ascii="宋体" w:hAnsi="宋体"/>
          <w:sz w:val="24"/>
          <w:szCs w:val="24"/>
        </w:rPr>
        <w:t xml:space="preserve"> 评</w:t>
      </w:r>
      <w:bookmarkEnd w:id="4"/>
      <w:r>
        <w:rPr>
          <w:rStyle w:val="13"/>
          <w:rFonts w:hint="eastAsia" w:ascii="宋体" w:hAnsi="宋体"/>
          <w:sz w:val="24"/>
          <w:szCs w:val="24"/>
        </w:rPr>
        <w:t>审办法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_Toc171013995 \h </w:instrText>
      </w:r>
      <w:r>
        <w:rPr>
          <w:rFonts w:ascii="宋体" w:hAnsi="宋体"/>
          <w:sz w:val="24"/>
          <w:szCs w:val="24"/>
        </w:rPr>
        <w:fldChar w:fldCharType="separate"/>
      </w:r>
      <w:r>
        <w:rPr>
          <w:rFonts w:ascii="宋体" w:hAnsi="宋体"/>
          <w:sz w:val="24"/>
          <w:szCs w:val="24"/>
        </w:rPr>
        <w:t>20</w:t>
      </w:r>
      <w:r>
        <w:rPr>
          <w:rFonts w:ascii="宋体" w:hAnsi="宋体"/>
          <w:sz w:val="24"/>
          <w:szCs w:val="24"/>
        </w:rPr>
        <w:fldChar w:fldCharType="end"/>
      </w:r>
      <w:r>
        <w:rPr>
          <w:rFonts w:ascii="宋体" w:hAnsi="宋体"/>
          <w:sz w:val="24"/>
          <w:szCs w:val="24"/>
        </w:rPr>
        <w:fldChar w:fldCharType="end"/>
      </w:r>
    </w:p>
    <w:p w14:paraId="5D77BBE7">
      <w:pPr>
        <w:pStyle w:val="9"/>
        <w:tabs>
          <w:tab w:val="right" w:leader="dot" w:pos="9628"/>
        </w:tabs>
        <w:spacing w:line="360" w:lineRule="auto"/>
        <w:rPr>
          <w:rFonts w:ascii="宋体" w:hAnsi="宋体" w:cs="Times New Roman"/>
          <w:b w:val="0"/>
          <w:bCs w:val="0"/>
          <w:caps w:val="0"/>
          <w:sz w:val="24"/>
          <w:szCs w:val="24"/>
        </w:rPr>
      </w:pPr>
      <w:r>
        <w:fldChar w:fldCharType="begin"/>
      </w:r>
      <w:r>
        <w:instrText xml:space="preserve"> HYPERLINK \l "_Toc171013996" </w:instrText>
      </w:r>
      <w:r>
        <w:fldChar w:fldCharType="separate"/>
      </w:r>
      <w:r>
        <w:rPr>
          <w:rStyle w:val="13"/>
          <w:rFonts w:hint="eastAsia" w:ascii="宋体" w:hAnsi="宋体"/>
          <w:sz w:val="24"/>
          <w:szCs w:val="24"/>
        </w:rPr>
        <w:t>第四章 合同协议书（样本）</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_Toc171013996 \h </w:instrText>
      </w:r>
      <w:r>
        <w:rPr>
          <w:rFonts w:ascii="宋体" w:hAnsi="宋体"/>
          <w:sz w:val="24"/>
          <w:szCs w:val="24"/>
        </w:rPr>
        <w:fldChar w:fldCharType="separate"/>
      </w:r>
      <w:r>
        <w:rPr>
          <w:rFonts w:ascii="宋体" w:hAnsi="宋体"/>
          <w:sz w:val="24"/>
          <w:szCs w:val="24"/>
        </w:rPr>
        <w:t>27</w:t>
      </w:r>
      <w:r>
        <w:rPr>
          <w:rFonts w:ascii="宋体" w:hAnsi="宋体"/>
          <w:sz w:val="24"/>
          <w:szCs w:val="24"/>
        </w:rPr>
        <w:fldChar w:fldCharType="end"/>
      </w:r>
      <w:r>
        <w:rPr>
          <w:rFonts w:ascii="宋体" w:hAnsi="宋体"/>
          <w:sz w:val="24"/>
          <w:szCs w:val="24"/>
        </w:rPr>
        <w:fldChar w:fldCharType="end"/>
      </w:r>
    </w:p>
    <w:p w14:paraId="31BE4F4C">
      <w:pPr>
        <w:pStyle w:val="9"/>
        <w:tabs>
          <w:tab w:val="right" w:leader="dot" w:pos="9628"/>
        </w:tabs>
        <w:spacing w:line="360" w:lineRule="auto"/>
        <w:rPr>
          <w:rFonts w:ascii="宋体" w:hAnsi="宋体" w:cs="Times New Roman"/>
          <w:b w:val="0"/>
          <w:bCs w:val="0"/>
          <w:caps w:val="0"/>
          <w:sz w:val="24"/>
          <w:szCs w:val="24"/>
        </w:rPr>
      </w:pPr>
      <w:r>
        <w:fldChar w:fldCharType="begin"/>
      </w:r>
      <w:r>
        <w:instrText xml:space="preserve"> HYPERLINK \l "_Toc171014037" </w:instrText>
      </w:r>
      <w:r>
        <w:fldChar w:fldCharType="separate"/>
      </w:r>
      <w:r>
        <w:rPr>
          <w:rStyle w:val="13"/>
          <w:rFonts w:hint="eastAsia" w:ascii="宋体" w:hAnsi="宋体" w:cs="宋体"/>
          <w:kern w:val="0"/>
          <w:sz w:val="24"/>
          <w:szCs w:val="24"/>
        </w:rPr>
        <w:t>第五章 工程量清单及图纸（另附）</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_Toc171014037 \h </w:instrText>
      </w:r>
      <w:r>
        <w:rPr>
          <w:rFonts w:ascii="宋体" w:hAnsi="宋体"/>
          <w:sz w:val="24"/>
          <w:szCs w:val="24"/>
        </w:rPr>
        <w:fldChar w:fldCharType="separate"/>
      </w:r>
      <w:r>
        <w:rPr>
          <w:rFonts w:ascii="宋体" w:hAnsi="宋体"/>
          <w:sz w:val="24"/>
          <w:szCs w:val="24"/>
        </w:rPr>
        <w:t>27</w:t>
      </w:r>
      <w:r>
        <w:rPr>
          <w:rFonts w:ascii="宋体" w:hAnsi="宋体"/>
          <w:sz w:val="24"/>
          <w:szCs w:val="24"/>
        </w:rPr>
        <w:fldChar w:fldCharType="end"/>
      </w:r>
      <w:r>
        <w:rPr>
          <w:rFonts w:ascii="宋体" w:hAnsi="宋体"/>
          <w:sz w:val="24"/>
          <w:szCs w:val="24"/>
        </w:rPr>
        <w:fldChar w:fldCharType="end"/>
      </w:r>
    </w:p>
    <w:p w14:paraId="24FEECE0">
      <w:pPr>
        <w:pStyle w:val="9"/>
        <w:tabs>
          <w:tab w:val="right" w:leader="dot" w:pos="9628"/>
        </w:tabs>
        <w:spacing w:line="360" w:lineRule="auto"/>
        <w:rPr>
          <w:rFonts w:ascii="宋体" w:hAnsi="宋体" w:cs="Times New Roman"/>
          <w:b w:val="0"/>
          <w:bCs w:val="0"/>
          <w:caps w:val="0"/>
          <w:sz w:val="24"/>
          <w:szCs w:val="24"/>
        </w:rPr>
      </w:pPr>
      <w:r>
        <w:fldChar w:fldCharType="begin"/>
      </w:r>
      <w:r>
        <w:instrText xml:space="preserve"> HYPERLINK \l "_Toc171014038" </w:instrText>
      </w:r>
      <w:r>
        <w:fldChar w:fldCharType="separate"/>
      </w:r>
      <w:r>
        <w:rPr>
          <w:rStyle w:val="13"/>
          <w:rFonts w:hint="eastAsia" w:ascii="宋体" w:hAnsi="宋体" w:cs="宋体"/>
          <w:kern w:val="0"/>
          <w:sz w:val="24"/>
          <w:szCs w:val="24"/>
        </w:rPr>
        <w:t>第六章 技术标</w:t>
      </w:r>
      <w:bookmarkStart w:id="5" w:name="_Hlt196231854"/>
      <w:bookmarkStart w:id="6" w:name="_Hlt196231853"/>
      <w:r>
        <w:rPr>
          <w:rStyle w:val="13"/>
          <w:rFonts w:hint="eastAsia" w:ascii="宋体" w:hAnsi="宋体" w:cs="宋体"/>
          <w:kern w:val="0"/>
          <w:sz w:val="24"/>
          <w:szCs w:val="24"/>
        </w:rPr>
        <w:t>准</w:t>
      </w:r>
      <w:bookmarkEnd w:id="5"/>
      <w:bookmarkEnd w:id="6"/>
      <w:r>
        <w:rPr>
          <w:rStyle w:val="13"/>
          <w:rFonts w:hint="eastAsia" w:ascii="宋体" w:hAnsi="宋体" w:cs="宋体"/>
          <w:kern w:val="0"/>
          <w:sz w:val="24"/>
          <w:szCs w:val="24"/>
        </w:rPr>
        <w:t>和要求</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_Toc171014038 \h </w:instrText>
      </w:r>
      <w:r>
        <w:rPr>
          <w:rFonts w:ascii="宋体" w:hAnsi="宋体"/>
          <w:sz w:val="24"/>
          <w:szCs w:val="24"/>
        </w:rPr>
        <w:fldChar w:fldCharType="separate"/>
      </w:r>
      <w:r>
        <w:rPr>
          <w:rFonts w:ascii="宋体" w:hAnsi="宋体"/>
          <w:sz w:val="24"/>
          <w:szCs w:val="24"/>
        </w:rPr>
        <w:t>63</w:t>
      </w:r>
      <w:r>
        <w:rPr>
          <w:rFonts w:ascii="宋体" w:hAnsi="宋体"/>
          <w:sz w:val="24"/>
          <w:szCs w:val="24"/>
        </w:rPr>
        <w:fldChar w:fldCharType="end"/>
      </w:r>
      <w:r>
        <w:rPr>
          <w:rFonts w:ascii="宋体" w:hAnsi="宋体"/>
          <w:sz w:val="24"/>
          <w:szCs w:val="24"/>
        </w:rPr>
        <w:fldChar w:fldCharType="end"/>
      </w:r>
    </w:p>
    <w:p w14:paraId="37D36593">
      <w:pPr>
        <w:pStyle w:val="9"/>
        <w:tabs>
          <w:tab w:val="right" w:leader="dot" w:pos="9628"/>
        </w:tabs>
        <w:spacing w:line="360" w:lineRule="auto"/>
        <w:rPr>
          <w:rFonts w:ascii="宋体" w:hAnsi="宋体" w:cs="Times New Roman"/>
          <w:b w:val="0"/>
          <w:bCs w:val="0"/>
          <w:caps w:val="0"/>
          <w:sz w:val="24"/>
          <w:szCs w:val="24"/>
        </w:rPr>
      </w:pPr>
      <w:r>
        <w:fldChar w:fldCharType="begin"/>
      </w:r>
      <w:r>
        <w:instrText xml:space="preserve"> HYPERLINK \l "_Toc171014039" </w:instrText>
      </w:r>
      <w:r>
        <w:fldChar w:fldCharType="separate"/>
      </w:r>
      <w:r>
        <w:rPr>
          <w:rStyle w:val="13"/>
          <w:rFonts w:hint="eastAsia" w:ascii="宋体" w:hAnsi="宋体"/>
          <w:sz w:val="24"/>
          <w:szCs w:val="24"/>
        </w:rPr>
        <w:t>第七章 响应性文件部分格式</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_Toc171014039 \h </w:instrText>
      </w:r>
      <w:r>
        <w:rPr>
          <w:rFonts w:ascii="宋体" w:hAnsi="宋体"/>
          <w:sz w:val="24"/>
          <w:szCs w:val="24"/>
        </w:rPr>
        <w:fldChar w:fldCharType="separate"/>
      </w:r>
      <w:r>
        <w:rPr>
          <w:rFonts w:ascii="宋体" w:hAnsi="宋体"/>
          <w:sz w:val="24"/>
          <w:szCs w:val="24"/>
        </w:rPr>
        <w:t>64</w:t>
      </w:r>
      <w:r>
        <w:rPr>
          <w:rFonts w:ascii="宋体" w:hAnsi="宋体"/>
          <w:sz w:val="24"/>
          <w:szCs w:val="24"/>
        </w:rPr>
        <w:fldChar w:fldCharType="end"/>
      </w:r>
      <w:r>
        <w:rPr>
          <w:rFonts w:ascii="宋体" w:hAnsi="宋体"/>
          <w:sz w:val="24"/>
          <w:szCs w:val="24"/>
        </w:rPr>
        <w:fldChar w:fldCharType="end"/>
      </w:r>
    </w:p>
    <w:p w14:paraId="435338A2">
      <w:pPr>
        <w:pStyle w:val="10"/>
        <w:tabs>
          <w:tab w:val="right" w:leader="dot" w:pos="9628"/>
        </w:tabs>
        <w:spacing w:line="360" w:lineRule="auto"/>
        <w:rPr>
          <w:rFonts w:ascii="宋体" w:hAnsi="宋体" w:cs="Times New Roman"/>
          <w:smallCaps w:val="0"/>
          <w:sz w:val="24"/>
          <w:szCs w:val="24"/>
        </w:rPr>
      </w:pPr>
      <w:r>
        <w:fldChar w:fldCharType="begin"/>
      </w:r>
      <w:r>
        <w:instrText xml:space="preserve"> HYPERLINK \l "_Toc171014040" </w:instrText>
      </w:r>
      <w:r>
        <w:fldChar w:fldCharType="separate"/>
      </w:r>
      <w:r>
        <w:rPr>
          <w:rStyle w:val="13"/>
          <w:rFonts w:hint="eastAsia" w:ascii="宋体" w:hAnsi="宋体" w:cs="宋体"/>
          <w:b/>
          <w:bCs/>
          <w:sz w:val="24"/>
          <w:szCs w:val="24"/>
        </w:rPr>
        <w:t>一、报价函</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_Toc171014040 \h </w:instrText>
      </w:r>
      <w:r>
        <w:rPr>
          <w:rFonts w:ascii="宋体" w:hAnsi="宋体"/>
          <w:sz w:val="24"/>
          <w:szCs w:val="24"/>
        </w:rPr>
        <w:fldChar w:fldCharType="separate"/>
      </w:r>
      <w:r>
        <w:rPr>
          <w:rFonts w:ascii="宋体" w:hAnsi="宋体"/>
          <w:sz w:val="24"/>
          <w:szCs w:val="24"/>
        </w:rPr>
        <w:t>66</w:t>
      </w:r>
      <w:r>
        <w:rPr>
          <w:rFonts w:ascii="宋体" w:hAnsi="宋体"/>
          <w:sz w:val="24"/>
          <w:szCs w:val="24"/>
        </w:rPr>
        <w:fldChar w:fldCharType="end"/>
      </w:r>
      <w:r>
        <w:rPr>
          <w:rFonts w:ascii="宋体" w:hAnsi="宋体"/>
          <w:sz w:val="24"/>
          <w:szCs w:val="24"/>
        </w:rPr>
        <w:fldChar w:fldCharType="end"/>
      </w:r>
    </w:p>
    <w:p w14:paraId="01EB649A">
      <w:pPr>
        <w:pStyle w:val="10"/>
        <w:tabs>
          <w:tab w:val="right" w:leader="dot" w:pos="9628"/>
        </w:tabs>
        <w:spacing w:line="360" w:lineRule="auto"/>
        <w:rPr>
          <w:rFonts w:ascii="宋体" w:hAnsi="宋体" w:cs="Times New Roman"/>
          <w:smallCaps w:val="0"/>
          <w:sz w:val="24"/>
          <w:szCs w:val="24"/>
        </w:rPr>
      </w:pPr>
      <w:r>
        <w:fldChar w:fldCharType="begin"/>
      </w:r>
      <w:r>
        <w:instrText xml:space="preserve"> HYPERLINK \l "_Toc171014041" </w:instrText>
      </w:r>
      <w:r>
        <w:fldChar w:fldCharType="separate"/>
      </w:r>
      <w:r>
        <w:rPr>
          <w:rStyle w:val="13"/>
          <w:rFonts w:hint="eastAsia" w:ascii="宋体" w:hAnsi="宋体" w:cs="宋体"/>
          <w:b/>
          <w:bCs/>
          <w:sz w:val="24"/>
          <w:szCs w:val="24"/>
        </w:rPr>
        <w:t>二、法定代表人身份证明及授权委托书</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_Toc171014041 \h </w:instrText>
      </w:r>
      <w:r>
        <w:rPr>
          <w:rFonts w:ascii="宋体" w:hAnsi="宋体"/>
          <w:sz w:val="24"/>
          <w:szCs w:val="24"/>
        </w:rPr>
        <w:fldChar w:fldCharType="separate"/>
      </w:r>
      <w:r>
        <w:rPr>
          <w:rFonts w:ascii="宋体" w:hAnsi="宋体"/>
          <w:sz w:val="24"/>
          <w:szCs w:val="24"/>
        </w:rPr>
        <w:t>68</w:t>
      </w:r>
      <w:r>
        <w:rPr>
          <w:rFonts w:ascii="宋体" w:hAnsi="宋体"/>
          <w:sz w:val="24"/>
          <w:szCs w:val="24"/>
        </w:rPr>
        <w:fldChar w:fldCharType="end"/>
      </w:r>
      <w:r>
        <w:rPr>
          <w:rFonts w:ascii="宋体" w:hAnsi="宋体"/>
          <w:sz w:val="24"/>
          <w:szCs w:val="24"/>
        </w:rPr>
        <w:fldChar w:fldCharType="end"/>
      </w:r>
    </w:p>
    <w:p w14:paraId="111A1162">
      <w:pPr>
        <w:pStyle w:val="10"/>
        <w:tabs>
          <w:tab w:val="right" w:leader="dot" w:pos="9628"/>
        </w:tabs>
        <w:spacing w:line="360" w:lineRule="auto"/>
        <w:rPr>
          <w:rFonts w:ascii="宋体" w:hAnsi="宋体" w:cs="Times New Roman"/>
          <w:smallCaps w:val="0"/>
          <w:sz w:val="24"/>
          <w:szCs w:val="24"/>
        </w:rPr>
      </w:pPr>
      <w:r>
        <w:fldChar w:fldCharType="begin"/>
      </w:r>
      <w:r>
        <w:instrText xml:space="preserve"> HYPERLINK \l "_Toc171014042" </w:instrText>
      </w:r>
      <w:r>
        <w:fldChar w:fldCharType="separate"/>
      </w:r>
      <w:r>
        <w:rPr>
          <w:rStyle w:val="13"/>
          <w:rFonts w:hint="eastAsia" w:ascii="宋体" w:hAnsi="宋体" w:cs="宋体"/>
          <w:b/>
          <w:bCs/>
          <w:sz w:val="24"/>
          <w:szCs w:val="24"/>
        </w:rPr>
        <w:t>三、已标价工程量清单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_Toc171014042 \h </w:instrText>
      </w:r>
      <w:r>
        <w:rPr>
          <w:rFonts w:ascii="宋体" w:hAnsi="宋体"/>
          <w:sz w:val="24"/>
          <w:szCs w:val="24"/>
        </w:rPr>
        <w:fldChar w:fldCharType="separate"/>
      </w:r>
      <w:r>
        <w:rPr>
          <w:rFonts w:ascii="宋体" w:hAnsi="宋体"/>
          <w:sz w:val="24"/>
          <w:szCs w:val="24"/>
        </w:rPr>
        <w:t>70</w:t>
      </w:r>
      <w:r>
        <w:rPr>
          <w:rFonts w:ascii="宋体" w:hAnsi="宋体"/>
          <w:sz w:val="24"/>
          <w:szCs w:val="24"/>
        </w:rPr>
        <w:fldChar w:fldCharType="end"/>
      </w:r>
      <w:r>
        <w:rPr>
          <w:rFonts w:ascii="宋体" w:hAnsi="宋体"/>
          <w:sz w:val="24"/>
          <w:szCs w:val="24"/>
        </w:rPr>
        <w:fldChar w:fldCharType="end"/>
      </w:r>
    </w:p>
    <w:p w14:paraId="4317BBED">
      <w:pPr>
        <w:pStyle w:val="10"/>
        <w:tabs>
          <w:tab w:val="right" w:leader="dot" w:pos="9628"/>
        </w:tabs>
        <w:spacing w:line="360" w:lineRule="auto"/>
        <w:rPr>
          <w:rFonts w:ascii="宋体" w:hAnsi="宋体" w:cs="Times New Roman"/>
          <w:smallCaps w:val="0"/>
          <w:sz w:val="24"/>
          <w:szCs w:val="24"/>
        </w:rPr>
      </w:pPr>
      <w:r>
        <w:fldChar w:fldCharType="begin"/>
      </w:r>
      <w:r>
        <w:instrText xml:space="preserve"> HYPERLINK \l "_Toc171014043" </w:instrText>
      </w:r>
      <w:r>
        <w:fldChar w:fldCharType="separate"/>
      </w:r>
      <w:r>
        <w:rPr>
          <w:rStyle w:val="13"/>
          <w:rFonts w:hint="eastAsia" w:ascii="宋体" w:hAnsi="宋体" w:cs="宋体"/>
          <w:b/>
          <w:bCs/>
          <w:sz w:val="24"/>
          <w:szCs w:val="24"/>
        </w:rPr>
        <w:t>四、供应商资格审查资料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_Toc171014043 \h </w:instrText>
      </w:r>
      <w:r>
        <w:rPr>
          <w:rFonts w:ascii="宋体" w:hAnsi="宋体"/>
          <w:sz w:val="24"/>
          <w:szCs w:val="24"/>
        </w:rPr>
        <w:fldChar w:fldCharType="separate"/>
      </w:r>
      <w:r>
        <w:rPr>
          <w:rFonts w:ascii="宋体" w:hAnsi="宋体"/>
          <w:sz w:val="24"/>
          <w:szCs w:val="24"/>
        </w:rPr>
        <w:t>71</w:t>
      </w:r>
      <w:r>
        <w:rPr>
          <w:rFonts w:ascii="宋体" w:hAnsi="宋体"/>
          <w:sz w:val="24"/>
          <w:szCs w:val="24"/>
        </w:rPr>
        <w:fldChar w:fldCharType="end"/>
      </w:r>
      <w:r>
        <w:rPr>
          <w:rFonts w:ascii="宋体" w:hAnsi="宋体"/>
          <w:sz w:val="24"/>
          <w:szCs w:val="24"/>
        </w:rPr>
        <w:fldChar w:fldCharType="end"/>
      </w:r>
    </w:p>
    <w:p w14:paraId="0FF5CC55">
      <w:pPr>
        <w:pStyle w:val="10"/>
        <w:tabs>
          <w:tab w:val="right" w:leader="dot" w:pos="9628"/>
        </w:tabs>
        <w:spacing w:line="360" w:lineRule="auto"/>
        <w:rPr>
          <w:rFonts w:ascii="宋体" w:hAnsi="宋体" w:cs="Times New Roman"/>
          <w:smallCaps w:val="0"/>
          <w:sz w:val="24"/>
          <w:szCs w:val="24"/>
        </w:rPr>
      </w:pPr>
      <w:r>
        <w:fldChar w:fldCharType="begin"/>
      </w:r>
      <w:r>
        <w:instrText xml:space="preserve"> HYPERLINK \l "_Toc171014044" </w:instrText>
      </w:r>
      <w:r>
        <w:fldChar w:fldCharType="separate"/>
      </w:r>
      <w:r>
        <w:rPr>
          <w:rStyle w:val="13"/>
          <w:rFonts w:hint="eastAsia" w:ascii="宋体" w:hAnsi="宋体" w:cs="宋体"/>
          <w:b/>
          <w:bCs/>
          <w:sz w:val="24"/>
          <w:szCs w:val="24"/>
        </w:rPr>
        <w:t>五、施工组织设计</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_Toc171014044 \h </w:instrText>
      </w:r>
      <w:r>
        <w:rPr>
          <w:rFonts w:ascii="宋体" w:hAnsi="宋体"/>
          <w:sz w:val="24"/>
          <w:szCs w:val="24"/>
        </w:rPr>
        <w:fldChar w:fldCharType="separate"/>
      </w:r>
      <w:r>
        <w:rPr>
          <w:rFonts w:ascii="宋体" w:hAnsi="宋体"/>
          <w:sz w:val="24"/>
          <w:szCs w:val="24"/>
        </w:rPr>
        <w:t>72</w:t>
      </w:r>
      <w:r>
        <w:rPr>
          <w:rFonts w:ascii="宋体" w:hAnsi="宋体"/>
          <w:sz w:val="24"/>
          <w:szCs w:val="24"/>
        </w:rPr>
        <w:fldChar w:fldCharType="end"/>
      </w:r>
      <w:r>
        <w:rPr>
          <w:rFonts w:ascii="宋体" w:hAnsi="宋体"/>
          <w:sz w:val="24"/>
          <w:szCs w:val="24"/>
        </w:rPr>
        <w:fldChar w:fldCharType="end"/>
      </w:r>
    </w:p>
    <w:p w14:paraId="06257F3E">
      <w:pPr>
        <w:pStyle w:val="10"/>
        <w:tabs>
          <w:tab w:val="right" w:leader="dot" w:pos="9628"/>
        </w:tabs>
        <w:spacing w:line="360" w:lineRule="auto"/>
        <w:rPr>
          <w:rFonts w:ascii="宋体" w:hAnsi="宋体" w:cs="Times New Roman"/>
          <w:smallCaps w:val="0"/>
          <w:sz w:val="24"/>
          <w:szCs w:val="24"/>
        </w:rPr>
      </w:pPr>
      <w:r>
        <w:fldChar w:fldCharType="begin"/>
      </w:r>
      <w:r>
        <w:instrText xml:space="preserve"> HYPERLINK \l "_Toc171014048" </w:instrText>
      </w:r>
      <w:r>
        <w:fldChar w:fldCharType="separate"/>
      </w:r>
      <w:r>
        <w:rPr>
          <w:rStyle w:val="13"/>
          <w:rFonts w:hint="eastAsia" w:ascii="宋体" w:hAnsi="宋体" w:cs="宋体"/>
          <w:b/>
          <w:sz w:val="24"/>
          <w:szCs w:val="24"/>
        </w:rPr>
        <w:t>六、项目管理机构</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_Toc171014048 \h </w:instrText>
      </w:r>
      <w:r>
        <w:rPr>
          <w:rFonts w:ascii="宋体" w:hAnsi="宋体"/>
          <w:sz w:val="24"/>
          <w:szCs w:val="24"/>
        </w:rPr>
        <w:fldChar w:fldCharType="separate"/>
      </w:r>
      <w:r>
        <w:rPr>
          <w:rFonts w:ascii="宋体" w:hAnsi="宋体"/>
          <w:sz w:val="24"/>
          <w:szCs w:val="24"/>
        </w:rPr>
        <w:t>76</w:t>
      </w:r>
      <w:r>
        <w:rPr>
          <w:rFonts w:ascii="宋体" w:hAnsi="宋体"/>
          <w:sz w:val="24"/>
          <w:szCs w:val="24"/>
        </w:rPr>
        <w:fldChar w:fldCharType="end"/>
      </w:r>
      <w:r>
        <w:rPr>
          <w:rFonts w:ascii="宋体" w:hAnsi="宋体"/>
          <w:sz w:val="24"/>
          <w:szCs w:val="24"/>
        </w:rPr>
        <w:fldChar w:fldCharType="end"/>
      </w:r>
    </w:p>
    <w:p w14:paraId="1A1A4B69">
      <w:pPr>
        <w:pStyle w:val="10"/>
        <w:tabs>
          <w:tab w:val="right" w:leader="dot" w:pos="9628"/>
        </w:tabs>
        <w:spacing w:line="360" w:lineRule="auto"/>
        <w:rPr>
          <w:rFonts w:ascii="宋体" w:hAnsi="宋体" w:cs="Times New Roman"/>
          <w:smallCaps w:val="0"/>
          <w:sz w:val="24"/>
          <w:szCs w:val="24"/>
        </w:rPr>
      </w:pPr>
      <w:r>
        <w:fldChar w:fldCharType="begin"/>
      </w:r>
      <w:r>
        <w:instrText xml:space="preserve"> HYPERLINK \l "_Toc171014051" </w:instrText>
      </w:r>
      <w:r>
        <w:fldChar w:fldCharType="separate"/>
      </w:r>
      <w:r>
        <w:rPr>
          <w:rStyle w:val="13"/>
          <w:rFonts w:hint="eastAsia" w:ascii="宋体" w:hAnsi="宋体" w:cs="宋体"/>
          <w:b/>
          <w:bCs/>
          <w:kern w:val="28"/>
          <w:sz w:val="24"/>
          <w:szCs w:val="24"/>
        </w:rPr>
        <w:t>七、投标人基本情况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_Toc171014051 \h </w:instrText>
      </w:r>
      <w:r>
        <w:rPr>
          <w:rFonts w:ascii="宋体" w:hAnsi="宋体"/>
          <w:sz w:val="24"/>
          <w:szCs w:val="24"/>
        </w:rPr>
        <w:fldChar w:fldCharType="separate"/>
      </w:r>
      <w:r>
        <w:rPr>
          <w:rFonts w:ascii="宋体" w:hAnsi="宋体"/>
          <w:sz w:val="24"/>
          <w:szCs w:val="24"/>
        </w:rPr>
        <w:t>78</w:t>
      </w:r>
      <w:r>
        <w:rPr>
          <w:rFonts w:ascii="宋体" w:hAnsi="宋体"/>
          <w:sz w:val="24"/>
          <w:szCs w:val="24"/>
        </w:rPr>
        <w:fldChar w:fldCharType="end"/>
      </w:r>
      <w:r>
        <w:rPr>
          <w:rFonts w:ascii="宋体" w:hAnsi="宋体"/>
          <w:sz w:val="24"/>
          <w:szCs w:val="24"/>
        </w:rPr>
        <w:fldChar w:fldCharType="end"/>
      </w:r>
    </w:p>
    <w:p w14:paraId="133D4754">
      <w:pPr>
        <w:pStyle w:val="10"/>
        <w:tabs>
          <w:tab w:val="right" w:leader="dot" w:pos="9628"/>
        </w:tabs>
        <w:spacing w:line="360" w:lineRule="auto"/>
        <w:rPr>
          <w:rFonts w:ascii="宋体" w:hAnsi="宋体" w:cs="Times New Roman"/>
          <w:smallCaps w:val="0"/>
          <w:sz w:val="24"/>
          <w:szCs w:val="24"/>
        </w:rPr>
      </w:pPr>
      <w:r>
        <w:fldChar w:fldCharType="begin"/>
      </w:r>
      <w:r>
        <w:instrText xml:space="preserve"> HYPERLINK \l "_Toc171014055" </w:instrText>
      </w:r>
      <w:r>
        <w:fldChar w:fldCharType="separate"/>
      </w:r>
      <w:r>
        <w:rPr>
          <w:rStyle w:val="13"/>
          <w:rFonts w:hint="eastAsia" w:ascii="宋体" w:hAnsi="宋体" w:cs="宋体"/>
          <w:b/>
          <w:bCs/>
          <w:kern w:val="10"/>
          <w:sz w:val="24"/>
          <w:szCs w:val="24"/>
        </w:rPr>
        <w:t>八、</w:t>
      </w:r>
      <w:r>
        <w:rPr>
          <w:rStyle w:val="13"/>
          <w:rFonts w:hint="eastAsia" w:ascii="宋体" w:hAnsi="宋体" w:cs="宋体"/>
          <w:b/>
          <w:bCs/>
          <w:sz w:val="24"/>
          <w:szCs w:val="24"/>
        </w:rPr>
        <w:t>供应商认为应附的其他证明材料</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_Toc171014055 \h </w:instrText>
      </w:r>
      <w:r>
        <w:rPr>
          <w:rFonts w:ascii="宋体" w:hAnsi="宋体"/>
          <w:sz w:val="24"/>
          <w:szCs w:val="24"/>
        </w:rPr>
        <w:fldChar w:fldCharType="separate"/>
      </w:r>
      <w:r>
        <w:rPr>
          <w:rFonts w:ascii="宋体" w:hAnsi="宋体"/>
          <w:sz w:val="24"/>
          <w:szCs w:val="24"/>
        </w:rPr>
        <w:t>84</w:t>
      </w:r>
      <w:r>
        <w:rPr>
          <w:rFonts w:ascii="宋体" w:hAnsi="宋体"/>
          <w:sz w:val="24"/>
          <w:szCs w:val="24"/>
        </w:rPr>
        <w:fldChar w:fldCharType="end"/>
      </w:r>
      <w:r>
        <w:rPr>
          <w:rFonts w:ascii="宋体" w:hAnsi="宋体"/>
          <w:sz w:val="24"/>
          <w:szCs w:val="24"/>
        </w:rPr>
        <w:fldChar w:fldCharType="end"/>
      </w:r>
    </w:p>
    <w:p w14:paraId="6C24D71C">
      <w:pPr>
        <w:spacing w:line="360" w:lineRule="auto"/>
        <w:rPr>
          <w:rFonts w:ascii="宋体" w:hAnsi="宋体"/>
          <w:bCs/>
          <w:sz w:val="24"/>
        </w:rPr>
      </w:pPr>
      <w:r>
        <w:rPr>
          <w:rFonts w:ascii="宋体" w:hAnsi="宋体" w:cs="Calibri"/>
          <w:b/>
          <w:caps/>
          <w:sz w:val="24"/>
        </w:rPr>
        <w:fldChar w:fldCharType="end"/>
      </w:r>
    </w:p>
    <w:p w14:paraId="78E8D992">
      <w:pPr>
        <w:rPr>
          <w:rFonts w:ascii="宋体" w:hAnsi="宋体"/>
          <w:bCs/>
          <w:sz w:val="30"/>
          <w:szCs w:val="30"/>
        </w:rPr>
      </w:pPr>
    </w:p>
    <w:p w14:paraId="72855F01">
      <w:pPr>
        <w:widowControl/>
        <w:jc w:val="left"/>
        <w:rPr>
          <w:rFonts w:ascii="宋体" w:hAnsi="宋体"/>
        </w:rPr>
      </w:pPr>
    </w:p>
    <w:p w14:paraId="10872701">
      <w:pPr>
        <w:rPr>
          <w:rFonts w:ascii="宋体" w:hAnsi="宋体"/>
          <w:b/>
          <w:bCs/>
          <w:sz w:val="32"/>
          <w:szCs w:val="32"/>
        </w:rPr>
      </w:pPr>
      <w:bookmarkStart w:id="7" w:name="_Toc171013992"/>
      <w:r>
        <w:rPr>
          <w:rFonts w:hint="eastAsia" w:ascii="宋体" w:hAnsi="宋体"/>
          <w:b/>
          <w:bCs/>
          <w:sz w:val="32"/>
          <w:szCs w:val="32"/>
        </w:rPr>
        <w:br w:type="page"/>
      </w:r>
    </w:p>
    <w:p w14:paraId="51668DA7">
      <w:pPr>
        <w:jc w:val="center"/>
        <w:outlineLvl w:val="0"/>
        <w:rPr>
          <w:rFonts w:ascii="宋体" w:hAnsi="宋体"/>
          <w:b/>
          <w:bCs/>
          <w:sz w:val="32"/>
          <w:szCs w:val="32"/>
        </w:rPr>
      </w:pPr>
      <w:r>
        <w:rPr>
          <w:rFonts w:hint="eastAsia" w:ascii="宋体" w:hAnsi="宋体"/>
          <w:b/>
          <w:bCs/>
          <w:sz w:val="32"/>
          <w:szCs w:val="32"/>
        </w:rPr>
        <w:t>第一章  竞争性磋商公告</w:t>
      </w:r>
      <w:bookmarkEnd w:id="7"/>
    </w:p>
    <w:bookmarkEnd w:id="1"/>
    <w:bookmarkEnd w:id="2"/>
    <w:bookmarkEnd w:id="3"/>
    <w:p w14:paraId="2D0F6A43">
      <w:pPr>
        <w:widowControl/>
        <w:spacing w:line="360" w:lineRule="auto"/>
        <w:ind w:firstLine="480" w:firstLineChars="200"/>
        <w:jc w:val="left"/>
        <w:rPr>
          <w:rFonts w:ascii="宋体" w:hAnsi="宋体"/>
          <w:sz w:val="24"/>
        </w:rPr>
      </w:pPr>
      <w:r>
        <w:rPr>
          <w:rFonts w:hint="eastAsia" w:ascii="宋体" w:hAnsi="宋体"/>
          <w:sz w:val="24"/>
        </w:rPr>
        <w:t>一、项目基本情况</w:t>
      </w:r>
    </w:p>
    <w:p w14:paraId="40761EDB">
      <w:pPr>
        <w:spacing w:line="360" w:lineRule="auto"/>
        <w:ind w:firstLine="480" w:firstLineChars="200"/>
        <w:jc w:val="both"/>
        <w:rPr>
          <w:rFonts w:hint="eastAsia" w:ascii="宋体" w:hAnsi="宋体"/>
          <w:sz w:val="24"/>
        </w:rPr>
      </w:pPr>
      <w:r>
        <w:rPr>
          <w:rFonts w:hint="eastAsia" w:ascii="宋体" w:hAnsi="宋体"/>
          <w:sz w:val="24"/>
        </w:rPr>
        <w:t>1、项目编号：</w:t>
      </w:r>
      <w:bookmarkStart w:id="8" w:name="OLE_LINK2"/>
      <w:bookmarkStart w:id="9" w:name="OLE_LINK1"/>
      <w:r>
        <w:rPr>
          <w:rFonts w:hint="eastAsia" w:ascii="宋体" w:hAnsi="宋体"/>
          <w:sz w:val="24"/>
        </w:rPr>
        <w:t>灵宝竞磋采购-2025-155、</w:t>
      </w:r>
      <w:bookmarkEnd w:id="8"/>
      <w:bookmarkEnd w:id="9"/>
      <w:r>
        <w:rPr>
          <w:rFonts w:hint="eastAsia" w:ascii="宋体" w:hAnsi="宋体"/>
          <w:sz w:val="24"/>
        </w:rPr>
        <w:t>LBGZ[2025]339-ZC255</w:t>
      </w:r>
    </w:p>
    <w:p w14:paraId="731F8920">
      <w:pPr>
        <w:widowControl/>
        <w:spacing w:line="360" w:lineRule="auto"/>
        <w:ind w:firstLine="480" w:firstLineChars="200"/>
        <w:jc w:val="left"/>
        <w:rPr>
          <w:rFonts w:ascii="宋体" w:hAnsi="宋体"/>
          <w:sz w:val="28"/>
          <w:u w:val="single"/>
        </w:rPr>
      </w:pPr>
      <w:r>
        <w:rPr>
          <w:rFonts w:hint="eastAsia" w:ascii="宋体" w:hAnsi="宋体"/>
          <w:sz w:val="24"/>
        </w:rPr>
        <w:t>2、项目名称：</w:t>
      </w:r>
      <w:bookmarkStart w:id="10" w:name="OLE_LINK4"/>
      <w:bookmarkStart w:id="11" w:name="OLE_LINK3"/>
      <w:r>
        <w:rPr>
          <w:rFonts w:hint="eastAsia" w:ascii="宋体" w:hAnsi="宋体"/>
          <w:sz w:val="24"/>
        </w:rPr>
        <w:t>2025年灵宝市第一批农村公路安全生命防护工程（二次）</w:t>
      </w:r>
    </w:p>
    <w:bookmarkEnd w:id="10"/>
    <w:bookmarkEnd w:id="11"/>
    <w:p w14:paraId="3CFBB094">
      <w:pPr>
        <w:widowControl/>
        <w:spacing w:line="360" w:lineRule="auto"/>
        <w:ind w:firstLine="480" w:firstLineChars="200"/>
        <w:jc w:val="left"/>
        <w:rPr>
          <w:rFonts w:ascii="宋体" w:hAnsi="宋体"/>
          <w:sz w:val="24"/>
        </w:rPr>
      </w:pPr>
      <w:r>
        <w:rPr>
          <w:rFonts w:hint="eastAsia" w:ascii="宋体" w:hAnsi="宋体"/>
          <w:sz w:val="24"/>
        </w:rPr>
        <w:t>3、采购方式：竞争性磋商</w:t>
      </w:r>
    </w:p>
    <w:p w14:paraId="2FBE0991">
      <w:pPr>
        <w:widowControl/>
        <w:spacing w:line="360" w:lineRule="auto"/>
        <w:ind w:firstLine="480" w:firstLineChars="200"/>
        <w:jc w:val="left"/>
        <w:rPr>
          <w:rFonts w:ascii="宋体" w:hAnsi="宋体"/>
          <w:color w:val="FF0000"/>
          <w:sz w:val="24"/>
        </w:rPr>
      </w:pPr>
      <w:r>
        <w:rPr>
          <w:rFonts w:hint="eastAsia" w:ascii="宋体" w:hAnsi="宋体"/>
          <w:sz w:val="24"/>
        </w:rPr>
        <w:t>4、预算金额：325.0489万元</w:t>
      </w:r>
    </w:p>
    <w:p w14:paraId="0DEB9B1A">
      <w:pPr>
        <w:spacing w:line="480" w:lineRule="exact"/>
        <w:ind w:firstLine="720" w:firstLineChars="300"/>
        <w:rPr>
          <w:rFonts w:ascii="宋体" w:hAnsi="宋体"/>
          <w:sz w:val="24"/>
        </w:rPr>
      </w:pPr>
      <w:r>
        <w:rPr>
          <w:rFonts w:hint="eastAsia" w:ascii="宋体" w:hAnsi="宋体"/>
          <w:sz w:val="24"/>
        </w:rPr>
        <w:t>最高限价：325.0489万元</w:t>
      </w:r>
    </w:p>
    <w:tbl>
      <w:tblPr>
        <w:tblStyle w:val="11"/>
        <w:tblW w:w="9938"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78"/>
        <w:gridCol w:w="2434"/>
        <w:gridCol w:w="3768"/>
        <w:gridCol w:w="1573"/>
        <w:gridCol w:w="1735"/>
      </w:tblGrid>
      <w:tr w14:paraId="55FC92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48" w:type="dxa"/>
            <w:tcBorders>
              <w:top w:val="outset" w:color="auto" w:sz="6" w:space="0"/>
              <w:left w:val="outset" w:color="auto" w:sz="6" w:space="0"/>
              <w:bottom w:val="outset" w:color="auto" w:sz="6" w:space="0"/>
              <w:right w:val="outset" w:color="auto" w:sz="6" w:space="0"/>
            </w:tcBorders>
            <w:noWrap/>
            <w:vAlign w:val="center"/>
          </w:tcPr>
          <w:p w14:paraId="6263B404">
            <w:pPr>
              <w:spacing w:line="480" w:lineRule="exact"/>
              <w:ind w:right="-277" w:rightChars="-132"/>
              <w:rPr>
                <w:rFonts w:ascii="宋体" w:hAnsi="宋体" w:cs="宋体"/>
                <w:sz w:val="24"/>
              </w:rPr>
            </w:pPr>
            <w:r>
              <w:rPr>
                <w:rFonts w:hint="eastAsia" w:ascii="宋体" w:hAnsi="宋体" w:cs="宋体"/>
                <w:sz w:val="24"/>
              </w:rPr>
              <w:t>序号</w:t>
            </w:r>
          </w:p>
        </w:tc>
        <w:tc>
          <w:tcPr>
            <w:tcW w:w="2404" w:type="dxa"/>
            <w:tcBorders>
              <w:top w:val="outset" w:color="auto" w:sz="6" w:space="0"/>
              <w:left w:val="outset" w:color="auto" w:sz="6" w:space="0"/>
              <w:bottom w:val="outset" w:color="auto" w:sz="6" w:space="0"/>
              <w:right w:val="outset" w:color="auto" w:sz="6" w:space="0"/>
            </w:tcBorders>
            <w:noWrap/>
            <w:vAlign w:val="center"/>
          </w:tcPr>
          <w:p w14:paraId="7AE14801">
            <w:pPr>
              <w:spacing w:line="480" w:lineRule="exact"/>
              <w:jc w:val="center"/>
              <w:rPr>
                <w:rFonts w:ascii="宋体" w:hAnsi="宋体" w:cs="宋体"/>
                <w:sz w:val="24"/>
              </w:rPr>
            </w:pPr>
            <w:r>
              <w:rPr>
                <w:rFonts w:hint="eastAsia" w:ascii="宋体" w:hAnsi="宋体" w:cs="宋体"/>
                <w:sz w:val="24"/>
              </w:rPr>
              <w:t>包号</w:t>
            </w:r>
          </w:p>
        </w:tc>
        <w:tc>
          <w:tcPr>
            <w:tcW w:w="3738" w:type="dxa"/>
            <w:tcBorders>
              <w:top w:val="outset" w:color="auto" w:sz="6" w:space="0"/>
              <w:left w:val="outset" w:color="auto" w:sz="6" w:space="0"/>
              <w:bottom w:val="outset" w:color="auto" w:sz="6" w:space="0"/>
              <w:right w:val="outset" w:color="auto" w:sz="6" w:space="0"/>
            </w:tcBorders>
            <w:noWrap/>
            <w:vAlign w:val="center"/>
          </w:tcPr>
          <w:p w14:paraId="60854E9B">
            <w:pPr>
              <w:spacing w:line="480" w:lineRule="exact"/>
              <w:ind w:firstLine="480" w:firstLineChars="200"/>
              <w:jc w:val="center"/>
              <w:rPr>
                <w:rFonts w:ascii="宋体" w:hAnsi="宋体" w:cs="宋体"/>
                <w:sz w:val="24"/>
              </w:rPr>
            </w:pPr>
            <w:r>
              <w:rPr>
                <w:rFonts w:hint="eastAsia" w:ascii="宋体" w:hAnsi="宋体" w:cs="宋体"/>
                <w:sz w:val="24"/>
              </w:rPr>
              <w:t>包名称</w:t>
            </w:r>
          </w:p>
        </w:tc>
        <w:tc>
          <w:tcPr>
            <w:tcW w:w="1543" w:type="dxa"/>
            <w:tcBorders>
              <w:top w:val="outset" w:color="auto" w:sz="6" w:space="0"/>
              <w:left w:val="outset" w:color="auto" w:sz="6" w:space="0"/>
              <w:bottom w:val="outset" w:color="auto" w:sz="6" w:space="0"/>
              <w:right w:val="outset" w:color="auto" w:sz="6" w:space="0"/>
            </w:tcBorders>
            <w:noWrap/>
            <w:vAlign w:val="center"/>
          </w:tcPr>
          <w:p w14:paraId="2AC6AF32">
            <w:pPr>
              <w:spacing w:line="480" w:lineRule="exact"/>
              <w:jc w:val="center"/>
              <w:rPr>
                <w:rFonts w:ascii="宋体" w:hAnsi="宋体" w:cs="宋体"/>
                <w:sz w:val="24"/>
              </w:rPr>
            </w:pPr>
            <w:r>
              <w:rPr>
                <w:rFonts w:hint="eastAsia" w:ascii="宋体" w:hAnsi="宋体" w:cs="宋体"/>
                <w:sz w:val="24"/>
              </w:rPr>
              <w:t>包预算（</w:t>
            </w:r>
            <w:r>
              <w:rPr>
                <w:rFonts w:hint="eastAsia" w:ascii="宋体" w:hAnsi="宋体"/>
                <w:sz w:val="24"/>
              </w:rPr>
              <w:t>万</w:t>
            </w:r>
            <w:r>
              <w:rPr>
                <w:rFonts w:hint="eastAsia" w:ascii="宋体" w:hAnsi="宋体" w:cs="宋体"/>
                <w:sz w:val="24"/>
              </w:rPr>
              <w:t>元）</w:t>
            </w:r>
          </w:p>
        </w:tc>
        <w:tc>
          <w:tcPr>
            <w:tcW w:w="1705" w:type="dxa"/>
            <w:tcBorders>
              <w:top w:val="outset" w:color="auto" w:sz="6" w:space="0"/>
              <w:left w:val="outset" w:color="auto" w:sz="6" w:space="0"/>
              <w:bottom w:val="outset" w:color="auto" w:sz="6" w:space="0"/>
              <w:right w:val="outset" w:color="auto" w:sz="6" w:space="0"/>
            </w:tcBorders>
            <w:noWrap/>
            <w:vAlign w:val="center"/>
          </w:tcPr>
          <w:p w14:paraId="3BC7C3B6">
            <w:pPr>
              <w:spacing w:line="480" w:lineRule="exact"/>
              <w:jc w:val="center"/>
              <w:rPr>
                <w:rFonts w:ascii="宋体" w:hAnsi="宋体" w:cs="宋体"/>
                <w:sz w:val="24"/>
              </w:rPr>
            </w:pPr>
            <w:r>
              <w:rPr>
                <w:rFonts w:hint="eastAsia" w:ascii="宋体" w:hAnsi="宋体" w:cs="宋体"/>
                <w:sz w:val="24"/>
              </w:rPr>
              <w:t>包最高限价</w:t>
            </w:r>
          </w:p>
          <w:p w14:paraId="4E6CF31D">
            <w:pPr>
              <w:spacing w:line="480" w:lineRule="exact"/>
              <w:jc w:val="center"/>
              <w:rPr>
                <w:rFonts w:ascii="宋体" w:hAnsi="宋体" w:cs="宋体"/>
                <w:sz w:val="24"/>
              </w:rPr>
            </w:pPr>
            <w:r>
              <w:rPr>
                <w:rFonts w:hint="eastAsia" w:ascii="宋体" w:hAnsi="宋体" w:cs="宋体"/>
                <w:sz w:val="24"/>
              </w:rPr>
              <w:t>（</w:t>
            </w:r>
            <w:r>
              <w:rPr>
                <w:rFonts w:hint="eastAsia" w:ascii="宋体" w:hAnsi="宋体"/>
                <w:sz w:val="24"/>
              </w:rPr>
              <w:t>万</w:t>
            </w:r>
            <w:r>
              <w:rPr>
                <w:rFonts w:hint="eastAsia" w:ascii="宋体" w:hAnsi="宋体" w:cs="宋体"/>
                <w:sz w:val="24"/>
              </w:rPr>
              <w:t>元）</w:t>
            </w:r>
          </w:p>
        </w:tc>
      </w:tr>
      <w:tr w14:paraId="1769D2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548" w:type="dxa"/>
            <w:tcBorders>
              <w:top w:val="outset" w:color="auto" w:sz="6" w:space="0"/>
              <w:left w:val="outset" w:color="auto" w:sz="6" w:space="0"/>
              <w:bottom w:val="outset" w:color="auto" w:sz="6" w:space="0"/>
              <w:right w:val="outset" w:color="auto" w:sz="6" w:space="0"/>
            </w:tcBorders>
            <w:noWrap/>
            <w:vAlign w:val="center"/>
          </w:tcPr>
          <w:p w14:paraId="2B5EB679">
            <w:pPr>
              <w:spacing w:line="480" w:lineRule="exact"/>
              <w:jc w:val="center"/>
              <w:rPr>
                <w:rFonts w:ascii="宋体" w:hAnsi="宋体" w:cs="宋体"/>
                <w:sz w:val="24"/>
              </w:rPr>
            </w:pPr>
            <w:r>
              <w:rPr>
                <w:rFonts w:hint="eastAsia" w:ascii="宋体" w:hAnsi="宋体" w:cs="宋体"/>
                <w:sz w:val="24"/>
              </w:rPr>
              <w:t>1</w:t>
            </w:r>
          </w:p>
        </w:tc>
        <w:tc>
          <w:tcPr>
            <w:tcW w:w="2404" w:type="dxa"/>
            <w:tcBorders>
              <w:top w:val="outset" w:color="auto" w:sz="6" w:space="0"/>
              <w:left w:val="outset" w:color="auto" w:sz="6" w:space="0"/>
              <w:bottom w:val="outset" w:color="auto" w:sz="6" w:space="0"/>
              <w:right w:val="outset" w:color="auto" w:sz="6" w:space="0"/>
            </w:tcBorders>
            <w:noWrap/>
            <w:vAlign w:val="center"/>
          </w:tcPr>
          <w:p w14:paraId="38580D74">
            <w:pPr>
              <w:spacing w:line="360" w:lineRule="auto"/>
              <w:jc w:val="both"/>
              <w:rPr>
                <w:rFonts w:ascii="宋体" w:hAnsi="宋体"/>
                <w:color w:val="FF0000"/>
                <w:sz w:val="24"/>
              </w:rPr>
            </w:pPr>
            <w:r>
              <w:rPr>
                <w:rFonts w:hint="eastAsia" w:ascii="宋体" w:hAnsi="宋体"/>
                <w:sz w:val="24"/>
              </w:rPr>
              <w:t>LBGZ[2025]339-ZC255</w:t>
            </w:r>
          </w:p>
        </w:tc>
        <w:tc>
          <w:tcPr>
            <w:tcW w:w="3738" w:type="dxa"/>
            <w:tcBorders>
              <w:top w:val="outset" w:color="auto" w:sz="6" w:space="0"/>
              <w:left w:val="outset" w:color="auto" w:sz="6" w:space="0"/>
              <w:bottom w:val="outset" w:color="auto" w:sz="6" w:space="0"/>
              <w:right w:val="outset" w:color="auto" w:sz="6" w:space="0"/>
            </w:tcBorders>
            <w:noWrap/>
            <w:vAlign w:val="center"/>
          </w:tcPr>
          <w:p w14:paraId="07A248B4">
            <w:pPr>
              <w:spacing w:line="480" w:lineRule="exact"/>
              <w:jc w:val="center"/>
              <w:rPr>
                <w:rFonts w:ascii="宋体" w:hAnsi="宋体"/>
                <w:sz w:val="24"/>
              </w:rPr>
            </w:pPr>
            <w:r>
              <w:rPr>
                <w:rFonts w:hint="eastAsia" w:ascii="宋体" w:hAnsi="宋体"/>
                <w:sz w:val="24"/>
              </w:rPr>
              <w:t>2025年灵宝市第一批农村公路安全生命防护工程（二次）</w:t>
            </w:r>
          </w:p>
        </w:tc>
        <w:tc>
          <w:tcPr>
            <w:tcW w:w="1543" w:type="dxa"/>
            <w:tcBorders>
              <w:top w:val="outset" w:color="auto" w:sz="6" w:space="0"/>
              <w:left w:val="outset" w:color="auto" w:sz="6" w:space="0"/>
              <w:bottom w:val="outset" w:color="auto" w:sz="6" w:space="0"/>
              <w:right w:val="outset" w:color="auto" w:sz="6" w:space="0"/>
            </w:tcBorders>
            <w:noWrap/>
            <w:vAlign w:val="center"/>
          </w:tcPr>
          <w:p w14:paraId="5AB51511">
            <w:pPr>
              <w:spacing w:line="480" w:lineRule="exact"/>
              <w:jc w:val="center"/>
              <w:rPr>
                <w:rFonts w:ascii="宋体" w:hAnsi="宋体"/>
                <w:sz w:val="24"/>
              </w:rPr>
            </w:pPr>
            <w:r>
              <w:rPr>
                <w:rFonts w:hint="eastAsia" w:ascii="宋体" w:hAnsi="宋体"/>
                <w:sz w:val="24"/>
              </w:rPr>
              <w:t>325.0489</w:t>
            </w:r>
          </w:p>
        </w:tc>
        <w:tc>
          <w:tcPr>
            <w:tcW w:w="1705" w:type="dxa"/>
            <w:tcBorders>
              <w:top w:val="outset" w:color="auto" w:sz="6" w:space="0"/>
              <w:left w:val="outset" w:color="auto" w:sz="6" w:space="0"/>
              <w:bottom w:val="outset" w:color="auto" w:sz="6" w:space="0"/>
              <w:right w:val="outset" w:color="auto" w:sz="6" w:space="0"/>
            </w:tcBorders>
            <w:noWrap/>
            <w:vAlign w:val="center"/>
          </w:tcPr>
          <w:p w14:paraId="4823DDE1">
            <w:pPr>
              <w:spacing w:line="480" w:lineRule="exact"/>
              <w:jc w:val="center"/>
              <w:rPr>
                <w:rFonts w:ascii="宋体" w:hAnsi="宋体"/>
                <w:sz w:val="24"/>
              </w:rPr>
            </w:pPr>
            <w:r>
              <w:rPr>
                <w:rFonts w:hint="eastAsia" w:ascii="宋体" w:hAnsi="宋体"/>
                <w:sz w:val="24"/>
              </w:rPr>
              <w:t>325.0489</w:t>
            </w:r>
          </w:p>
        </w:tc>
      </w:tr>
    </w:tbl>
    <w:p w14:paraId="4A119CD2">
      <w:pPr>
        <w:widowControl/>
        <w:spacing w:line="360" w:lineRule="auto"/>
        <w:ind w:firstLine="480" w:firstLineChars="200"/>
        <w:jc w:val="left"/>
        <w:rPr>
          <w:rFonts w:ascii="宋体" w:hAnsi="宋体"/>
          <w:sz w:val="24"/>
        </w:rPr>
      </w:pPr>
      <w:r>
        <w:rPr>
          <w:rFonts w:hint="eastAsia" w:ascii="宋体" w:hAnsi="宋体"/>
          <w:sz w:val="24"/>
        </w:rPr>
        <w:t>5、项目概况：</w:t>
      </w:r>
      <w:bookmarkStart w:id="12" w:name="OLE_LINK6"/>
      <w:bookmarkStart w:id="13" w:name="OLE_LINK8"/>
      <w:r>
        <w:rPr>
          <w:rFonts w:hint="eastAsia" w:ascii="宋体" w:hAnsi="宋体"/>
          <w:sz w:val="24"/>
        </w:rPr>
        <w:t>灵宝市2025年农村公路安全生命防护工程共有20条道路，全长103.104公里，处置隐患里程29.33公里。其中县道生命安全防护工程有2条；乡道生命安全防护工程3条；村道生命安全防护工程有15条。涉及川口、苏村、尹庄、五亩四个乡镇。包含项目建设内容：波形护栏、单柱三角形标志牌、单柱符合标志牌、单悬臂标志牌、道口标柱、凸面镜、护墙角等。</w:t>
      </w:r>
    </w:p>
    <w:bookmarkEnd w:id="12"/>
    <w:bookmarkEnd w:id="13"/>
    <w:p w14:paraId="7742D25E">
      <w:pPr>
        <w:widowControl/>
        <w:spacing w:line="360" w:lineRule="auto"/>
        <w:ind w:firstLine="480" w:firstLineChars="200"/>
        <w:jc w:val="left"/>
        <w:rPr>
          <w:rFonts w:ascii="宋体" w:hAnsi="宋体"/>
          <w:sz w:val="24"/>
        </w:rPr>
      </w:pPr>
      <w:r>
        <w:rPr>
          <w:rFonts w:hint="eastAsia" w:ascii="宋体" w:hAnsi="宋体"/>
          <w:sz w:val="24"/>
        </w:rPr>
        <w:t>6、招标范围：本项目竞争性磋商文件、图纸、工程量单及答疑纪要等列明的所有内容。</w:t>
      </w:r>
    </w:p>
    <w:p w14:paraId="0B7366DA">
      <w:pPr>
        <w:spacing w:line="360" w:lineRule="auto"/>
        <w:ind w:firstLine="480" w:firstLineChars="200"/>
        <w:jc w:val="left"/>
        <w:rPr>
          <w:rFonts w:ascii="宋体" w:hAnsi="宋体"/>
          <w:sz w:val="24"/>
        </w:rPr>
      </w:pPr>
      <w:r>
        <w:rPr>
          <w:rFonts w:hint="eastAsia" w:ascii="宋体" w:hAnsi="宋体"/>
          <w:sz w:val="24"/>
        </w:rPr>
        <w:t>7、质量要求：合格</w:t>
      </w:r>
    </w:p>
    <w:p w14:paraId="22398CB2">
      <w:pPr>
        <w:widowControl/>
        <w:spacing w:line="360" w:lineRule="auto"/>
        <w:ind w:firstLine="480" w:firstLineChars="200"/>
        <w:jc w:val="left"/>
        <w:rPr>
          <w:rFonts w:ascii="宋体" w:hAnsi="宋体"/>
          <w:sz w:val="24"/>
        </w:rPr>
      </w:pPr>
      <w:r>
        <w:rPr>
          <w:rFonts w:hint="eastAsia" w:ascii="宋体" w:hAnsi="宋体"/>
          <w:sz w:val="24"/>
        </w:rPr>
        <w:t>8、工期：120日历天</w:t>
      </w:r>
    </w:p>
    <w:p w14:paraId="5826D289">
      <w:pPr>
        <w:widowControl/>
        <w:spacing w:line="360" w:lineRule="auto"/>
        <w:ind w:firstLine="480" w:firstLineChars="200"/>
        <w:jc w:val="left"/>
        <w:rPr>
          <w:rFonts w:ascii="宋体" w:hAnsi="宋体"/>
          <w:sz w:val="24"/>
        </w:rPr>
      </w:pPr>
      <w:r>
        <w:rPr>
          <w:rFonts w:hint="eastAsia" w:ascii="宋体" w:hAnsi="宋体"/>
          <w:sz w:val="24"/>
        </w:rPr>
        <w:t>9、合同履行期限：120日历天</w:t>
      </w:r>
    </w:p>
    <w:p w14:paraId="5FEA2863">
      <w:pPr>
        <w:widowControl/>
        <w:spacing w:line="360" w:lineRule="auto"/>
        <w:ind w:firstLine="480" w:firstLineChars="200"/>
        <w:jc w:val="left"/>
        <w:rPr>
          <w:rFonts w:ascii="宋体" w:hAnsi="宋体"/>
          <w:sz w:val="24"/>
        </w:rPr>
      </w:pPr>
      <w:r>
        <w:rPr>
          <w:rFonts w:hint="eastAsia" w:ascii="宋体" w:hAnsi="宋体"/>
          <w:sz w:val="24"/>
        </w:rPr>
        <w:t>10、本项目是否接受联合体投标：否</w:t>
      </w:r>
    </w:p>
    <w:p w14:paraId="45E4AD4D">
      <w:pPr>
        <w:widowControl/>
        <w:spacing w:line="360" w:lineRule="auto"/>
        <w:ind w:firstLine="480" w:firstLineChars="200"/>
        <w:jc w:val="left"/>
        <w:rPr>
          <w:rFonts w:ascii="宋体" w:hAnsi="宋体"/>
          <w:sz w:val="24"/>
        </w:rPr>
      </w:pPr>
      <w:r>
        <w:rPr>
          <w:rFonts w:hint="eastAsia" w:ascii="宋体" w:hAnsi="宋体"/>
          <w:sz w:val="24"/>
        </w:rPr>
        <w:t>11、是否接受进口产品：否</w:t>
      </w:r>
    </w:p>
    <w:p w14:paraId="1EBF1299">
      <w:pPr>
        <w:widowControl/>
        <w:spacing w:line="360" w:lineRule="auto"/>
        <w:ind w:firstLine="480" w:firstLineChars="200"/>
        <w:jc w:val="left"/>
        <w:rPr>
          <w:rFonts w:ascii="宋体" w:hAnsi="宋体"/>
          <w:sz w:val="24"/>
        </w:rPr>
      </w:pPr>
      <w:r>
        <w:rPr>
          <w:rFonts w:hint="eastAsia" w:ascii="宋体" w:hAnsi="宋体"/>
          <w:sz w:val="24"/>
        </w:rPr>
        <w:t>二、申请人资格要求：</w:t>
      </w:r>
    </w:p>
    <w:p w14:paraId="39C635D6">
      <w:pPr>
        <w:widowControl/>
        <w:spacing w:line="360" w:lineRule="auto"/>
        <w:ind w:firstLine="480" w:firstLineChars="200"/>
        <w:jc w:val="left"/>
        <w:rPr>
          <w:rFonts w:ascii="宋体" w:hAnsi="宋体"/>
          <w:sz w:val="24"/>
        </w:rPr>
      </w:pPr>
      <w:r>
        <w:rPr>
          <w:rFonts w:ascii="宋体" w:hAnsi="宋体"/>
          <w:sz w:val="24"/>
        </w:rPr>
        <w:t>1</w:t>
      </w:r>
      <w:r>
        <w:rPr>
          <w:rFonts w:hint="eastAsia" w:ascii="宋体" w:hAnsi="宋体"/>
          <w:sz w:val="24"/>
        </w:rPr>
        <w:t>、</w:t>
      </w:r>
      <w:r>
        <w:rPr>
          <w:rFonts w:ascii="宋体" w:hAnsi="宋体"/>
          <w:sz w:val="24"/>
        </w:rPr>
        <w:t>满足《中华人民共和国政府采购法》第二十二条规定；</w:t>
      </w:r>
    </w:p>
    <w:p w14:paraId="5E344A3A">
      <w:pPr>
        <w:widowControl/>
        <w:spacing w:line="360" w:lineRule="auto"/>
        <w:ind w:firstLine="480" w:firstLineChars="200"/>
        <w:jc w:val="left"/>
        <w:rPr>
          <w:rFonts w:ascii="宋体" w:hAnsi="宋体"/>
          <w:sz w:val="24"/>
        </w:rPr>
      </w:pPr>
      <w:r>
        <w:rPr>
          <w:rFonts w:hint="eastAsia" w:ascii="宋体" w:hAnsi="宋体"/>
          <w:sz w:val="24"/>
        </w:rPr>
        <w:t>2、项目落实的政府采购政策：本项目非专门面向中小微企业采购项目,执行促进中小微企业（监狱企业、残疾人福利性企业）发展等政府采购政策。</w:t>
      </w:r>
    </w:p>
    <w:p w14:paraId="5371C1FA">
      <w:pPr>
        <w:widowControl/>
        <w:spacing w:line="360" w:lineRule="auto"/>
        <w:ind w:firstLine="480" w:firstLineChars="200"/>
        <w:jc w:val="left"/>
        <w:rPr>
          <w:rFonts w:ascii="宋体" w:hAnsi="宋体"/>
          <w:sz w:val="24"/>
        </w:rPr>
      </w:pPr>
      <w:r>
        <w:rPr>
          <w:rFonts w:hint="eastAsia" w:ascii="宋体" w:hAnsi="宋体"/>
          <w:sz w:val="24"/>
        </w:rPr>
        <w:t>3、本项目的特定资格要求</w:t>
      </w:r>
    </w:p>
    <w:p w14:paraId="6BD139FD">
      <w:pPr>
        <w:widowControl/>
        <w:spacing w:line="360" w:lineRule="auto"/>
        <w:ind w:firstLine="480" w:firstLineChars="200"/>
        <w:jc w:val="left"/>
        <w:rPr>
          <w:rFonts w:ascii="宋体" w:hAnsi="宋体"/>
          <w:sz w:val="24"/>
        </w:rPr>
      </w:pPr>
      <w:r>
        <w:rPr>
          <w:rFonts w:ascii="宋体" w:hAnsi="宋体"/>
          <w:sz w:val="24"/>
        </w:rPr>
        <w:t>3.1</w:t>
      </w:r>
      <w:r>
        <w:rPr>
          <w:rFonts w:hint="eastAsia" w:ascii="宋体" w:hAnsi="宋体"/>
          <w:sz w:val="24"/>
        </w:rPr>
        <w:t xml:space="preserve"> 供应商具有独立法人资格，具有有效的营业执照</w:t>
      </w:r>
      <w:r>
        <w:rPr>
          <w:rFonts w:ascii="宋体" w:hAnsi="宋体"/>
          <w:sz w:val="24"/>
        </w:rPr>
        <w:t>；</w:t>
      </w:r>
    </w:p>
    <w:p w14:paraId="4FCD75A3">
      <w:pPr>
        <w:widowControl/>
        <w:spacing w:line="360" w:lineRule="auto"/>
        <w:ind w:firstLine="480" w:firstLineChars="200"/>
        <w:jc w:val="left"/>
        <w:rPr>
          <w:rFonts w:ascii="宋体" w:hAnsi="宋体"/>
          <w:sz w:val="24"/>
        </w:rPr>
      </w:pPr>
      <w:r>
        <w:rPr>
          <w:rFonts w:ascii="宋体" w:hAnsi="宋体"/>
          <w:sz w:val="24"/>
        </w:rPr>
        <w:t>3.2</w:t>
      </w:r>
      <w:r>
        <w:rPr>
          <w:rFonts w:hint="eastAsia" w:ascii="宋体" w:hAnsi="宋体"/>
          <w:sz w:val="24"/>
        </w:rPr>
        <w:t xml:space="preserve"> 投标人</w:t>
      </w:r>
      <w:r>
        <w:rPr>
          <w:rFonts w:hint="eastAsia" w:ascii="宋体" w:hAnsi="宋体" w:cs="宋体"/>
          <w:color w:val="000000"/>
          <w:sz w:val="24"/>
        </w:rPr>
        <w:t>须具有</w:t>
      </w:r>
      <w:r>
        <w:rPr>
          <w:rFonts w:hint="eastAsia" w:ascii="宋体" w:hAnsi="宋体"/>
          <w:color w:val="000000"/>
          <w:sz w:val="24"/>
        </w:rPr>
        <w:t>公路工程施工总承包叁级（含叁级）</w:t>
      </w:r>
      <w:r>
        <w:rPr>
          <w:rFonts w:hint="eastAsia" w:ascii="宋体" w:hAnsi="宋体" w:cs="宋体"/>
          <w:color w:val="000000"/>
          <w:sz w:val="24"/>
        </w:rPr>
        <w:t>及以上资质，具有有效的安全生产许可证</w:t>
      </w:r>
      <w:r>
        <w:rPr>
          <w:rFonts w:hint="eastAsia" w:ascii="宋体" w:hAnsi="宋体"/>
          <w:sz w:val="24"/>
        </w:rPr>
        <w:t>；</w:t>
      </w:r>
    </w:p>
    <w:p w14:paraId="099680DD">
      <w:pPr>
        <w:widowControl/>
        <w:spacing w:line="360" w:lineRule="auto"/>
        <w:ind w:firstLine="480" w:firstLineChars="200"/>
        <w:jc w:val="left"/>
        <w:rPr>
          <w:rFonts w:ascii="宋体" w:hAnsi="宋体"/>
          <w:sz w:val="24"/>
        </w:rPr>
      </w:pPr>
      <w:r>
        <w:rPr>
          <w:rFonts w:ascii="宋体" w:hAnsi="宋体"/>
          <w:sz w:val="24"/>
        </w:rPr>
        <w:t>3.3</w:t>
      </w:r>
      <w:r>
        <w:rPr>
          <w:rFonts w:hint="eastAsia" w:ascii="宋体" w:hAnsi="宋体"/>
          <w:sz w:val="24"/>
        </w:rPr>
        <w:t>拟派项目经理应具备公路工程专业贰级（含贰级）及以上注册建造师资格、具备有效的安全生产考核合格证书），未在其它在建工程项目中担任项目经理，并提供本单位劳动合同和缴费的社保证明；</w:t>
      </w:r>
    </w:p>
    <w:p w14:paraId="790DF632">
      <w:pPr>
        <w:widowControl/>
        <w:spacing w:line="360" w:lineRule="auto"/>
        <w:ind w:firstLine="480" w:firstLineChars="200"/>
        <w:jc w:val="left"/>
        <w:rPr>
          <w:rFonts w:ascii="宋体" w:hAnsi="宋体"/>
          <w:sz w:val="24"/>
        </w:rPr>
      </w:pPr>
      <w:r>
        <w:rPr>
          <w:rFonts w:hint="eastAsia" w:ascii="宋体" w:hAnsi="宋体"/>
          <w:sz w:val="24"/>
        </w:rPr>
        <w:t>3.4</w:t>
      </w:r>
      <w:r>
        <w:rPr>
          <w:rFonts w:hint="eastAsia" w:ascii="宋体" w:hAnsi="宋体" w:cs="宋体"/>
          <w:bCs/>
          <w:sz w:val="24"/>
        </w:rPr>
        <w:t>投标人出具本企业近三年无商业贿赂及无不正当竞争行为的承诺书（</w:t>
      </w:r>
      <w:r>
        <w:rPr>
          <w:rFonts w:ascii="宋体" w:hAnsi="宋体" w:cs="仿宋_GB2312"/>
          <w:kern w:val="0"/>
          <w:sz w:val="24"/>
        </w:rPr>
        <w:t>承诺对象：企业、法定代表人、项目经理</w:t>
      </w:r>
      <w:r>
        <w:rPr>
          <w:rFonts w:hint="eastAsia" w:ascii="宋体" w:hAnsi="宋体" w:cs="宋体"/>
          <w:bCs/>
          <w:sz w:val="24"/>
        </w:rPr>
        <w:t>）</w:t>
      </w:r>
      <w:r>
        <w:rPr>
          <w:rFonts w:hint="eastAsia" w:ascii="宋体" w:hAnsi="宋体"/>
          <w:sz w:val="24"/>
        </w:rPr>
        <w:t xml:space="preserve">； </w:t>
      </w:r>
    </w:p>
    <w:p w14:paraId="3DED33B1">
      <w:pPr>
        <w:spacing w:line="480" w:lineRule="exact"/>
        <w:ind w:firstLine="480" w:firstLineChars="200"/>
        <w:jc w:val="left"/>
        <w:rPr>
          <w:rFonts w:ascii="宋体" w:hAnsi="宋体"/>
          <w:sz w:val="24"/>
        </w:rPr>
      </w:pPr>
      <w:r>
        <w:rPr>
          <w:rFonts w:hint="eastAsia" w:ascii="宋体" w:hAnsi="宋体"/>
          <w:sz w:val="24"/>
        </w:rPr>
        <w:t>3.5参加政府采购活动前三年内，在经营活动中没有重大违法记录的承诺书；</w:t>
      </w:r>
    </w:p>
    <w:p w14:paraId="0894AF62">
      <w:pPr>
        <w:widowControl/>
        <w:spacing w:line="360" w:lineRule="auto"/>
        <w:ind w:firstLine="480" w:firstLineChars="200"/>
        <w:jc w:val="left"/>
        <w:rPr>
          <w:rFonts w:ascii="宋体" w:hAnsi="宋体"/>
          <w:sz w:val="24"/>
        </w:rPr>
      </w:pPr>
      <w:r>
        <w:rPr>
          <w:rFonts w:hint="eastAsia" w:ascii="宋体" w:hAnsi="宋体"/>
          <w:sz w:val="24"/>
        </w:rPr>
        <w:t>3.6 信誉要求：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提供网站的查询信息截图（查询时间自公告发布之日起，开标时间前截止）；</w:t>
      </w:r>
    </w:p>
    <w:p w14:paraId="62C925A4">
      <w:pPr>
        <w:widowControl/>
        <w:spacing w:line="360" w:lineRule="auto"/>
        <w:ind w:firstLine="480" w:firstLineChars="200"/>
        <w:jc w:val="left"/>
        <w:rPr>
          <w:rFonts w:ascii="宋体" w:hAnsi="宋体"/>
          <w:sz w:val="24"/>
        </w:rPr>
      </w:pPr>
      <w:r>
        <w:rPr>
          <w:rFonts w:hint="eastAsia" w:ascii="宋体" w:hAnsi="宋体"/>
          <w:sz w:val="24"/>
        </w:rPr>
        <w:t xml:space="preserve">3.7投标人自行出具本企业具有良好商业信誉的承诺书；  </w:t>
      </w:r>
    </w:p>
    <w:p w14:paraId="394D2023">
      <w:pPr>
        <w:widowControl/>
        <w:spacing w:line="360" w:lineRule="auto"/>
        <w:ind w:firstLine="480" w:firstLineChars="200"/>
        <w:jc w:val="left"/>
        <w:rPr>
          <w:rFonts w:ascii="宋体" w:hAnsi="宋体"/>
          <w:sz w:val="24"/>
        </w:rPr>
      </w:pPr>
      <w:r>
        <w:rPr>
          <w:rFonts w:hint="eastAsia" w:ascii="宋体" w:hAnsi="宋体"/>
          <w:sz w:val="24"/>
        </w:rPr>
        <w:t>3.8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p w14:paraId="1F119BEB">
      <w:pPr>
        <w:widowControl/>
        <w:spacing w:line="360" w:lineRule="auto"/>
        <w:ind w:firstLine="480" w:firstLineChars="200"/>
        <w:jc w:val="left"/>
        <w:rPr>
          <w:rFonts w:ascii="宋体" w:hAnsi="宋体"/>
          <w:sz w:val="24"/>
        </w:rPr>
      </w:pPr>
      <w:r>
        <w:rPr>
          <w:rFonts w:hint="eastAsia" w:ascii="宋体" w:hAnsi="宋体"/>
          <w:sz w:val="24"/>
        </w:rPr>
        <w:t>3.9供应商与采购人、招标代理机构及其附属机构没有行政或经济关联；</w:t>
      </w:r>
    </w:p>
    <w:p w14:paraId="1DBE43A2">
      <w:pPr>
        <w:widowControl/>
        <w:spacing w:line="360" w:lineRule="auto"/>
        <w:ind w:firstLine="480" w:firstLineChars="200"/>
        <w:jc w:val="left"/>
        <w:rPr>
          <w:rFonts w:ascii="宋体" w:hAnsi="宋体"/>
          <w:sz w:val="24"/>
        </w:rPr>
      </w:pPr>
      <w:r>
        <w:rPr>
          <w:rFonts w:hint="eastAsia" w:ascii="宋体" w:hAnsi="宋体"/>
          <w:sz w:val="24"/>
        </w:rPr>
        <w:t>3.10本项目不接受联合体投标。</w:t>
      </w:r>
    </w:p>
    <w:p w14:paraId="417EECB9">
      <w:pPr>
        <w:widowControl/>
        <w:spacing w:line="480" w:lineRule="exact"/>
        <w:ind w:firstLine="480" w:firstLineChars="200"/>
        <w:jc w:val="left"/>
        <w:rPr>
          <w:rFonts w:ascii="宋体" w:hAnsi="宋体"/>
          <w:kern w:val="0"/>
          <w:sz w:val="24"/>
        </w:rPr>
      </w:pPr>
      <w:r>
        <w:rPr>
          <w:rFonts w:hint="eastAsia" w:ascii="宋体" w:hAnsi="宋体"/>
          <w:kern w:val="0"/>
          <w:sz w:val="24"/>
        </w:rPr>
        <w:t>三、获取采购文件</w:t>
      </w:r>
    </w:p>
    <w:p w14:paraId="0C0682F6">
      <w:pPr>
        <w:spacing w:line="360" w:lineRule="auto"/>
        <w:ind w:firstLine="480" w:firstLineChars="200"/>
        <w:jc w:val="left"/>
        <w:rPr>
          <w:rFonts w:ascii="宋体" w:hAnsi="宋体"/>
          <w:sz w:val="24"/>
        </w:rPr>
      </w:pPr>
      <w:r>
        <w:rPr>
          <w:rFonts w:hint="eastAsia" w:ascii="宋体" w:hAnsi="宋体" w:cs="宋体"/>
          <w:sz w:val="24"/>
        </w:rPr>
        <w:t>1、时间：</w:t>
      </w:r>
      <w:r>
        <w:rPr>
          <w:rFonts w:hint="eastAsia" w:ascii="宋体" w:hAnsi="宋体"/>
          <w:sz w:val="24"/>
        </w:rPr>
        <w:t>2025年12月</w:t>
      </w:r>
      <w:r>
        <w:rPr>
          <w:rFonts w:hint="eastAsia" w:ascii="宋体" w:hAnsi="宋体"/>
          <w:sz w:val="24"/>
          <w:lang w:val="en-US" w:eastAsia="zh-CN"/>
        </w:rPr>
        <w:t>18日</w:t>
      </w:r>
      <w:r>
        <w:rPr>
          <w:rFonts w:hint="eastAsia" w:ascii="宋体" w:hAnsi="宋体"/>
          <w:sz w:val="24"/>
        </w:rPr>
        <w:t>至2025年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30</w:t>
      </w:r>
      <w:r>
        <w:rPr>
          <w:rFonts w:hint="eastAsia" w:ascii="宋体" w:hAnsi="宋体"/>
          <w:sz w:val="24"/>
        </w:rPr>
        <w:t>日9时10</w:t>
      </w:r>
      <w:r>
        <w:rPr>
          <w:rFonts w:hint="eastAsia" w:ascii="宋体" w:hAnsi="宋体"/>
          <w:sz w:val="24"/>
          <w:lang w:val="en-US" w:eastAsia="zh-CN"/>
        </w:rPr>
        <w:t>分</w:t>
      </w:r>
      <w:r>
        <w:rPr>
          <w:rFonts w:hint="eastAsia" w:ascii="宋体" w:hAnsi="宋体"/>
          <w:sz w:val="24"/>
        </w:rPr>
        <w:t>（北京时间）；</w:t>
      </w:r>
    </w:p>
    <w:p w14:paraId="52AB24B2">
      <w:pPr>
        <w:spacing w:line="360" w:lineRule="auto"/>
        <w:ind w:firstLine="480" w:firstLineChars="200"/>
        <w:jc w:val="left"/>
        <w:rPr>
          <w:rFonts w:ascii="宋体" w:hAnsi="宋体" w:cs="宋体"/>
          <w:sz w:val="24"/>
        </w:rPr>
      </w:pPr>
      <w:r>
        <w:rPr>
          <w:rFonts w:hint="eastAsia" w:ascii="宋体" w:hAnsi="宋体" w:cs="宋体"/>
          <w:sz w:val="24"/>
        </w:rPr>
        <w:t>2、地点：三门峡市公共资源交易中心网（网址：http://gzjy.smx.gov.cn）；</w:t>
      </w:r>
    </w:p>
    <w:p w14:paraId="53F2BAF3">
      <w:pPr>
        <w:spacing w:line="360" w:lineRule="auto"/>
        <w:ind w:firstLine="480" w:firstLineChars="200"/>
        <w:jc w:val="left"/>
        <w:rPr>
          <w:rFonts w:ascii="宋体" w:hAnsi="宋体" w:cs="宋体"/>
          <w:sz w:val="24"/>
        </w:rPr>
      </w:pPr>
      <w:r>
        <w:rPr>
          <w:rFonts w:hint="eastAsia" w:ascii="宋体" w:hAnsi="宋体" w:cs="宋体"/>
          <w:sz w:val="24"/>
        </w:rPr>
        <w:t>3、方式：本项目没有报名环节，投标人凭CA数字证书通过三门峡市公共资源交易中心网（网址：http://gzjy.smx.gov.cn），点击交易平台选择“市场主体登录”，在所参与项目右侧点击参与投标，即可直接下载本项目竞争性磋商文件；</w:t>
      </w:r>
    </w:p>
    <w:p w14:paraId="00658486">
      <w:pPr>
        <w:spacing w:line="360" w:lineRule="auto"/>
        <w:ind w:firstLine="480" w:firstLineChars="200"/>
        <w:jc w:val="left"/>
        <w:rPr>
          <w:rFonts w:ascii="宋体" w:hAnsi="宋体" w:cs="宋体"/>
          <w:sz w:val="24"/>
        </w:rPr>
      </w:pPr>
      <w:r>
        <w:rPr>
          <w:rFonts w:hint="eastAsia" w:ascii="宋体" w:hAnsi="宋体" w:cs="宋体"/>
          <w:sz w:val="24"/>
        </w:rPr>
        <w:t>三门峡市公共资源交易平台操作手册：</w:t>
      </w:r>
    </w:p>
    <w:p w14:paraId="0AE529E3">
      <w:pPr>
        <w:spacing w:line="360" w:lineRule="auto"/>
        <w:ind w:firstLine="480" w:firstLineChars="200"/>
        <w:jc w:val="left"/>
        <w:rPr>
          <w:rFonts w:ascii="宋体" w:hAnsi="宋体" w:cs="宋体"/>
          <w:sz w:val="24"/>
        </w:rPr>
      </w:pPr>
      <w:r>
        <w:rPr>
          <w:rFonts w:hint="eastAsia" w:ascii="宋体" w:hAnsi="宋体" w:cs="宋体"/>
          <w:sz w:val="24"/>
        </w:rPr>
        <w:t>http://gzjy.smx.gov.cn/bzzx/008001/20200325/1d4d9bd4-82a2-4284-b2f7-428c4c69ef58.html</w:t>
      </w:r>
    </w:p>
    <w:p w14:paraId="6E3B5F58">
      <w:pPr>
        <w:spacing w:line="360" w:lineRule="auto"/>
        <w:ind w:firstLine="480" w:firstLineChars="200"/>
        <w:jc w:val="left"/>
        <w:rPr>
          <w:rFonts w:ascii="宋体" w:hAnsi="宋体" w:cs="宋体"/>
          <w:sz w:val="24"/>
        </w:rPr>
      </w:pPr>
      <w:r>
        <w:rPr>
          <w:rFonts w:hint="eastAsia" w:ascii="宋体" w:hAnsi="宋体" w:cs="宋体"/>
          <w:sz w:val="24"/>
        </w:rPr>
        <w:t>办理CA证书链接：http://gzjy.smx.gov.cn/bzzx/008001/20211105/57b16af9-ab87-4395-a723-7758c628a3f8.html</w:t>
      </w:r>
    </w:p>
    <w:p w14:paraId="36E4AC77">
      <w:pPr>
        <w:spacing w:line="360" w:lineRule="auto"/>
        <w:ind w:firstLine="480" w:firstLineChars="200"/>
        <w:jc w:val="left"/>
        <w:rPr>
          <w:rFonts w:ascii="宋体" w:hAnsi="宋体" w:cs="宋体"/>
          <w:sz w:val="24"/>
        </w:rPr>
      </w:pPr>
      <w:r>
        <w:rPr>
          <w:rFonts w:hint="eastAsia" w:ascii="宋体" w:hAnsi="宋体" w:cs="宋体"/>
          <w:sz w:val="24"/>
        </w:rPr>
        <w:t>4、本项目为全电子招标，不再收取竞争性</w:t>
      </w:r>
      <w:r>
        <w:rPr>
          <w:rFonts w:hint="eastAsia" w:ascii="宋体" w:hAnsi="宋体" w:cs="宋体"/>
          <w:kern w:val="0"/>
          <w:sz w:val="24"/>
        </w:rPr>
        <w:t>磋商文件费；</w:t>
      </w:r>
    </w:p>
    <w:p w14:paraId="39C916DD">
      <w:pPr>
        <w:spacing w:line="480" w:lineRule="exact"/>
        <w:ind w:firstLine="480" w:firstLineChars="200"/>
        <w:rPr>
          <w:rFonts w:ascii="宋体" w:hAnsi="宋体" w:cs="宋体"/>
          <w:kern w:val="0"/>
          <w:sz w:val="24"/>
          <w:szCs w:val="22"/>
        </w:rPr>
      </w:pPr>
      <w:r>
        <w:rPr>
          <w:rFonts w:hint="eastAsia" w:ascii="宋体" w:hAnsi="宋体" w:cs="宋体"/>
          <w:kern w:val="0"/>
          <w:sz w:val="24"/>
          <w:szCs w:val="22"/>
        </w:rPr>
        <w:t>5</w:t>
      </w:r>
      <w:r>
        <w:rPr>
          <w:rFonts w:hint="eastAsia" w:ascii="宋体" w:hAnsi="宋体"/>
          <w:sz w:val="24"/>
        </w:rPr>
        <w:t>、</w:t>
      </w:r>
      <w:r>
        <w:rPr>
          <w:rFonts w:hint="eastAsia" w:ascii="宋体" w:hAnsi="宋体" w:cs="宋体"/>
          <w:kern w:val="0"/>
          <w:sz w:val="24"/>
          <w:szCs w:val="22"/>
        </w:rPr>
        <w:t>本次磋商实行资格后审，资格审查的具体要求见竞争性磋商文件。</w:t>
      </w:r>
    </w:p>
    <w:p w14:paraId="3072F888">
      <w:pPr>
        <w:widowControl/>
        <w:spacing w:line="360" w:lineRule="auto"/>
        <w:ind w:firstLine="480" w:firstLineChars="200"/>
        <w:jc w:val="left"/>
        <w:rPr>
          <w:rFonts w:ascii="宋体" w:hAnsi="宋体" w:cs="宋体"/>
          <w:sz w:val="24"/>
        </w:rPr>
      </w:pPr>
      <w:r>
        <w:rPr>
          <w:rFonts w:hint="eastAsia" w:ascii="宋体" w:hAnsi="宋体" w:cs="宋体"/>
          <w:sz w:val="24"/>
        </w:rPr>
        <w:t>四、磋商保证金</w:t>
      </w:r>
    </w:p>
    <w:p w14:paraId="3C4863CE">
      <w:pPr>
        <w:spacing w:line="360" w:lineRule="auto"/>
        <w:ind w:firstLine="480" w:firstLineChars="200"/>
        <w:jc w:val="left"/>
        <w:rPr>
          <w:rFonts w:ascii="宋体" w:hAnsi="宋体" w:cs="宋体"/>
          <w:sz w:val="24"/>
        </w:rPr>
      </w:pPr>
      <w:r>
        <w:rPr>
          <w:rFonts w:hint="eastAsia" w:ascii="宋体" w:hAnsi="宋体" w:cs="宋体"/>
          <w:sz w:val="24"/>
        </w:rPr>
        <w:t>根据《河南省财政厅关于优化政府采购营商环境有关问题的通知》（豫财购【2019】4号）第6条的规定，磋商保证金不再收取。</w:t>
      </w:r>
    </w:p>
    <w:p w14:paraId="6BE3965E">
      <w:pPr>
        <w:spacing w:line="360" w:lineRule="auto"/>
        <w:ind w:firstLine="480" w:firstLineChars="200"/>
        <w:jc w:val="left"/>
        <w:rPr>
          <w:rFonts w:ascii="宋体" w:hAnsi="宋体" w:cs="宋体"/>
          <w:sz w:val="24"/>
        </w:rPr>
      </w:pPr>
      <w:r>
        <w:rPr>
          <w:rFonts w:hint="eastAsia" w:ascii="宋体" w:hAnsi="宋体" w:cs="宋体"/>
          <w:sz w:val="24"/>
        </w:rPr>
        <w:t>五、磋商时间和地点</w:t>
      </w:r>
    </w:p>
    <w:p w14:paraId="0897F25F">
      <w:pPr>
        <w:spacing w:line="480" w:lineRule="exact"/>
        <w:ind w:firstLine="480" w:firstLineChars="200"/>
        <w:rPr>
          <w:rFonts w:ascii="宋体" w:hAnsi="宋体" w:cs="宋体"/>
          <w:kern w:val="0"/>
          <w:sz w:val="24"/>
          <w:szCs w:val="22"/>
        </w:rPr>
      </w:pPr>
      <w:r>
        <w:rPr>
          <w:rFonts w:hint="eastAsia" w:ascii="宋体" w:hAnsi="宋体" w:cs="宋体"/>
          <w:kern w:val="0"/>
          <w:sz w:val="24"/>
          <w:szCs w:val="22"/>
        </w:rPr>
        <w:t>1、磋商文件</w:t>
      </w:r>
      <w:r>
        <w:rPr>
          <w:rFonts w:hint="eastAsia" w:ascii="宋体" w:hAnsi="宋体" w:cs="宋体"/>
          <w:sz w:val="24"/>
        </w:rPr>
        <w:t>递交</w:t>
      </w:r>
      <w:r>
        <w:rPr>
          <w:rFonts w:hint="eastAsia" w:ascii="宋体" w:hAnsi="宋体" w:cs="宋体"/>
          <w:kern w:val="0"/>
          <w:sz w:val="24"/>
          <w:szCs w:val="22"/>
        </w:rPr>
        <w:t>：加密电子投标文件须在投标截止时间前通过“三门峡市公共资源交易中心（</w:t>
      </w:r>
      <w:r>
        <w:rPr>
          <w:rFonts w:ascii="宋体" w:hAnsi="宋体" w:cs="宋体"/>
          <w:kern w:val="0"/>
          <w:sz w:val="24"/>
          <w:szCs w:val="22"/>
        </w:rPr>
        <w:t>http://gzjy.smx.gov.cn/</w:t>
      </w:r>
      <w:r>
        <w:rPr>
          <w:rFonts w:hint="eastAsia" w:ascii="宋体" w:hAnsi="宋体" w:cs="宋体"/>
          <w:kern w:val="0"/>
          <w:sz w:val="24"/>
          <w:szCs w:val="22"/>
        </w:rPr>
        <w:t>）”电子交易平台加密上传。逾期上传的或者未上传指定地点的响应文件，采购人不予受理。</w:t>
      </w:r>
    </w:p>
    <w:p w14:paraId="6B154336">
      <w:pPr>
        <w:spacing w:line="360" w:lineRule="auto"/>
        <w:ind w:firstLine="480" w:firstLineChars="200"/>
        <w:jc w:val="left"/>
        <w:rPr>
          <w:rFonts w:ascii="宋体" w:hAnsi="宋体" w:cs="宋体"/>
          <w:sz w:val="24"/>
        </w:rPr>
      </w:pPr>
      <w:r>
        <w:rPr>
          <w:rFonts w:hint="eastAsia" w:ascii="宋体" w:hAnsi="宋体" w:cs="宋体"/>
          <w:sz w:val="24"/>
        </w:rPr>
        <w:t>2、磋商文件递交截止时间及磋商时间：</w:t>
      </w:r>
      <w:r>
        <w:rPr>
          <w:rFonts w:hint="eastAsia" w:ascii="宋体" w:hAnsi="宋体"/>
          <w:sz w:val="24"/>
        </w:rPr>
        <w:t>2025年1</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30</w:t>
      </w:r>
      <w:r>
        <w:rPr>
          <w:rFonts w:hint="eastAsia" w:ascii="宋体" w:hAnsi="宋体"/>
          <w:sz w:val="24"/>
        </w:rPr>
        <w:t>日9时</w:t>
      </w:r>
      <w:r>
        <w:rPr>
          <w:rFonts w:hint="eastAsia" w:ascii="宋体" w:hAnsi="宋体"/>
          <w:sz w:val="24"/>
          <w:lang w:val="en-US" w:eastAsia="zh-CN"/>
        </w:rPr>
        <w:t>1</w:t>
      </w:r>
      <w:r>
        <w:rPr>
          <w:rFonts w:hint="eastAsia" w:ascii="宋体" w:hAnsi="宋体"/>
          <w:sz w:val="24"/>
        </w:rPr>
        <w:t>0分</w:t>
      </w:r>
      <w:r>
        <w:rPr>
          <w:rFonts w:hint="eastAsia" w:ascii="宋体" w:hAnsi="宋体" w:cs="宋体"/>
          <w:sz w:val="24"/>
        </w:rPr>
        <w:t>。</w:t>
      </w:r>
    </w:p>
    <w:p w14:paraId="0F7248A6">
      <w:pPr>
        <w:spacing w:line="360" w:lineRule="auto"/>
        <w:ind w:firstLine="480" w:firstLineChars="200"/>
        <w:jc w:val="left"/>
        <w:rPr>
          <w:rFonts w:ascii="宋体" w:hAnsi="宋体" w:cs="宋体"/>
          <w:sz w:val="24"/>
        </w:rPr>
      </w:pPr>
      <w:r>
        <w:rPr>
          <w:rFonts w:hint="eastAsia" w:ascii="宋体" w:hAnsi="宋体" w:cs="宋体"/>
          <w:sz w:val="24"/>
        </w:rPr>
        <w:t>3、地点：灵宝市公共资源交易中心开标一室、评标</w:t>
      </w:r>
      <w:r>
        <w:rPr>
          <w:rFonts w:hint="eastAsia" w:ascii="宋体" w:hAnsi="宋体" w:cs="宋体"/>
          <w:sz w:val="24"/>
          <w:lang w:val="en-US" w:eastAsia="zh-CN"/>
        </w:rPr>
        <w:t>三</w:t>
      </w:r>
      <w:r>
        <w:rPr>
          <w:rFonts w:hint="eastAsia" w:ascii="宋体" w:hAnsi="宋体" w:cs="宋体"/>
          <w:sz w:val="24"/>
        </w:rPr>
        <w:t>室（灵宝市金城大道信用联社12楼）。开标时，供应商必须持CA密钥在规定时间内对本单位的加密电子响应文件进行远程解密。本次项目实行远程不见面磋商。</w:t>
      </w:r>
    </w:p>
    <w:p w14:paraId="4E68C696">
      <w:pPr>
        <w:spacing w:line="360" w:lineRule="auto"/>
        <w:ind w:firstLine="480" w:firstLineChars="200"/>
        <w:jc w:val="left"/>
        <w:rPr>
          <w:rFonts w:ascii="宋体" w:hAnsi="宋体" w:cs="宋体"/>
          <w:sz w:val="24"/>
        </w:rPr>
      </w:pPr>
      <w:r>
        <w:rPr>
          <w:rFonts w:hint="eastAsia" w:ascii="宋体" w:hAnsi="宋体" w:cs="宋体"/>
          <w:sz w:val="24"/>
        </w:rPr>
        <w:t>六、其他事项</w:t>
      </w:r>
    </w:p>
    <w:p w14:paraId="0CD5018A">
      <w:pPr>
        <w:spacing w:line="480" w:lineRule="exact"/>
        <w:ind w:firstLine="480" w:firstLineChars="200"/>
        <w:rPr>
          <w:rFonts w:ascii="宋体" w:hAnsi="宋体" w:cs="宋体"/>
          <w:kern w:val="0"/>
          <w:sz w:val="24"/>
          <w:szCs w:val="22"/>
        </w:rPr>
      </w:pPr>
      <w:r>
        <w:rPr>
          <w:rFonts w:hint="eastAsia" w:ascii="宋体" w:hAnsi="宋体" w:cs="宋体"/>
          <w:sz w:val="24"/>
        </w:rPr>
        <w:t>1、供应商应仔细阅读操作手册，在本公告中要求的截止时间前完成磋商文件下载等工作。因供应商操作不当等问题造成的无法下载磋商文件、无法磋商等一切后果，由供应商自行承担。</w:t>
      </w:r>
      <w:r>
        <w:rPr>
          <w:rFonts w:hint="eastAsia" w:ascii="宋体" w:hAnsi="宋体" w:cs="宋体"/>
          <w:kern w:val="0"/>
          <w:sz w:val="24"/>
          <w:szCs w:val="22"/>
        </w:rPr>
        <w:t>磋商所发生一切费用也均由各响应人自行承担，并承担相应的风险和责任。</w:t>
      </w:r>
    </w:p>
    <w:p w14:paraId="13845EBA">
      <w:pPr>
        <w:spacing w:line="360" w:lineRule="auto"/>
        <w:ind w:firstLine="480" w:firstLineChars="200"/>
        <w:jc w:val="left"/>
        <w:rPr>
          <w:rFonts w:ascii="宋体" w:hAnsi="宋体" w:cs="宋体"/>
          <w:sz w:val="24"/>
        </w:rPr>
      </w:pPr>
      <w:r>
        <w:rPr>
          <w:rFonts w:hint="eastAsia" w:ascii="宋体" w:hAnsi="宋体" w:cs="宋体"/>
          <w:sz w:val="24"/>
        </w:rPr>
        <w:t>2、资格评（预）审部分：</w:t>
      </w:r>
      <w:r>
        <w:rPr>
          <w:rFonts w:hint="eastAsia" w:ascii="宋体" w:hAnsi="宋体" w:cs="宋体"/>
          <w:kern w:val="0"/>
          <w:sz w:val="24"/>
          <w:szCs w:val="22"/>
        </w:rPr>
        <w:t>本项目实行资格后审，审查内容以投标截止时间前在三门峡市公共资源交易系统上传的投标文件的信息为准。其上传资料真实性由投标人自行承担，同时，</w:t>
      </w:r>
      <w:r>
        <w:rPr>
          <w:rFonts w:hint="eastAsia" w:ascii="宋体" w:hAnsi="宋体" w:cs="宋体"/>
          <w:sz w:val="24"/>
        </w:rPr>
        <w:t>投标人需要完善主体库信息。否则，由此造成应得分而未得分或资格审查不合格等情况的，由供应商承担责任。</w:t>
      </w:r>
    </w:p>
    <w:p w14:paraId="57852EED">
      <w:pPr>
        <w:spacing w:line="360" w:lineRule="auto"/>
        <w:ind w:left="420" w:leftChars="200"/>
        <w:jc w:val="left"/>
        <w:rPr>
          <w:rFonts w:ascii="宋体" w:hAnsi="宋体" w:cs="宋体"/>
          <w:sz w:val="24"/>
        </w:rPr>
      </w:pPr>
      <w:r>
        <w:rPr>
          <w:rFonts w:hint="eastAsia" w:ascii="宋体" w:hAnsi="宋体" w:cs="宋体"/>
          <w:sz w:val="24"/>
        </w:rPr>
        <w:t>3、根据优化营商环境的要求，评标时以投标文件为准：</w:t>
      </w:r>
      <w:r>
        <w:rPr>
          <w:rFonts w:hint="eastAsia" w:ascii="宋体" w:hAnsi="宋体" w:cs="宋体"/>
          <w:sz w:val="24"/>
        </w:rPr>
        <w:br w:type="textWrapping"/>
      </w:r>
      <w:r>
        <w:rPr>
          <w:rFonts w:hint="eastAsia" w:ascii="宋体" w:hAnsi="宋体" w:cs="宋体"/>
          <w:sz w:val="24"/>
        </w:rPr>
        <w:t>1）资格评（预）审部分：资格评（预）审以投标文件为准，其上传资料真实性由供应商</w:t>
      </w:r>
    </w:p>
    <w:p w14:paraId="199C0239">
      <w:pPr>
        <w:spacing w:line="360" w:lineRule="auto"/>
        <w:jc w:val="left"/>
        <w:rPr>
          <w:rFonts w:ascii="宋体" w:hAnsi="宋体" w:cs="宋体"/>
          <w:sz w:val="24"/>
        </w:rPr>
      </w:pPr>
      <w:r>
        <w:rPr>
          <w:rFonts w:hint="eastAsia" w:ascii="宋体" w:hAnsi="宋体" w:cs="宋体"/>
          <w:sz w:val="24"/>
        </w:rPr>
        <w:t>自行承担，同时供应商要完善主体库。</w:t>
      </w:r>
    </w:p>
    <w:p w14:paraId="58ABE263">
      <w:pPr>
        <w:spacing w:line="360" w:lineRule="auto"/>
        <w:ind w:firstLine="480" w:firstLineChars="200"/>
        <w:jc w:val="left"/>
        <w:rPr>
          <w:rFonts w:ascii="宋体" w:hAnsi="宋体"/>
          <w:sz w:val="24"/>
        </w:rPr>
      </w:pPr>
      <w:r>
        <w:rPr>
          <w:rFonts w:hint="eastAsia" w:ascii="宋体" w:hAnsi="宋体" w:cs="宋体"/>
          <w:sz w:val="24"/>
        </w:rPr>
        <w:t>2）评标打分部分：评标打分部分仍按照100分制原则进行，涉及到资格审查、企业荣誉、人员业绩、企业业绩等计分部分时，以投标单位自行上传到投标文件中的相应内容为准。</w:t>
      </w:r>
      <w:r>
        <w:rPr>
          <w:rFonts w:hint="eastAsia" w:ascii="宋体" w:hAnsi="宋体" w:cs="宋体"/>
          <w:sz w:val="24"/>
        </w:rPr>
        <w:br w:type="textWrapping"/>
      </w:r>
      <w:r>
        <w:rPr>
          <w:rFonts w:hint="eastAsia" w:ascii="宋体" w:hAnsi="宋体"/>
          <w:sz w:val="24"/>
        </w:rPr>
        <w:t xml:space="preserve">    3）投标文件编制部分：在招标文件中要求供应商按照投标文件格式进行投标文件编制时，应明确将投标单位企业基本情况、资质情况、人员情况、财务情况、业绩情况编入投标文件，便于进行资格审查及评标打分。</w:t>
      </w:r>
    </w:p>
    <w:p w14:paraId="37034ACD">
      <w:pPr>
        <w:spacing w:line="480" w:lineRule="exact"/>
        <w:ind w:firstLine="480" w:firstLineChars="200"/>
        <w:rPr>
          <w:rFonts w:ascii="宋体" w:hAnsi="宋体"/>
          <w:sz w:val="24"/>
        </w:rPr>
      </w:pPr>
      <w:r>
        <w:rPr>
          <w:rFonts w:hint="eastAsia" w:ascii="宋体" w:hAnsi="宋体"/>
          <w:sz w:val="24"/>
        </w:rPr>
        <w:t>4、项目所有变更澄清都以网站公布为准，不再另行通知。</w:t>
      </w:r>
    </w:p>
    <w:p w14:paraId="7BF33591">
      <w:pPr>
        <w:spacing w:line="480" w:lineRule="exact"/>
        <w:ind w:firstLine="480" w:firstLineChars="200"/>
        <w:rPr>
          <w:rFonts w:ascii="宋体" w:hAnsi="宋体"/>
          <w:sz w:val="24"/>
        </w:rPr>
      </w:pPr>
      <w:r>
        <w:rPr>
          <w:rFonts w:hint="eastAsia" w:ascii="宋体" w:hAnsi="宋体"/>
          <w:sz w:val="24"/>
        </w:rPr>
        <w:t>5、本项目可使用电子营业执照。</w:t>
      </w:r>
    </w:p>
    <w:p w14:paraId="7F1AF1A0">
      <w:pPr>
        <w:spacing w:line="480" w:lineRule="exact"/>
        <w:ind w:firstLine="480" w:firstLineChars="200"/>
        <w:rPr>
          <w:rFonts w:ascii="宋体" w:hAnsi="宋体" w:cs="宋体"/>
          <w:sz w:val="24"/>
        </w:rPr>
      </w:pPr>
      <w:r>
        <w:rPr>
          <w:rFonts w:hint="eastAsia" w:ascii="宋体" w:hAnsi="宋体" w:cs="宋体"/>
          <w:sz w:val="24"/>
        </w:rPr>
        <w:t>七、发布公告的媒介</w:t>
      </w:r>
    </w:p>
    <w:p w14:paraId="40311659">
      <w:pPr>
        <w:spacing w:line="480" w:lineRule="exact"/>
        <w:ind w:firstLine="480" w:firstLineChars="200"/>
        <w:rPr>
          <w:rFonts w:ascii="宋体" w:hAnsi="宋体" w:cs="宋体"/>
          <w:sz w:val="24"/>
        </w:rPr>
      </w:pPr>
      <w:r>
        <w:rPr>
          <w:rFonts w:hint="eastAsia" w:ascii="宋体" w:hAnsi="宋体" w:cs="宋体"/>
          <w:sz w:val="24"/>
        </w:rPr>
        <w:t xml:space="preserve">本次竞争性磋商公告同时在《河南省政府采购网》、《中国采购与招标网》、《中国招标投标公共服务平台》和《三门峡市公共资源交易中心网》媒体上发布，磋商公告期限为五个工作日 。 </w:t>
      </w:r>
    </w:p>
    <w:p w14:paraId="00C2CC83">
      <w:pPr>
        <w:spacing w:line="480" w:lineRule="exact"/>
        <w:ind w:firstLine="480" w:firstLineChars="200"/>
        <w:rPr>
          <w:rFonts w:ascii="宋体" w:hAnsi="宋体" w:cs="宋体"/>
          <w:sz w:val="24"/>
        </w:rPr>
      </w:pPr>
      <w:r>
        <w:rPr>
          <w:rFonts w:hint="eastAsia" w:ascii="宋体" w:hAnsi="宋体" w:cs="宋体"/>
          <w:sz w:val="24"/>
        </w:rPr>
        <w:t>八、凡对本次招标提出询问，请按照以下方式联系</w:t>
      </w:r>
    </w:p>
    <w:p w14:paraId="1E4B0C2E">
      <w:pPr>
        <w:spacing w:line="480" w:lineRule="exact"/>
        <w:ind w:firstLine="480" w:firstLineChars="200"/>
        <w:rPr>
          <w:rFonts w:ascii="宋体" w:hAnsi="宋体" w:cs="宋体"/>
          <w:sz w:val="24"/>
        </w:rPr>
      </w:pPr>
      <w:r>
        <w:rPr>
          <w:rFonts w:hint="eastAsia" w:ascii="宋体" w:hAnsi="宋体" w:cs="宋体"/>
          <w:sz w:val="24"/>
        </w:rPr>
        <w:t>监督单位：灵宝市财政局政府采购监督管理科</w:t>
      </w:r>
    </w:p>
    <w:p w14:paraId="3A5335B6">
      <w:pPr>
        <w:spacing w:line="480" w:lineRule="exact"/>
        <w:ind w:firstLine="480" w:firstLineChars="200"/>
        <w:rPr>
          <w:rFonts w:ascii="宋体" w:hAnsi="宋体" w:cs="宋体"/>
          <w:sz w:val="24"/>
        </w:rPr>
      </w:pPr>
      <w:r>
        <w:rPr>
          <w:rFonts w:hint="eastAsia" w:ascii="宋体" w:hAnsi="宋体" w:cs="宋体"/>
          <w:sz w:val="24"/>
        </w:rPr>
        <w:t>联系电话：0398-8852670</w:t>
      </w:r>
    </w:p>
    <w:p w14:paraId="2F685B74">
      <w:pPr>
        <w:spacing w:line="480" w:lineRule="exact"/>
        <w:ind w:firstLine="480" w:firstLineChars="200"/>
        <w:rPr>
          <w:rFonts w:ascii="宋体" w:hAnsi="宋体" w:cs="宋体"/>
          <w:sz w:val="24"/>
        </w:rPr>
      </w:pPr>
      <w:r>
        <w:rPr>
          <w:rFonts w:hint="eastAsia" w:ascii="宋体" w:hAnsi="宋体" w:cs="宋体"/>
          <w:sz w:val="24"/>
        </w:rPr>
        <w:t>监督单位：灵宝市交通运输局</w:t>
      </w:r>
    </w:p>
    <w:p w14:paraId="6416EA8F">
      <w:pPr>
        <w:spacing w:line="480" w:lineRule="exact"/>
        <w:ind w:firstLine="480" w:firstLineChars="200"/>
        <w:rPr>
          <w:rFonts w:ascii="宋体" w:hAnsi="宋体" w:cs="宋体"/>
          <w:sz w:val="24"/>
        </w:rPr>
      </w:pPr>
      <w:r>
        <w:rPr>
          <w:rFonts w:hint="eastAsia" w:ascii="宋体" w:hAnsi="宋体" w:cs="宋体"/>
          <w:sz w:val="24"/>
        </w:rPr>
        <w:t>联系电话：0398-8852367</w:t>
      </w:r>
    </w:p>
    <w:p w14:paraId="180D3478">
      <w:pPr>
        <w:spacing w:line="480" w:lineRule="exact"/>
        <w:ind w:firstLine="480" w:firstLineChars="200"/>
        <w:rPr>
          <w:rFonts w:ascii="宋体" w:hAnsi="宋体" w:cs="宋体"/>
          <w:sz w:val="24"/>
        </w:rPr>
      </w:pPr>
      <w:r>
        <w:rPr>
          <w:rFonts w:hint="eastAsia" w:ascii="宋体" w:hAnsi="宋体" w:cs="宋体"/>
          <w:sz w:val="24"/>
        </w:rPr>
        <w:t>采购人：灵宝市公路事业发展中心</w:t>
      </w:r>
    </w:p>
    <w:p w14:paraId="0E5E1A72">
      <w:pPr>
        <w:spacing w:line="480" w:lineRule="exact"/>
        <w:ind w:firstLine="480" w:firstLineChars="200"/>
        <w:rPr>
          <w:rFonts w:ascii="宋体" w:hAnsi="宋体" w:cs="宋体"/>
          <w:sz w:val="24"/>
        </w:rPr>
      </w:pPr>
      <w:r>
        <w:rPr>
          <w:rFonts w:hint="eastAsia" w:ascii="宋体" w:hAnsi="宋体" w:cs="宋体"/>
          <w:sz w:val="24"/>
        </w:rPr>
        <w:t>地址：河南省灵宝市长安路368号</w:t>
      </w:r>
    </w:p>
    <w:p w14:paraId="555873D2">
      <w:pPr>
        <w:spacing w:line="480" w:lineRule="exact"/>
        <w:ind w:firstLine="480" w:firstLineChars="200"/>
        <w:rPr>
          <w:rFonts w:ascii="宋体" w:hAnsi="宋体" w:cs="宋体"/>
          <w:sz w:val="24"/>
        </w:rPr>
      </w:pPr>
      <w:r>
        <w:rPr>
          <w:rFonts w:hint="eastAsia" w:ascii="宋体" w:hAnsi="宋体" w:cs="宋体"/>
          <w:sz w:val="24"/>
        </w:rPr>
        <w:t>联系人：刘先生</w:t>
      </w:r>
    </w:p>
    <w:p w14:paraId="281C3ECF">
      <w:pPr>
        <w:spacing w:line="480" w:lineRule="exact"/>
        <w:ind w:firstLine="480" w:firstLineChars="200"/>
        <w:rPr>
          <w:rFonts w:ascii="宋体" w:hAnsi="宋体" w:cs="宋体"/>
          <w:sz w:val="24"/>
        </w:rPr>
      </w:pPr>
      <w:r>
        <w:rPr>
          <w:rFonts w:hint="eastAsia" w:ascii="宋体" w:hAnsi="宋体" w:cs="宋体"/>
          <w:sz w:val="24"/>
        </w:rPr>
        <w:t>联系电话：13839838768</w:t>
      </w:r>
    </w:p>
    <w:p w14:paraId="714D729D">
      <w:pPr>
        <w:spacing w:line="480" w:lineRule="exact"/>
        <w:ind w:firstLine="480" w:firstLineChars="200"/>
        <w:rPr>
          <w:rFonts w:ascii="宋体" w:hAnsi="宋体" w:cs="宋体"/>
          <w:sz w:val="24"/>
        </w:rPr>
      </w:pPr>
      <w:r>
        <w:rPr>
          <w:rFonts w:hint="eastAsia" w:ascii="宋体" w:hAnsi="宋体" w:cs="宋体"/>
          <w:sz w:val="24"/>
        </w:rPr>
        <w:t xml:space="preserve">代理机构：中恭鸿建项目管理有限公司   </w:t>
      </w:r>
    </w:p>
    <w:p w14:paraId="539C702C">
      <w:pPr>
        <w:spacing w:line="480" w:lineRule="exact"/>
        <w:ind w:firstLine="480" w:firstLineChars="200"/>
        <w:rPr>
          <w:rFonts w:ascii="宋体" w:hAnsi="宋体" w:cs="宋体"/>
          <w:sz w:val="24"/>
        </w:rPr>
      </w:pPr>
      <w:r>
        <w:rPr>
          <w:rFonts w:hint="eastAsia" w:ascii="宋体" w:hAnsi="宋体" w:cs="宋体"/>
          <w:sz w:val="24"/>
        </w:rPr>
        <w:t>地址：陕西省西安市国际港务区招商局丝路中心南地块E座519室</w:t>
      </w:r>
    </w:p>
    <w:p w14:paraId="00D47C22">
      <w:pPr>
        <w:spacing w:line="480" w:lineRule="exact"/>
        <w:ind w:firstLine="480" w:firstLineChars="200"/>
        <w:rPr>
          <w:rFonts w:ascii="宋体" w:hAnsi="宋体" w:cs="宋体"/>
          <w:sz w:val="24"/>
        </w:rPr>
      </w:pPr>
      <w:r>
        <w:rPr>
          <w:rFonts w:hint="eastAsia" w:ascii="宋体" w:hAnsi="宋体" w:cs="宋体"/>
          <w:sz w:val="24"/>
        </w:rPr>
        <w:t>联系人：林丽丰</w:t>
      </w:r>
    </w:p>
    <w:p w14:paraId="129D3AFB">
      <w:pPr>
        <w:spacing w:line="480" w:lineRule="exact"/>
        <w:ind w:firstLine="480" w:firstLineChars="200"/>
        <w:rPr>
          <w:rFonts w:ascii="宋体" w:hAnsi="宋体" w:cs="宋体"/>
          <w:sz w:val="24"/>
        </w:rPr>
      </w:pPr>
      <w:r>
        <w:rPr>
          <w:rFonts w:hint="eastAsia" w:ascii="宋体" w:hAnsi="宋体" w:cs="宋体"/>
          <w:sz w:val="24"/>
        </w:rPr>
        <w:t>联系电话：15516206658</w:t>
      </w:r>
    </w:p>
    <w:p w14:paraId="28374B64">
      <w:pPr>
        <w:spacing w:line="480" w:lineRule="exact"/>
        <w:ind w:firstLine="480" w:firstLineChars="200"/>
        <w:rPr>
          <w:rFonts w:ascii="宋体" w:hAnsi="宋体" w:cs="宋体"/>
          <w:sz w:val="24"/>
        </w:rPr>
      </w:pPr>
    </w:p>
    <w:p w14:paraId="4FDBBF73">
      <w:pPr>
        <w:widowControl/>
        <w:jc w:val="left"/>
        <w:rPr>
          <w:rFonts w:ascii="宋体" w:hAnsi="宋体"/>
        </w:rPr>
      </w:pPr>
    </w:p>
    <w:p w14:paraId="7E742F4A">
      <w:pPr>
        <w:widowControl/>
        <w:jc w:val="left"/>
        <w:rPr>
          <w:rFonts w:ascii="宋体" w:hAnsi="宋体"/>
        </w:rPr>
      </w:pPr>
    </w:p>
    <w:p w14:paraId="0F01876C">
      <w:pPr>
        <w:widowControl/>
        <w:jc w:val="left"/>
        <w:rPr>
          <w:rFonts w:ascii="宋体" w:hAnsi="宋体"/>
        </w:rPr>
      </w:pPr>
    </w:p>
    <w:p w14:paraId="0E305A28">
      <w:pPr>
        <w:widowControl/>
        <w:jc w:val="left"/>
        <w:rPr>
          <w:rFonts w:ascii="宋体" w:hAnsi="宋体"/>
        </w:rPr>
      </w:pPr>
    </w:p>
    <w:p w14:paraId="5015BF77">
      <w:pPr>
        <w:widowControl/>
        <w:jc w:val="left"/>
        <w:rPr>
          <w:rFonts w:ascii="宋体" w:hAnsi="宋体"/>
        </w:rPr>
      </w:pPr>
    </w:p>
    <w:p w14:paraId="660C950E">
      <w:pPr>
        <w:widowControl/>
        <w:jc w:val="left"/>
        <w:rPr>
          <w:rFonts w:ascii="宋体" w:hAnsi="宋体"/>
        </w:rPr>
      </w:pPr>
    </w:p>
    <w:p w14:paraId="3EBB45D3">
      <w:pPr>
        <w:widowControl/>
        <w:jc w:val="left"/>
        <w:rPr>
          <w:rFonts w:ascii="宋体" w:hAnsi="宋体"/>
        </w:rPr>
      </w:pPr>
    </w:p>
    <w:p w14:paraId="4A3D7CAC">
      <w:pPr>
        <w:widowControl/>
        <w:jc w:val="center"/>
        <w:outlineLvl w:val="0"/>
        <w:rPr>
          <w:rFonts w:ascii="宋体" w:hAnsi="宋体"/>
          <w:b/>
          <w:bCs/>
          <w:sz w:val="32"/>
          <w:szCs w:val="32"/>
        </w:rPr>
      </w:pPr>
      <w:bookmarkStart w:id="14" w:name="_Toc16520676"/>
      <w:bookmarkStart w:id="15" w:name="_Toc16520164"/>
      <w:bookmarkStart w:id="16" w:name="_Toc171013993"/>
      <w:bookmarkStart w:id="17" w:name="_Toc508179883"/>
    </w:p>
    <w:p w14:paraId="514A6533">
      <w:pPr>
        <w:rPr>
          <w:rFonts w:ascii="宋体" w:hAnsi="宋体"/>
          <w:b/>
          <w:bCs/>
          <w:sz w:val="32"/>
          <w:szCs w:val="32"/>
        </w:rPr>
      </w:pPr>
      <w:r>
        <w:rPr>
          <w:rFonts w:hint="eastAsia" w:ascii="宋体" w:hAnsi="宋体"/>
          <w:b/>
          <w:bCs/>
          <w:sz w:val="32"/>
          <w:szCs w:val="32"/>
        </w:rPr>
        <w:br w:type="page"/>
      </w:r>
    </w:p>
    <w:p w14:paraId="400E46D7">
      <w:pPr>
        <w:widowControl/>
        <w:jc w:val="center"/>
        <w:outlineLvl w:val="0"/>
        <w:rPr>
          <w:rFonts w:ascii="宋体" w:hAnsi="宋体"/>
          <w:b/>
          <w:bCs/>
          <w:sz w:val="32"/>
          <w:szCs w:val="32"/>
        </w:rPr>
      </w:pPr>
      <w:r>
        <w:rPr>
          <w:rFonts w:hint="eastAsia" w:ascii="宋体" w:hAnsi="宋体"/>
          <w:b/>
          <w:bCs/>
          <w:sz w:val="32"/>
          <w:szCs w:val="32"/>
        </w:rPr>
        <w:t>第二章 供应商须知</w:t>
      </w:r>
      <w:bookmarkEnd w:id="14"/>
      <w:bookmarkEnd w:id="15"/>
      <w:bookmarkEnd w:id="16"/>
      <w:bookmarkEnd w:id="17"/>
    </w:p>
    <w:p w14:paraId="118BD12F">
      <w:pPr>
        <w:jc w:val="center"/>
        <w:outlineLvl w:val="1"/>
        <w:rPr>
          <w:rFonts w:ascii="宋体" w:hAnsi="宋体" w:cs="宋体"/>
          <w:b/>
          <w:bCs/>
          <w:sz w:val="24"/>
        </w:rPr>
      </w:pPr>
      <w:bookmarkStart w:id="18" w:name="_Toc171013994"/>
      <w:r>
        <w:rPr>
          <w:rFonts w:hint="eastAsia" w:ascii="宋体" w:hAnsi="宋体" w:cs="宋体"/>
          <w:b/>
          <w:bCs/>
          <w:sz w:val="24"/>
        </w:rPr>
        <w:t>供应商须知前附表</w:t>
      </w:r>
      <w:bookmarkEnd w:id="18"/>
    </w:p>
    <w:tbl>
      <w:tblPr>
        <w:tblStyle w:val="11"/>
        <w:tblW w:w="9892" w:type="dxa"/>
        <w:jc w:val="center"/>
        <w:tblLayout w:type="fixed"/>
        <w:tblCellMar>
          <w:top w:w="0" w:type="dxa"/>
          <w:left w:w="108" w:type="dxa"/>
          <w:bottom w:w="0" w:type="dxa"/>
          <w:right w:w="108" w:type="dxa"/>
        </w:tblCellMar>
      </w:tblPr>
      <w:tblGrid>
        <w:gridCol w:w="987"/>
        <w:gridCol w:w="2657"/>
        <w:gridCol w:w="6248"/>
      </w:tblGrid>
      <w:tr w14:paraId="0DA79A0B">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6982F333">
            <w:pPr>
              <w:spacing w:line="360" w:lineRule="auto"/>
              <w:jc w:val="center"/>
              <w:rPr>
                <w:rFonts w:ascii="宋体" w:hAnsi="宋体" w:cs="宋体"/>
                <w:b/>
                <w:sz w:val="24"/>
              </w:rPr>
            </w:pPr>
            <w:r>
              <w:rPr>
                <w:rFonts w:hint="eastAsia" w:ascii="宋体" w:hAnsi="宋体" w:cs="宋体"/>
                <w:b/>
                <w:sz w:val="24"/>
              </w:rPr>
              <w:t>条款号</w:t>
            </w:r>
          </w:p>
        </w:tc>
        <w:tc>
          <w:tcPr>
            <w:tcW w:w="2657" w:type="dxa"/>
            <w:tcBorders>
              <w:top w:val="single" w:color="auto" w:sz="4" w:space="0"/>
              <w:left w:val="single" w:color="auto" w:sz="4" w:space="0"/>
              <w:bottom w:val="single" w:color="auto" w:sz="4" w:space="0"/>
              <w:right w:val="single" w:color="auto" w:sz="4" w:space="0"/>
            </w:tcBorders>
            <w:noWrap/>
            <w:vAlign w:val="center"/>
          </w:tcPr>
          <w:p w14:paraId="6C0EFA3C">
            <w:pPr>
              <w:spacing w:line="360" w:lineRule="auto"/>
              <w:jc w:val="center"/>
              <w:rPr>
                <w:rFonts w:ascii="宋体" w:hAnsi="宋体" w:cs="宋体"/>
                <w:b/>
                <w:sz w:val="24"/>
              </w:rPr>
            </w:pPr>
            <w:r>
              <w:rPr>
                <w:rFonts w:hint="eastAsia" w:ascii="宋体" w:hAnsi="宋体" w:cs="宋体"/>
                <w:b/>
                <w:sz w:val="24"/>
              </w:rPr>
              <w:t>条  款  名  称</w:t>
            </w:r>
          </w:p>
        </w:tc>
        <w:tc>
          <w:tcPr>
            <w:tcW w:w="6248" w:type="dxa"/>
            <w:tcBorders>
              <w:top w:val="single" w:color="auto" w:sz="4" w:space="0"/>
              <w:left w:val="single" w:color="auto" w:sz="4" w:space="0"/>
              <w:bottom w:val="single" w:color="auto" w:sz="4" w:space="0"/>
              <w:right w:val="single" w:color="auto" w:sz="4" w:space="0"/>
            </w:tcBorders>
            <w:noWrap/>
            <w:vAlign w:val="center"/>
          </w:tcPr>
          <w:p w14:paraId="44E06F31">
            <w:pPr>
              <w:spacing w:line="360" w:lineRule="auto"/>
              <w:jc w:val="center"/>
              <w:rPr>
                <w:rFonts w:ascii="宋体" w:hAnsi="宋体" w:cs="宋体"/>
                <w:b/>
                <w:sz w:val="24"/>
              </w:rPr>
            </w:pPr>
            <w:r>
              <w:rPr>
                <w:rFonts w:hint="eastAsia" w:ascii="宋体" w:hAnsi="宋体" w:cs="宋体"/>
                <w:b/>
                <w:sz w:val="24"/>
              </w:rPr>
              <w:t>编  列  内  容</w:t>
            </w:r>
          </w:p>
        </w:tc>
      </w:tr>
      <w:tr w14:paraId="225269D5">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4F792533">
            <w:pPr>
              <w:spacing w:line="450" w:lineRule="exact"/>
              <w:jc w:val="center"/>
              <w:rPr>
                <w:rFonts w:ascii="宋体" w:hAnsi="宋体" w:cs="宋体"/>
                <w:sz w:val="24"/>
              </w:rPr>
            </w:pPr>
            <w:r>
              <w:rPr>
                <w:rFonts w:hint="eastAsia" w:ascii="宋体" w:hAnsi="宋体" w:cs="宋体"/>
                <w:sz w:val="24"/>
              </w:rPr>
              <w:t>1</w:t>
            </w:r>
          </w:p>
        </w:tc>
        <w:tc>
          <w:tcPr>
            <w:tcW w:w="2657" w:type="dxa"/>
            <w:tcBorders>
              <w:top w:val="single" w:color="auto" w:sz="4" w:space="0"/>
              <w:left w:val="single" w:color="auto" w:sz="4" w:space="0"/>
              <w:bottom w:val="single" w:color="auto" w:sz="4" w:space="0"/>
              <w:right w:val="single" w:color="auto" w:sz="4" w:space="0"/>
            </w:tcBorders>
            <w:noWrap/>
            <w:vAlign w:val="center"/>
          </w:tcPr>
          <w:p w14:paraId="4E92BB7B">
            <w:pPr>
              <w:spacing w:line="450" w:lineRule="exact"/>
              <w:jc w:val="center"/>
              <w:rPr>
                <w:rFonts w:ascii="宋体" w:hAnsi="宋体" w:cs="宋体"/>
                <w:sz w:val="24"/>
              </w:rPr>
            </w:pPr>
            <w:r>
              <w:rPr>
                <w:rFonts w:hint="eastAsia" w:ascii="宋体" w:hAnsi="宋体" w:cs="宋体"/>
                <w:sz w:val="24"/>
              </w:rPr>
              <w:t>采 购 人</w:t>
            </w:r>
          </w:p>
        </w:tc>
        <w:tc>
          <w:tcPr>
            <w:tcW w:w="6248" w:type="dxa"/>
            <w:tcBorders>
              <w:top w:val="single" w:color="auto" w:sz="4" w:space="0"/>
              <w:left w:val="single" w:color="auto" w:sz="4" w:space="0"/>
              <w:bottom w:val="single" w:color="auto" w:sz="4" w:space="0"/>
              <w:right w:val="single" w:color="auto" w:sz="4" w:space="0"/>
            </w:tcBorders>
            <w:noWrap/>
            <w:vAlign w:val="center"/>
          </w:tcPr>
          <w:p w14:paraId="67480B59">
            <w:pPr>
              <w:spacing w:line="450" w:lineRule="exact"/>
              <w:jc w:val="left"/>
              <w:rPr>
                <w:rFonts w:ascii="宋体" w:hAnsi="宋体" w:cs="宋体"/>
                <w:sz w:val="24"/>
              </w:rPr>
            </w:pPr>
            <w:r>
              <w:rPr>
                <w:rFonts w:ascii="宋体" w:hAnsi="宋体" w:cs="宋体"/>
                <w:sz w:val="24"/>
              </w:rPr>
              <w:t>采购人：灵宝市公路事业发展中心</w:t>
            </w:r>
          </w:p>
          <w:p w14:paraId="348A2D87">
            <w:pPr>
              <w:spacing w:line="450" w:lineRule="exact"/>
              <w:jc w:val="left"/>
              <w:rPr>
                <w:rFonts w:ascii="宋体" w:hAnsi="宋体" w:cs="宋体"/>
                <w:sz w:val="24"/>
              </w:rPr>
            </w:pPr>
            <w:r>
              <w:rPr>
                <w:rFonts w:ascii="宋体" w:hAnsi="宋体" w:cs="宋体"/>
                <w:sz w:val="24"/>
              </w:rPr>
              <w:t>地址：河南省灵宝市长安路368号</w:t>
            </w:r>
          </w:p>
          <w:p w14:paraId="444101EB">
            <w:pPr>
              <w:spacing w:line="450" w:lineRule="exact"/>
              <w:jc w:val="left"/>
              <w:rPr>
                <w:rFonts w:ascii="宋体" w:hAnsi="宋体" w:cs="宋体"/>
                <w:sz w:val="24"/>
              </w:rPr>
            </w:pPr>
            <w:r>
              <w:rPr>
                <w:rFonts w:ascii="宋体" w:hAnsi="宋体" w:cs="宋体"/>
                <w:sz w:val="24"/>
              </w:rPr>
              <w:t>联系人：刘先生</w:t>
            </w:r>
          </w:p>
          <w:p w14:paraId="0C84436A">
            <w:pPr>
              <w:spacing w:line="450" w:lineRule="exact"/>
              <w:jc w:val="left"/>
              <w:rPr>
                <w:rFonts w:ascii="宋体" w:hAnsi="宋体" w:cs="宋体"/>
                <w:sz w:val="24"/>
              </w:rPr>
            </w:pPr>
            <w:r>
              <w:rPr>
                <w:rFonts w:ascii="宋体" w:hAnsi="宋体" w:cs="宋体"/>
                <w:sz w:val="24"/>
              </w:rPr>
              <w:t>联系电话：13839838768</w:t>
            </w:r>
          </w:p>
        </w:tc>
      </w:tr>
      <w:tr w14:paraId="2D0EBF47">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08F422B7">
            <w:pPr>
              <w:spacing w:line="450" w:lineRule="exact"/>
              <w:jc w:val="center"/>
              <w:rPr>
                <w:rFonts w:ascii="宋体" w:hAnsi="宋体" w:cs="宋体"/>
                <w:sz w:val="24"/>
              </w:rPr>
            </w:pPr>
            <w:r>
              <w:rPr>
                <w:rFonts w:hint="eastAsia" w:ascii="宋体" w:hAnsi="宋体" w:cs="宋体"/>
                <w:sz w:val="24"/>
              </w:rPr>
              <w:t>2</w:t>
            </w:r>
          </w:p>
        </w:tc>
        <w:tc>
          <w:tcPr>
            <w:tcW w:w="2657" w:type="dxa"/>
            <w:tcBorders>
              <w:top w:val="single" w:color="auto" w:sz="4" w:space="0"/>
              <w:left w:val="single" w:color="auto" w:sz="4" w:space="0"/>
              <w:bottom w:val="single" w:color="auto" w:sz="4" w:space="0"/>
              <w:right w:val="single" w:color="auto" w:sz="4" w:space="0"/>
            </w:tcBorders>
            <w:noWrap/>
            <w:vAlign w:val="center"/>
          </w:tcPr>
          <w:p w14:paraId="2D70E73D">
            <w:pPr>
              <w:spacing w:line="450" w:lineRule="exact"/>
              <w:jc w:val="center"/>
              <w:rPr>
                <w:rFonts w:ascii="宋体" w:hAnsi="宋体" w:cs="宋体"/>
                <w:sz w:val="24"/>
              </w:rPr>
            </w:pPr>
            <w:r>
              <w:rPr>
                <w:rFonts w:hint="eastAsia" w:ascii="宋体" w:hAnsi="宋体" w:cs="宋体"/>
                <w:sz w:val="24"/>
              </w:rPr>
              <w:t>采购代理机构</w:t>
            </w:r>
          </w:p>
        </w:tc>
        <w:tc>
          <w:tcPr>
            <w:tcW w:w="6248" w:type="dxa"/>
            <w:tcBorders>
              <w:top w:val="single" w:color="auto" w:sz="4" w:space="0"/>
              <w:left w:val="single" w:color="auto" w:sz="4" w:space="0"/>
              <w:bottom w:val="single" w:color="auto" w:sz="4" w:space="0"/>
              <w:right w:val="single" w:color="auto" w:sz="4" w:space="0"/>
            </w:tcBorders>
            <w:noWrap/>
            <w:vAlign w:val="center"/>
          </w:tcPr>
          <w:p w14:paraId="374E3EE4">
            <w:pPr>
              <w:spacing w:line="480" w:lineRule="exact"/>
              <w:rPr>
                <w:rFonts w:ascii="宋体" w:hAnsi="宋体" w:cs="宋体"/>
                <w:sz w:val="24"/>
              </w:rPr>
            </w:pPr>
            <w:r>
              <w:rPr>
                <w:rFonts w:hint="eastAsia" w:ascii="宋体" w:hAnsi="宋体" w:cs="宋体"/>
                <w:sz w:val="24"/>
              </w:rPr>
              <w:t xml:space="preserve">代理机构：中恭鸿建项目管理有限公司   </w:t>
            </w:r>
          </w:p>
          <w:p w14:paraId="2FA598D3">
            <w:pPr>
              <w:spacing w:line="480" w:lineRule="exact"/>
              <w:rPr>
                <w:rFonts w:ascii="宋体" w:hAnsi="宋体" w:cs="宋体"/>
                <w:sz w:val="24"/>
              </w:rPr>
            </w:pPr>
            <w:r>
              <w:rPr>
                <w:rFonts w:hint="eastAsia" w:ascii="宋体" w:hAnsi="宋体" w:cs="宋体"/>
                <w:sz w:val="24"/>
              </w:rPr>
              <w:t>地址：陕西省西安市国际港务区招商局丝路中心南地块E座519室</w:t>
            </w:r>
          </w:p>
          <w:p w14:paraId="54548AC3">
            <w:pPr>
              <w:spacing w:line="480" w:lineRule="exact"/>
              <w:rPr>
                <w:rFonts w:ascii="宋体" w:hAnsi="宋体" w:cs="宋体"/>
                <w:sz w:val="24"/>
              </w:rPr>
            </w:pPr>
            <w:r>
              <w:rPr>
                <w:rFonts w:hint="eastAsia" w:ascii="宋体" w:hAnsi="宋体" w:cs="宋体"/>
                <w:sz w:val="24"/>
              </w:rPr>
              <w:t>联系人：林丽丰</w:t>
            </w:r>
          </w:p>
          <w:p w14:paraId="3CF0B8EB">
            <w:pPr>
              <w:spacing w:line="480" w:lineRule="exact"/>
              <w:rPr>
                <w:rFonts w:ascii="宋体" w:hAnsi="宋体" w:cs="宋体"/>
                <w:sz w:val="24"/>
              </w:rPr>
            </w:pPr>
            <w:r>
              <w:rPr>
                <w:rFonts w:hint="eastAsia" w:ascii="宋体" w:hAnsi="宋体" w:cs="宋体"/>
                <w:sz w:val="24"/>
              </w:rPr>
              <w:t>联系电话：15516206658</w:t>
            </w:r>
          </w:p>
        </w:tc>
      </w:tr>
      <w:tr w14:paraId="44FBAD86">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37E323BD">
            <w:pPr>
              <w:spacing w:line="450" w:lineRule="exact"/>
              <w:jc w:val="center"/>
              <w:rPr>
                <w:rFonts w:ascii="宋体" w:hAnsi="宋体" w:cs="宋体"/>
                <w:sz w:val="24"/>
              </w:rPr>
            </w:pPr>
            <w:r>
              <w:rPr>
                <w:rFonts w:hint="eastAsia" w:ascii="宋体" w:hAnsi="宋体" w:cs="宋体"/>
                <w:sz w:val="24"/>
              </w:rPr>
              <w:t>3</w:t>
            </w:r>
          </w:p>
        </w:tc>
        <w:tc>
          <w:tcPr>
            <w:tcW w:w="2657" w:type="dxa"/>
            <w:tcBorders>
              <w:top w:val="single" w:color="auto" w:sz="4" w:space="0"/>
              <w:left w:val="single" w:color="auto" w:sz="4" w:space="0"/>
              <w:bottom w:val="single" w:color="auto" w:sz="4" w:space="0"/>
              <w:right w:val="single" w:color="auto" w:sz="4" w:space="0"/>
            </w:tcBorders>
            <w:noWrap/>
            <w:vAlign w:val="center"/>
          </w:tcPr>
          <w:p w14:paraId="44A3F946">
            <w:pPr>
              <w:spacing w:line="450" w:lineRule="exact"/>
              <w:jc w:val="center"/>
              <w:rPr>
                <w:rFonts w:ascii="宋体" w:hAnsi="宋体" w:cs="宋体"/>
                <w:sz w:val="24"/>
              </w:rPr>
            </w:pPr>
            <w:r>
              <w:rPr>
                <w:rFonts w:hint="eastAsia" w:ascii="宋体" w:hAnsi="宋体" w:cs="宋体"/>
                <w:sz w:val="24"/>
              </w:rPr>
              <w:t>项目名称</w:t>
            </w:r>
          </w:p>
        </w:tc>
        <w:tc>
          <w:tcPr>
            <w:tcW w:w="6248" w:type="dxa"/>
            <w:tcBorders>
              <w:top w:val="single" w:color="auto" w:sz="4" w:space="0"/>
              <w:left w:val="single" w:color="auto" w:sz="4" w:space="0"/>
              <w:bottom w:val="single" w:color="auto" w:sz="4" w:space="0"/>
              <w:right w:val="single" w:color="auto" w:sz="4" w:space="0"/>
            </w:tcBorders>
            <w:noWrap/>
            <w:vAlign w:val="center"/>
          </w:tcPr>
          <w:p w14:paraId="4CB2C1A6">
            <w:pPr>
              <w:spacing w:line="480" w:lineRule="exact"/>
              <w:rPr>
                <w:rFonts w:ascii="宋体" w:hAnsi="宋体"/>
                <w:sz w:val="24"/>
              </w:rPr>
            </w:pPr>
            <w:r>
              <w:rPr>
                <w:rFonts w:hint="eastAsia" w:ascii="宋体" w:hAnsi="宋体"/>
                <w:sz w:val="24"/>
              </w:rPr>
              <w:t>2025年灵宝市第一批农村公路安全生命防护工程（二次）</w:t>
            </w:r>
          </w:p>
        </w:tc>
      </w:tr>
      <w:tr w14:paraId="6328DF3A">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54C234DE">
            <w:pPr>
              <w:spacing w:line="450" w:lineRule="exact"/>
              <w:jc w:val="center"/>
              <w:rPr>
                <w:rFonts w:ascii="宋体" w:hAnsi="宋体" w:cs="宋体"/>
                <w:sz w:val="24"/>
              </w:rPr>
            </w:pPr>
            <w:r>
              <w:rPr>
                <w:rFonts w:hint="eastAsia" w:ascii="宋体" w:hAnsi="宋体" w:cs="宋体"/>
                <w:sz w:val="24"/>
              </w:rPr>
              <w:t>4</w:t>
            </w:r>
          </w:p>
        </w:tc>
        <w:tc>
          <w:tcPr>
            <w:tcW w:w="2657" w:type="dxa"/>
            <w:tcBorders>
              <w:top w:val="single" w:color="auto" w:sz="4" w:space="0"/>
              <w:left w:val="single" w:color="auto" w:sz="4" w:space="0"/>
              <w:bottom w:val="single" w:color="auto" w:sz="4" w:space="0"/>
              <w:right w:val="single" w:color="auto" w:sz="4" w:space="0"/>
            </w:tcBorders>
            <w:noWrap/>
            <w:vAlign w:val="center"/>
          </w:tcPr>
          <w:p w14:paraId="1FD04340">
            <w:pPr>
              <w:spacing w:line="450" w:lineRule="exact"/>
              <w:jc w:val="center"/>
              <w:rPr>
                <w:rFonts w:ascii="宋体" w:hAnsi="宋体"/>
                <w:sz w:val="24"/>
              </w:rPr>
            </w:pPr>
            <w:r>
              <w:rPr>
                <w:rFonts w:hint="eastAsia" w:ascii="宋体" w:hAnsi="宋体"/>
                <w:sz w:val="24"/>
              </w:rPr>
              <w:t>项目概况</w:t>
            </w:r>
          </w:p>
        </w:tc>
        <w:tc>
          <w:tcPr>
            <w:tcW w:w="6248" w:type="dxa"/>
            <w:tcBorders>
              <w:top w:val="single" w:color="auto" w:sz="4" w:space="0"/>
              <w:left w:val="single" w:color="auto" w:sz="4" w:space="0"/>
              <w:bottom w:val="single" w:color="auto" w:sz="4" w:space="0"/>
              <w:right w:val="single" w:color="auto" w:sz="4" w:space="0"/>
            </w:tcBorders>
            <w:noWrap/>
            <w:vAlign w:val="center"/>
          </w:tcPr>
          <w:p w14:paraId="08F553E3">
            <w:pPr>
              <w:widowControl/>
              <w:spacing w:line="360" w:lineRule="auto"/>
              <w:jc w:val="left"/>
              <w:rPr>
                <w:rFonts w:ascii="宋体" w:hAnsi="宋体"/>
                <w:sz w:val="24"/>
              </w:rPr>
            </w:pPr>
            <w:r>
              <w:rPr>
                <w:rFonts w:hint="eastAsia" w:ascii="宋体" w:hAnsi="宋体"/>
                <w:sz w:val="24"/>
              </w:rPr>
              <w:t>灵宝市2025年农村公路安全生命防护工程共有20条道路，全长103.104公里，处置隐患里程29.33公里。其中县道生命安全防护工程有2条；乡道生命安全防护工程3条；村道生命安全防护工程有15条。涉及川口、苏村、尹庄、五亩四个乡镇。包含项目建设内容：波形护栏、单柱三角形标志牌、单柱符合标志牌、单悬臂标志牌、道口标柱、凸面镜、护墙角等。</w:t>
            </w:r>
          </w:p>
        </w:tc>
      </w:tr>
      <w:tr w14:paraId="45557AAE">
        <w:tblPrEx>
          <w:tblCellMar>
            <w:top w:w="0" w:type="dxa"/>
            <w:left w:w="108" w:type="dxa"/>
            <w:bottom w:w="0" w:type="dxa"/>
            <w:right w:w="108" w:type="dxa"/>
          </w:tblCellMar>
        </w:tblPrEx>
        <w:trPr>
          <w:trHeight w:val="579"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020F4F3E">
            <w:pPr>
              <w:spacing w:line="450" w:lineRule="exact"/>
              <w:jc w:val="center"/>
              <w:rPr>
                <w:rFonts w:ascii="宋体" w:hAnsi="宋体" w:cs="宋体"/>
                <w:sz w:val="24"/>
              </w:rPr>
            </w:pPr>
            <w:r>
              <w:rPr>
                <w:rFonts w:hint="eastAsia" w:ascii="宋体" w:hAnsi="宋体" w:cs="宋体"/>
                <w:sz w:val="24"/>
              </w:rPr>
              <w:t>5</w:t>
            </w:r>
          </w:p>
        </w:tc>
        <w:tc>
          <w:tcPr>
            <w:tcW w:w="2657" w:type="dxa"/>
            <w:tcBorders>
              <w:top w:val="single" w:color="auto" w:sz="4" w:space="0"/>
              <w:left w:val="single" w:color="auto" w:sz="4" w:space="0"/>
              <w:bottom w:val="single" w:color="auto" w:sz="4" w:space="0"/>
              <w:right w:val="single" w:color="auto" w:sz="4" w:space="0"/>
            </w:tcBorders>
            <w:noWrap/>
            <w:vAlign w:val="center"/>
          </w:tcPr>
          <w:p w14:paraId="7E6D380F">
            <w:pPr>
              <w:spacing w:line="450" w:lineRule="exact"/>
              <w:jc w:val="center"/>
              <w:rPr>
                <w:rFonts w:ascii="宋体" w:hAnsi="宋体"/>
                <w:color w:val="000000"/>
                <w:sz w:val="24"/>
              </w:rPr>
            </w:pPr>
            <w:r>
              <w:rPr>
                <w:rFonts w:hint="eastAsia" w:ascii="宋体" w:hAnsi="宋体"/>
                <w:color w:val="000000"/>
                <w:sz w:val="24"/>
              </w:rPr>
              <w:t>质量要求</w:t>
            </w:r>
          </w:p>
        </w:tc>
        <w:tc>
          <w:tcPr>
            <w:tcW w:w="6248" w:type="dxa"/>
            <w:tcBorders>
              <w:top w:val="single" w:color="auto" w:sz="4" w:space="0"/>
              <w:left w:val="single" w:color="auto" w:sz="4" w:space="0"/>
              <w:bottom w:val="single" w:color="auto" w:sz="4" w:space="0"/>
              <w:right w:val="single" w:color="auto" w:sz="4" w:space="0"/>
            </w:tcBorders>
            <w:noWrap/>
            <w:vAlign w:val="center"/>
          </w:tcPr>
          <w:p w14:paraId="063AD96F">
            <w:pPr>
              <w:widowControl/>
              <w:spacing w:line="420" w:lineRule="exact"/>
              <w:jc w:val="left"/>
              <w:rPr>
                <w:rFonts w:ascii="宋体" w:hAnsi="宋体" w:cs="宋体"/>
                <w:sz w:val="24"/>
              </w:rPr>
            </w:pPr>
            <w:r>
              <w:rPr>
                <w:rFonts w:hint="eastAsia" w:ascii="宋体" w:hAnsi="宋体"/>
                <w:sz w:val="24"/>
              </w:rPr>
              <w:t>合格</w:t>
            </w:r>
          </w:p>
        </w:tc>
      </w:tr>
      <w:tr w14:paraId="7CED79BD">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4FB1636B">
            <w:pPr>
              <w:spacing w:line="450" w:lineRule="exact"/>
              <w:jc w:val="center"/>
              <w:rPr>
                <w:rFonts w:ascii="宋体" w:hAnsi="宋体" w:cs="宋体"/>
                <w:sz w:val="24"/>
              </w:rPr>
            </w:pPr>
            <w:r>
              <w:rPr>
                <w:rFonts w:hint="eastAsia" w:ascii="宋体" w:hAnsi="宋体" w:cs="宋体"/>
                <w:sz w:val="24"/>
              </w:rPr>
              <w:t>6</w:t>
            </w:r>
          </w:p>
        </w:tc>
        <w:tc>
          <w:tcPr>
            <w:tcW w:w="2657" w:type="dxa"/>
            <w:tcBorders>
              <w:top w:val="single" w:color="auto" w:sz="4" w:space="0"/>
              <w:left w:val="single" w:color="auto" w:sz="4" w:space="0"/>
              <w:bottom w:val="single" w:color="auto" w:sz="4" w:space="0"/>
              <w:right w:val="single" w:color="auto" w:sz="4" w:space="0"/>
            </w:tcBorders>
            <w:noWrap/>
            <w:vAlign w:val="center"/>
          </w:tcPr>
          <w:p w14:paraId="2A545428">
            <w:pPr>
              <w:spacing w:line="450" w:lineRule="exact"/>
              <w:jc w:val="center"/>
              <w:rPr>
                <w:rFonts w:ascii="宋体" w:hAnsi="宋体" w:cs="宋体"/>
                <w:sz w:val="24"/>
              </w:rPr>
            </w:pPr>
            <w:r>
              <w:rPr>
                <w:rFonts w:hint="eastAsia" w:ascii="宋体" w:hAnsi="宋体"/>
                <w:sz w:val="24"/>
              </w:rPr>
              <w:t>工期</w:t>
            </w:r>
          </w:p>
        </w:tc>
        <w:tc>
          <w:tcPr>
            <w:tcW w:w="6248" w:type="dxa"/>
            <w:tcBorders>
              <w:top w:val="single" w:color="auto" w:sz="4" w:space="0"/>
              <w:left w:val="single" w:color="auto" w:sz="4" w:space="0"/>
              <w:bottom w:val="single" w:color="auto" w:sz="4" w:space="0"/>
              <w:right w:val="single" w:color="auto" w:sz="4" w:space="0"/>
            </w:tcBorders>
            <w:noWrap/>
            <w:vAlign w:val="center"/>
          </w:tcPr>
          <w:p w14:paraId="6DC5C4B0">
            <w:pPr>
              <w:widowControl/>
              <w:spacing w:line="420" w:lineRule="exact"/>
              <w:jc w:val="left"/>
              <w:rPr>
                <w:rFonts w:ascii="宋体" w:hAnsi="宋体" w:cs="宋体"/>
                <w:sz w:val="24"/>
              </w:rPr>
            </w:pPr>
            <w:r>
              <w:rPr>
                <w:rFonts w:hint="eastAsia" w:ascii="宋体" w:hAnsi="宋体"/>
                <w:sz w:val="24"/>
              </w:rPr>
              <w:t>120日历天</w:t>
            </w:r>
          </w:p>
        </w:tc>
      </w:tr>
      <w:tr w14:paraId="1C8DF738">
        <w:tblPrEx>
          <w:tblCellMar>
            <w:top w:w="0" w:type="dxa"/>
            <w:left w:w="108" w:type="dxa"/>
            <w:bottom w:w="0" w:type="dxa"/>
            <w:right w:w="108" w:type="dxa"/>
          </w:tblCellMar>
        </w:tblPrEx>
        <w:trPr>
          <w:trHeight w:val="619"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12932302">
            <w:pPr>
              <w:spacing w:line="450" w:lineRule="exact"/>
              <w:jc w:val="center"/>
              <w:rPr>
                <w:rFonts w:ascii="宋体" w:hAnsi="宋体" w:cs="宋体"/>
                <w:sz w:val="24"/>
              </w:rPr>
            </w:pPr>
            <w:r>
              <w:rPr>
                <w:rFonts w:hint="eastAsia" w:ascii="宋体" w:hAnsi="宋体" w:cs="宋体"/>
                <w:sz w:val="24"/>
              </w:rPr>
              <w:t>7</w:t>
            </w:r>
          </w:p>
        </w:tc>
        <w:tc>
          <w:tcPr>
            <w:tcW w:w="2657" w:type="dxa"/>
            <w:tcBorders>
              <w:top w:val="single" w:color="auto" w:sz="4" w:space="0"/>
              <w:left w:val="single" w:color="auto" w:sz="4" w:space="0"/>
              <w:bottom w:val="single" w:color="auto" w:sz="4" w:space="0"/>
              <w:right w:val="single" w:color="auto" w:sz="4" w:space="0"/>
            </w:tcBorders>
            <w:noWrap/>
            <w:vAlign w:val="center"/>
          </w:tcPr>
          <w:p w14:paraId="0B62BFF1">
            <w:pPr>
              <w:spacing w:line="450" w:lineRule="exact"/>
              <w:jc w:val="center"/>
              <w:rPr>
                <w:rFonts w:ascii="宋体" w:hAnsi="宋体" w:cs="宋体"/>
                <w:sz w:val="24"/>
              </w:rPr>
            </w:pPr>
            <w:r>
              <w:rPr>
                <w:rFonts w:hint="eastAsia" w:ascii="宋体" w:hAnsi="宋体"/>
                <w:color w:val="000000"/>
                <w:sz w:val="24"/>
              </w:rPr>
              <w:t>施工地点</w:t>
            </w:r>
          </w:p>
        </w:tc>
        <w:tc>
          <w:tcPr>
            <w:tcW w:w="6248" w:type="dxa"/>
            <w:tcBorders>
              <w:top w:val="single" w:color="auto" w:sz="4" w:space="0"/>
              <w:left w:val="single" w:color="auto" w:sz="4" w:space="0"/>
              <w:bottom w:val="single" w:color="auto" w:sz="4" w:space="0"/>
              <w:right w:val="single" w:color="auto" w:sz="4" w:space="0"/>
            </w:tcBorders>
            <w:noWrap/>
            <w:vAlign w:val="center"/>
          </w:tcPr>
          <w:p w14:paraId="7E6929AA">
            <w:pPr>
              <w:spacing w:line="450" w:lineRule="exact"/>
              <w:rPr>
                <w:rFonts w:ascii="宋体" w:hAnsi="宋体" w:cs="宋体"/>
                <w:sz w:val="24"/>
              </w:rPr>
            </w:pPr>
            <w:r>
              <w:rPr>
                <w:rFonts w:hint="eastAsia" w:ascii="宋体" w:hAnsi="宋体" w:cs="宋体"/>
                <w:sz w:val="24"/>
              </w:rPr>
              <w:t>采购人指定地点</w:t>
            </w:r>
          </w:p>
        </w:tc>
      </w:tr>
      <w:tr w14:paraId="3207B8B0">
        <w:tblPrEx>
          <w:tblCellMar>
            <w:top w:w="0" w:type="dxa"/>
            <w:left w:w="108" w:type="dxa"/>
            <w:bottom w:w="0" w:type="dxa"/>
            <w:right w:w="108" w:type="dxa"/>
          </w:tblCellMar>
        </w:tblPrEx>
        <w:trPr>
          <w:trHeight w:val="531"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3C34DFF3">
            <w:pPr>
              <w:spacing w:line="450" w:lineRule="exact"/>
              <w:jc w:val="center"/>
              <w:rPr>
                <w:rFonts w:ascii="宋体" w:hAnsi="宋体" w:cs="宋体"/>
                <w:sz w:val="24"/>
              </w:rPr>
            </w:pPr>
            <w:r>
              <w:rPr>
                <w:rFonts w:hint="eastAsia" w:ascii="宋体" w:hAnsi="宋体" w:cs="宋体"/>
                <w:sz w:val="24"/>
              </w:rPr>
              <w:t>8</w:t>
            </w:r>
          </w:p>
        </w:tc>
        <w:tc>
          <w:tcPr>
            <w:tcW w:w="2657" w:type="dxa"/>
            <w:tcBorders>
              <w:top w:val="single" w:color="auto" w:sz="4" w:space="0"/>
              <w:left w:val="single" w:color="auto" w:sz="4" w:space="0"/>
              <w:bottom w:val="single" w:color="auto" w:sz="4" w:space="0"/>
              <w:right w:val="single" w:color="auto" w:sz="4" w:space="0"/>
            </w:tcBorders>
            <w:noWrap/>
          </w:tcPr>
          <w:p w14:paraId="3A8A619F">
            <w:pPr>
              <w:spacing w:line="450" w:lineRule="exact"/>
              <w:jc w:val="center"/>
              <w:rPr>
                <w:rFonts w:ascii="宋体" w:hAnsi="宋体" w:cs="宋体"/>
                <w:sz w:val="24"/>
              </w:rPr>
            </w:pPr>
            <w:r>
              <w:rPr>
                <w:rFonts w:hint="eastAsia" w:ascii="宋体" w:hAnsi="宋体"/>
                <w:sz w:val="24"/>
              </w:rPr>
              <w:t>安全措施</w:t>
            </w:r>
          </w:p>
        </w:tc>
        <w:tc>
          <w:tcPr>
            <w:tcW w:w="6248" w:type="dxa"/>
            <w:tcBorders>
              <w:top w:val="single" w:color="auto" w:sz="4" w:space="0"/>
              <w:left w:val="single" w:color="auto" w:sz="4" w:space="0"/>
              <w:bottom w:val="single" w:color="auto" w:sz="4" w:space="0"/>
              <w:right w:val="single" w:color="auto" w:sz="4" w:space="0"/>
            </w:tcBorders>
            <w:noWrap/>
            <w:vAlign w:val="center"/>
          </w:tcPr>
          <w:p w14:paraId="07474EC1">
            <w:pPr>
              <w:rPr>
                <w:rFonts w:ascii="宋体" w:hAnsi="宋体" w:cs="宋体"/>
                <w:sz w:val="24"/>
              </w:rPr>
            </w:pPr>
            <w:r>
              <w:rPr>
                <w:rFonts w:hint="eastAsia" w:ascii="宋体" w:hAnsi="宋体"/>
                <w:sz w:val="24"/>
              </w:rPr>
              <w:t>按国家规范执行，确保安全</w:t>
            </w:r>
          </w:p>
        </w:tc>
      </w:tr>
      <w:tr w14:paraId="66A868A5">
        <w:tblPrEx>
          <w:tblCellMar>
            <w:top w:w="0" w:type="dxa"/>
            <w:left w:w="108" w:type="dxa"/>
            <w:bottom w:w="0" w:type="dxa"/>
            <w:right w:w="108" w:type="dxa"/>
          </w:tblCellMar>
        </w:tblPrEx>
        <w:trPr>
          <w:trHeight w:val="531"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01D06036">
            <w:pPr>
              <w:spacing w:line="450" w:lineRule="exact"/>
              <w:jc w:val="center"/>
              <w:rPr>
                <w:rFonts w:ascii="宋体" w:hAnsi="宋体" w:cs="宋体"/>
                <w:sz w:val="24"/>
              </w:rPr>
            </w:pPr>
            <w:r>
              <w:rPr>
                <w:rFonts w:hint="eastAsia" w:ascii="宋体" w:hAnsi="宋体" w:cs="宋体"/>
                <w:sz w:val="24"/>
              </w:rPr>
              <w:t>9</w:t>
            </w:r>
          </w:p>
        </w:tc>
        <w:tc>
          <w:tcPr>
            <w:tcW w:w="2657" w:type="dxa"/>
            <w:tcBorders>
              <w:top w:val="single" w:color="auto" w:sz="4" w:space="0"/>
              <w:left w:val="single" w:color="auto" w:sz="4" w:space="0"/>
              <w:bottom w:val="single" w:color="auto" w:sz="4" w:space="0"/>
              <w:right w:val="single" w:color="auto" w:sz="4" w:space="0"/>
            </w:tcBorders>
            <w:noWrap/>
            <w:vAlign w:val="center"/>
          </w:tcPr>
          <w:p w14:paraId="0375F136">
            <w:pPr>
              <w:spacing w:line="450" w:lineRule="exact"/>
              <w:jc w:val="center"/>
              <w:rPr>
                <w:rFonts w:ascii="宋体" w:hAnsi="宋体" w:cs="宋体"/>
                <w:sz w:val="24"/>
              </w:rPr>
            </w:pPr>
            <w:r>
              <w:rPr>
                <w:rFonts w:hint="eastAsia" w:ascii="宋体" w:hAnsi="宋体" w:cs="宋体"/>
                <w:sz w:val="24"/>
              </w:rPr>
              <w:t>资金来源</w:t>
            </w:r>
          </w:p>
        </w:tc>
        <w:tc>
          <w:tcPr>
            <w:tcW w:w="6248" w:type="dxa"/>
            <w:tcBorders>
              <w:top w:val="single" w:color="auto" w:sz="4" w:space="0"/>
              <w:left w:val="single" w:color="auto" w:sz="4" w:space="0"/>
              <w:bottom w:val="single" w:color="auto" w:sz="4" w:space="0"/>
              <w:right w:val="single" w:color="auto" w:sz="4" w:space="0"/>
            </w:tcBorders>
            <w:noWrap/>
            <w:vAlign w:val="center"/>
          </w:tcPr>
          <w:p w14:paraId="3ACC10E8">
            <w:pPr>
              <w:spacing w:line="450" w:lineRule="exact"/>
              <w:rPr>
                <w:rFonts w:ascii="宋体" w:hAnsi="宋体" w:cs="宋体"/>
                <w:sz w:val="24"/>
              </w:rPr>
            </w:pPr>
            <w:r>
              <w:rPr>
                <w:rFonts w:hint="eastAsia" w:ascii="宋体" w:hAnsi="宋体" w:cs="宋体"/>
                <w:sz w:val="24"/>
              </w:rPr>
              <w:t>上级补助资金+地方财政配套资金</w:t>
            </w:r>
          </w:p>
        </w:tc>
      </w:tr>
      <w:tr w14:paraId="0D036C15">
        <w:tblPrEx>
          <w:tblCellMar>
            <w:top w:w="0" w:type="dxa"/>
            <w:left w:w="108" w:type="dxa"/>
            <w:bottom w:w="0" w:type="dxa"/>
            <w:right w:w="108" w:type="dxa"/>
          </w:tblCellMar>
        </w:tblPrEx>
        <w:trPr>
          <w:trHeight w:val="531"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1F5EEBE9">
            <w:pPr>
              <w:spacing w:line="450" w:lineRule="exact"/>
              <w:jc w:val="center"/>
              <w:rPr>
                <w:rFonts w:ascii="宋体" w:hAnsi="宋体" w:cs="宋体"/>
                <w:sz w:val="24"/>
              </w:rPr>
            </w:pPr>
            <w:r>
              <w:rPr>
                <w:rFonts w:hint="eastAsia" w:ascii="宋体" w:hAnsi="宋体" w:cs="宋体"/>
                <w:sz w:val="24"/>
              </w:rPr>
              <w:t>10</w:t>
            </w:r>
          </w:p>
        </w:tc>
        <w:tc>
          <w:tcPr>
            <w:tcW w:w="2657" w:type="dxa"/>
            <w:tcBorders>
              <w:top w:val="single" w:color="auto" w:sz="4" w:space="0"/>
              <w:left w:val="single" w:color="auto" w:sz="4" w:space="0"/>
              <w:bottom w:val="single" w:color="auto" w:sz="4" w:space="0"/>
              <w:right w:val="single" w:color="auto" w:sz="4" w:space="0"/>
            </w:tcBorders>
            <w:noWrap/>
            <w:vAlign w:val="center"/>
          </w:tcPr>
          <w:p w14:paraId="65674C14">
            <w:pPr>
              <w:spacing w:line="450" w:lineRule="exact"/>
              <w:jc w:val="center"/>
              <w:rPr>
                <w:rFonts w:ascii="宋体" w:hAnsi="宋体" w:cs="宋体"/>
                <w:sz w:val="24"/>
              </w:rPr>
            </w:pPr>
            <w:r>
              <w:rPr>
                <w:rFonts w:hint="eastAsia" w:ascii="宋体" w:hAnsi="宋体" w:cs="宋体"/>
                <w:sz w:val="24"/>
              </w:rPr>
              <w:t>资金落实情况</w:t>
            </w:r>
          </w:p>
        </w:tc>
        <w:tc>
          <w:tcPr>
            <w:tcW w:w="6248" w:type="dxa"/>
            <w:tcBorders>
              <w:top w:val="single" w:color="auto" w:sz="4" w:space="0"/>
              <w:left w:val="single" w:color="auto" w:sz="4" w:space="0"/>
              <w:bottom w:val="single" w:color="auto" w:sz="4" w:space="0"/>
              <w:right w:val="single" w:color="auto" w:sz="4" w:space="0"/>
            </w:tcBorders>
            <w:noWrap/>
            <w:vAlign w:val="center"/>
          </w:tcPr>
          <w:p w14:paraId="7B014F0B">
            <w:pPr>
              <w:spacing w:line="450" w:lineRule="exact"/>
              <w:rPr>
                <w:rFonts w:ascii="宋体" w:hAnsi="宋体" w:cs="宋体"/>
                <w:sz w:val="24"/>
              </w:rPr>
            </w:pPr>
            <w:r>
              <w:rPr>
                <w:rFonts w:hint="eastAsia" w:ascii="宋体" w:hAnsi="宋体" w:cs="宋体"/>
                <w:sz w:val="24"/>
              </w:rPr>
              <w:t>已落实</w:t>
            </w:r>
          </w:p>
        </w:tc>
      </w:tr>
      <w:tr w14:paraId="35F7A8B3">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0A99F972">
            <w:pPr>
              <w:spacing w:line="450" w:lineRule="exact"/>
              <w:jc w:val="center"/>
              <w:rPr>
                <w:rFonts w:ascii="宋体" w:hAnsi="宋体" w:cs="宋体"/>
                <w:sz w:val="24"/>
              </w:rPr>
            </w:pPr>
            <w:r>
              <w:rPr>
                <w:rFonts w:hint="eastAsia" w:ascii="宋体" w:hAnsi="宋体" w:cs="宋体"/>
                <w:sz w:val="24"/>
              </w:rPr>
              <w:t>11</w:t>
            </w:r>
          </w:p>
        </w:tc>
        <w:tc>
          <w:tcPr>
            <w:tcW w:w="2657" w:type="dxa"/>
            <w:tcBorders>
              <w:top w:val="single" w:color="auto" w:sz="4" w:space="0"/>
              <w:left w:val="single" w:color="auto" w:sz="4" w:space="0"/>
              <w:bottom w:val="single" w:color="auto" w:sz="4" w:space="0"/>
              <w:right w:val="single" w:color="auto" w:sz="4" w:space="0"/>
            </w:tcBorders>
            <w:noWrap/>
            <w:vAlign w:val="center"/>
          </w:tcPr>
          <w:p w14:paraId="65ECC7E3">
            <w:pPr>
              <w:spacing w:line="450" w:lineRule="exact"/>
              <w:rPr>
                <w:rFonts w:ascii="宋体" w:hAnsi="宋体" w:cs="宋体"/>
                <w:sz w:val="24"/>
              </w:rPr>
            </w:pPr>
            <w:r>
              <w:rPr>
                <w:rFonts w:hint="eastAsia" w:ascii="宋体" w:hAnsi="宋体" w:cs="宋体"/>
                <w:sz w:val="24"/>
              </w:rPr>
              <w:t>供应商资质条件、能力</w:t>
            </w:r>
          </w:p>
        </w:tc>
        <w:tc>
          <w:tcPr>
            <w:tcW w:w="6248" w:type="dxa"/>
            <w:tcBorders>
              <w:top w:val="single" w:color="auto" w:sz="4" w:space="0"/>
              <w:left w:val="single" w:color="auto" w:sz="4" w:space="0"/>
              <w:bottom w:val="single" w:color="auto" w:sz="4" w:space="0"/>
              <w:right w:val="single" w:color="auto" w:sz="4" w:space="0"/>
            </w:tcBorders>
            <w:noWrap/>
            <w:vAlign w:val="center"/>
          </w:tcPr>
          <w:p w14:paraId="31EC90B7">
            <w:pPr>
              <w:spacing w:line="480" w:lineRule="exact"/>
              <w:rPr>
                <w:rFonts w:ascii="宋体" w:hAnsi="宋体" w:cs="宋体"/>
                <w:sz w:val="24"/>
              </w:rPr>
            </w:pPr>
            <w:r>
              <w:rPr>
                <w:rFonts w:hint="eastAsia" w:ascii="宋体" w:hAnsi="宋体" w:cs="宋体"/>
                <w:sz w:val="24"/>
              </w:rPr>
              <w:t>详见竞争性</w:t>
            </w:r>
            <w:r>
              <w:rPr>
                <w:rFonts w:ascii="宋体" w:hAnsi="宋体" w:cs="宋体"/>
                <w:sz w:val="24"/>
              </w:rPr>
              <w:t>磋商公告“</w:t>
            </w:r>
            <w:r>
              <w:rPr>
                <w:rFonts w:hint="eastAsia" w:ascii="宋体" w:hAnsi="宋体"/>
                <w:sz w:val="24"/>
              </w:rPr>
              <w:t>申请人资格要求</w:t>
            </w:r>
            <w:r>
              <w:rPr>
                <w:rFonts w:ascii="宋体" w:hAnsi="宋体" w:cs="宋体"/>
                <w:sz w:val="24"/>
              </w:rPr>
              <w:t>”</w:t>
            </w:r>
          </w:p>
        </w:tc>
      </w:tr>
      <w:tr w14:paraId="2C904A8D">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72CC34EC">
            <w:pPr>
              <w:spacing w:line="450" w:lineRule="exact"/>
              <w:jc w:val="center"/>
              <w:rPr>
                <w:rFonts w:ascii="宋体" w:hAnsi="宋体" w:cs="宋体"/>
                <w:sz w:val="24"/>
              </w:rPr>
            </w:pPr>
            <w:r>
              <w:rPr>
                <w:rFonts w:hint="eastAsia" w:ascii="宋体" w:hAnsi="宋体" w:cs="宋体"/>
                <w:sz w:val="24"/>
              </w:rPr>
              <w:t>12</w:t>
            </w:r>
          </w:p>
        </w:tc>
        <w:tc>
          <w:tcPr>
            <w:tcW w:w="2657" w:type="dxa"/>
            <w:tcBorders>
              <w:top w:val="single" w:color="auto" w:sz="4" w:space="0"/>
              <w:left w:val="single" w:color="auto" w:sz="4" w:space="0"/>
              <w:bottom w:val="single" w:color="auto" w:sz="4" w:space="0"/>
              <w:right w:val="single" w:color="auto" w:sz="4" w:space="0"/>
            </w:tcBorders>
            <w:noWrap/>
            <w:vAlign w:val="center"/>
          </w:tcPr>
          <w:p w14:paraId="18FF6E97">
            <w:pPr>
              <w:spacing w:line="450" w:lineRule="exact"/>
              <w:jc w:val="center"/>
              <w:rPr>
                <w:rFonts w:ascii="宋体" w:hAnsi="宋体" w:cs="宋体"/>
                <w:sz w:val="24"/>
              </w:rPr>
            </w:pPr>
            <w:r>
              <w:rPr>
                <w:rFonts w:hint="eastAsia" w:ascii="宋体" w:hAnsi="宋体" w:cs="宋体"/>
                <w:sz w:val="24"/>
              </w:rPr>
              <w:t>投标预备会</w:t>
            </w:r>
          </w:p>
        </w:tc>
        <w:tc>
          <w:tcPr>
            <w:tcW w:w="6248" w:type="dxa"/>
            <w:tcBorders>
              <w:top w:val="single" w:color="auto" w:sz="4" w:space="0"/>
              <w:left w:val="single" w:color="auto" w:sz="4" w:space="0"/>
              <w:bottom w:val="single" w:color="auto" w:sz="4" w:space="0"/>
              <w:right w:val="single" w:color="auto" w:sz="4" w:space="0"/>
            </w:tcBorders>
            <w:noWrap/>
            <w:vAlign w:val="center"/>
          </w:tcPr>
          <w:p w14:paraId="7DA31CA6">
            <w:pPr>
              <w:spacing w:line="450" w:lineRule="exact"/>
              <w:rPr>
                <w:rFonts w:ascii="宋体" w:hAnsi="宋体" w:cs="宋体"/>
                <w:sz w:val="24"/>
              </w:rPr>
            </w:pPr>
            <w:r>
              <w:rPr>
                <w:rFonts w:hint="eastAsia" w:ascii="宋体" w:hAnsi="宋体" w:cs="宋体"/>
                <w:sz w:val="24"/>
              </w:rPr>
              <w:t>不召开</w:t>
            </w:r>
          </w:p>
        </w:tc>
      </w:tr>
      <w:tr w14:paraId="47C972F0">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4E87B37F">
            <w:pPr>
              <w:spacing w:line="450" w:lineRule="exact"/>
              <w:jc w:val="center"/>
              <w:rPr>
                <w:rFonts w:ascii="宋体" w:hAnsi="宋体" w:cs="宋体"/>
                <w:sz w:val="24"/>
              </w:rPr>
            </w:pPr>
            <w:r>
              <w:rPr>
                <w:rFonts w:hint="eastAsia" w:ascii="宋体" w:hAnsi="宋体" w:cs="宋体"/>
                <w:sz w:val="24"/>
              </w:rPr>
              <w:t>13</w:t>
            </w:r>
          </w:p>
        </w:tc>
        <w:tc>
          <w:tcPr>
            <w:tcW w:w="2657" w:type="dxa"/>
            <w:tcBorders>
              <w:top w:val="single" w:color="auto" w:sz="4" w:space="0"/>
              <w:left w:val="single" w:color="auto" w:sz="4" w:space="0"/>
              <w:bottom w:val="single" w:color="auto" w:sz="4" w:space="0"/>
              <w:right w:val="single" w:color="auto" w:sz="4" w:space="0"/>
            </w:tcBorders>
            <w:noWrap/>
            <w:vAlign w:val="center"/>
          </w:tcPr>
          <w:p w14:paraId="2B4A6FCB">
            <w:pPr>
              <w:spacing w:line="450" w:lineRule="exact"/>
              <w:jc w:val="center"/>
              <w:rPr>
                <w:rFonts w:ascii="宋体" w:hAnsi="宋体" w:cs="宋体"/>
                <w:sz w:val="24"/>
              </w:rPr>
            </w:pPr>
            <w:r>
              <w:rPr>
                <w:rFonts w:hint="eastAsia" w:ascii="宋体" w:hAnsi="宋体" w:cs="宋体"/>
                <w:sz w:val="24"/>
              </w:rPr>
              <w:t>分包</w:t>
            </w:r>
          </w:p>
        </w:tc>
        <w:tc>
          <w:tcPr>
            <w:tcW w:w="6248" w:type="dxa"/>
            <w:tcBorders>
              <w:top w:val="single" w:color="auto" w:sz="4" w:space="0"/>
              <w:left w:val="single" w:color="auto" w:sz="4" w:space="0"/>
              <w:bottom w:val="single" w:color="auto" w:sz="4" w:space="0"/>
              <w:right w:val="single" w:color="auto" w:sz="4" w:space="0"/>
            </w:tcBorders>
            <w:noWrap/>
            <w:vAlign w:val="center"/>
          </w:tcPr>
          <w:p w14:paraId="42B0CC31">
            <w:pPr>
              <w:spacing w:line="450" w:lineRule="exact"/>
              <w:rPr>
                <w:rFonts w:ascii="宋体" w:hAnsi="宋体" w:cs="宋体"/>
                <w:sz w:val="24"/>
              </w:rPr>
            </w:pPr>
            <w:r>
              <w:rPr>
                <w:rFonts w:hint="eastAsia" w:ascii="宋体" w:hAnsi="宋体" w:cs="宋体"/>
                <w:sz w:val="24"/>
              </w:rPr>
              <w:t>不允许</w:t>
            </w:r>
          </w:p>
        </w:tc>
      </w:tr>
      <w:tr w14:paraId="22DF8E90">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15B79799">
            <w:pPr>
              <w:spacing w:line="450" w:lineRule="exact"/>
              <w:jc w:val="center"/>
              <w:rPr>
                <w:rFonts w:ascii="宋体" w:hAnsi="宋体" w:cs="宋体"/>
                <w:sz w:val="24"/>
              </w:rPr>
            </w:pPr>
            <w:r>
              <w:rPr>
                <w:rFonts w:hint="eastAsia" w:ascii="宋体" w:hAnsi="宋体" w:cs="宋体"/>
                <w:sz w:val="24"/>
              </w:rPr>
              <w:t>14</w:t>
            </w:r>
          </w:p>
        </w:tc>
        <w:tc>
          <w:tcPr>
            <w:tcW w:w="2657" w:type="dxa"/>
            <w:tcBorders>
              <w:top w:val="single" w:color="auto" w:sz="4" w:space="0"/>
              <w:left w:val="single" w:color="auto" w:sz="4" w:space="0"/>
              <w:bottom w:val="single" w:color="auto" w:sz="4" w:space="0"/>
              <w:right w:val="single" w:color="auto" w:sz="4" w:space="0"/>
            </w:tcBorders>
            <w:noWrap/>
            <w:vAlign w:val="center"/>
          </w:tcPr>
          <w:p w14:paraId="7986C4A9">
            <w:pPr>
              <w:spacing w:line="450" w:lineRule="exact"/>
              <w:jc w:val="center"/>
              <w:rPr>
                <w:rFonts w:ascii="宋体" w:hAnsi="宋体" w:cs="宋体"/>
                <w:sz w:val="24"/>
              </w:rPr>
            </w:pPr>
            <w:r>
              <w:rPr>
                <w:rFonts w:hint="eastAsia" w:ascii="宋体" w:hAnsi="宋体" w:cs="宋体"/>
                <w:sz w:val="24"/>
              </w:rPr>
              <w:t>偏离</w:t>
            </w:r>
          </w:p>
        </w:tc>
        <w:tc>
          <w:tcPr>
            <w:tcW w:w="6248" w:type="dxa"/>
            <w:tcBorders>
              <w:top w:val="single" w:color="auto" w:sz="4" w:space="0"/>
              <w:left w:val="single" w:color="auto" w:sz="4" w:space="0"/>
              <w:bottom w:val="single" w:color="auto" w:sz="4" w:space="0"/>
              <w:right w:val="single" w:color="auto" w:sz="4" w:space="0"/>
            </w:tcBorders>
            <w:noWrap/>
            <w:vAlign w:val="center"/>
          </w:tcPr>
          <w:p w14:paraId="14372F56">
            <w:pPr>
              <w:spacing w:line="450" w:lineRule="exact"/>
              <w:rPr>
                <w:rFonts w:ascii="宋体" w:hAnsi="宋体" w:cs="宋体"/>
                <w:sz w:val="24"/>
              </w:rPr>
            </w:pPr>
            <w:r>
              <w:rPr>
                <w:rFonts w:hint="eastAsia" w:ascii="宋体" w:hAnsi="宋体" w:cs="宋体"/>
                <w:sz w:val="24"/>
              </w:rPr>
              <w:t>允许偏离</w:t>
            </w:r>
          </w:p>
        </w:tc>
      </w:tr>
      <w:tr w14:paraId="3395A878">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12604B06">
            <w:pPr>
              <w:spacing w:line="450" w:lineRule="exact"/>
              <w:jc w:val="center"/>
              <w:rPr>
                <w:rFonts w:ascii="宋体" w:hAnsi="宋体" w:cs="宋体"/>
                <w:sz w:val="24"/>
              </w:rPr>
            </w:pPr>
            <w:r>
              <w:rPr>
                <w:rFonts w:hint="eastAsia" w:ascii="宋体" w:hAnsi="宋体" w:cs="宋体"/>
                <w:sz w:val="24"/>
              </w:rPr>
              <w:t>15</w:t>
            </w:r>
          </w:p>
        </w:tc>
        <w:tc>
          <w:tcPr>
            <w:tcW w:w="2657" w:type="dxa"/>
            <w:tcBorders>
              <w:top w:val="single" w:color="auto" w:sz="4" w:space="0"/>
              <w:left w:val="single" w:color="auto" w:sz="4" w:space="0"/>
              <w:bottom w:val="single" w:color="auto" w:sz="4" w:space="0"/>
              <w:right w:val="single" w:color="auto" w:sz="4" w:space="0"/>
            </w:tcBorders>
            <w:noWrap/>
            <w:vAlign w:val="center"/>
          </w:tcPr>
          <w:p w14:paraId="2801F777">
            <w:pPr>
              <w:spacing w:line="450" w:lineRule="exact"/>
              <w:jc w:val="center"/>
              <w:rPr>
                <w:rFonts w:ascii="宋体" w:hAnsi="宋体" w:cs="宋体"/>
                <w:sz w:val="24"/>
              </w:rPr>
            </w:pPr>
            <w:r>
              <w:rPr>
                <w:rFonts w:hint="eastAsia" w:ascii="宋体" w:hAnsi="宋体" w:cs="宋体"/>
                <w:sz w:val="24"/>
              </w:rPr>
              <w:t>供应商提出问题的截止时间</w:t>
            </w:r>
          </w:p>
        </w:tc>
        <w:tc>
          <w:tcPr>
            <w:tcW w:w="6248" w:type="dxa"/>
            <w:tcBorders>
              <w:top w:val="single" w:color="auto" w:sz="4" w:space="0"/>
              <w:left w:val="single" w:color="auto" w:sz="4" w:space="0"/>
              <w:bottom w:val="single" w:color="auto" w:sz="4" w:space="0"/>
              <w:right w:val="single" w:color="auto" w:sz="4" w:space="0"/>
            </w:tcBorders>
            <w:noWrap/>
            <w:vAlign w:val="center"/>
          </w:tcPr>
          <w:p w14:paraId="75AC7852">
            <w:pPr>
              <w:spacing w:line="450" w:lineRule="exact"/>
              <w:rPr>
                <w:rFonts w:ascii="宋体" w:hAnsi="宋体" w:cs="宋体"/>
                <w:sz w:val="24"/>
              </w:rPr>
            </w:pPr>
            <w:r>
              <w:rPr>
                <w:rFonts w:hint="eastAsia" w:ascii="宋体" w:hAnsi="宋体" w:cs="宋体"/>
                <w:sz w:val="24"/>
              </w:rPr>
              <w:t>响应性文件递交截止时间5天前</w:t>
            </w:r>
          </w:p>
        </w:tc>
      </w:tr>
      <w:tr w14:paraId="11A0D139">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5F021633">
            <w:pPr>
              <w:spacing w:line="450" w:lineRule="exact"/>
              <w:jc w:val="center"/>
              <w:rPr>
                <w:rFonts w:ascii="宋体" w:hAnsi="宋体" w:cs="宋体"/>
                <w:sz w:val="24"/>
              </w:rPr>
            </w:pPr>
            <w:r>
              <w:rPr>
                <w:rFonts w:hint="eastAsia" w:ascii="宋体" w:hAnsi="宋体" w:cs="宋体"/>
                <w:sz w:val="24"/>
              </w:rPr>
              <w:t>16</w:t>
            </w:r>
          </w:p>
        </w:tc>
        <w:tc>
          <w:tcPr>
            <w:tcW w:w="2657" w:type="dxa"/>
            <w:tcBorders>
              <w:top w:val="single" w:color="auto" w:sz="4" w:space="0"/>
              <w:left w:val="single" w:color="auto" w:sz="4" w:space="0"/>
              <w:bottom w:val="single" w:color="auto" w:sz="4" w:space="0"/>
              <w:right w:val="single" w:color="auto" w:sz="4" w:space="0"/>
            </w:tcBorders>
            <w:noWrap/>
            <w:vAlign w:val="center"/>
          </w:tcPr>
          <w:p w14:paraId="6160005C">
            <w:pPr>
              <w:spacing w:line="450" w:lineRule="exact"/>
              <w:jc w:val="center"/>
              <w:rPr>
                <w:rFonts w:ascii="宋体" w:hAnsi="宋体" w:cs="宋体"/>
                <w:sz w:val="24"/>
              </w:rPr>
            </w:pPr>
            <w:r>
              <w:rPr>
                <w:rFonts w:hint="eastAsia" w:ascii="宋体" w:hAnsi="宋体" w:cs="宋体"/>
                <w:sz w:val="24"/>
              </w:rPr>
              <w:t>采购人书面澄清的时间</w:t>
            </w:r>
          </w:p>
        </w:tc>
        <w:tc>
          <w:tcPr>
            <w:tcW w:w="6248" w:type="dxa"/>
            <w:tcBorders>
              <w:top w:val="single" w:color="auto" w:sz="4" w:space="0"/>
              <w:left w:val="single" w:color="auto" w:sz="4" w:space="0"/>
              <w:bottom w:val="single" w:color="auto" w:sz="4" w:space="0"/>
              <w:right w:val="single" w:color="auto" w:sz="4" w:space="0"/>
            </w:tcBorders>
            <w:noWrap/>
            <w:vAlign w:val="center"/>
          </w:tcPr>
          <w:p w14:paraId="703E1E41">
            <w:pPr>
              <w:spacing w:line="450" w:lineRule="exact"/>
              <w:rPr>
                <w:rFonts w:ascii="宋体" w:hAnsi="宋体" w:cs="宋体"/>
                <w:sz w:val="24"/>
              </w:rPr>
            </w:pPr>
            <w:r>
              <w:rPr>
                <w:rFonts w:hint="eastAsia" w:ascii="宋体" w:hAnsi="宋体" w:cs="宋体"/>
                <w:sz w:val="24"/>
              </w:rPr>
              <w:t>响应性文件递交截止时间5天前</w:t>
            </w:r>
          </w:p>
        </w:tc>
      </w:tr>
      <w:tr w14:paraId="6E68461D">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2C139AF0">
            <w:pPr>
              <w:spacing w:line="450" w:lineRule="exact"/>
              <w:jc w:val="center"/>
              <w:rPr>
                <w:rFonts w:ascii="宋体" w:hAnsi="宋体" w:cs="宋体"/>
                <w:sz w:val="24"/>
              </w:rPr>
            </w:pPr>
            <w:r>
              <w:rPr>
                <w:rFonts w:hint="eastAsia" w:ascii="宋体" w:hAnsi="宋体" w:cs="宋体"/>
                <w:sz w:val="24"/>
              </w:rPr>
              <w:t>17</w:t>
            </w:r>
          </w:p>
        </w:tc>
        <w:tc>
          <w:tcPr>
            <w:tcW w:w="2657" w:type="dxa"/>
            <w:tcBorders>
              <w:top w:val="single" w:color="auto" w:sz="4" w:space="0"/>
              <w:left w:val="single" w:color="auto" w:sz="4" w:space="0"/>
              <w:bottom w:val="single" w:color="auto" w:sz="4" w:space="0"/>
              <w:right w:val="single" w:color="auto" w:sz="4" w:space="0"/>
            </w:tcBorders>
            <w:noWrap/>
            <w:vAlign w:val="center"/>
          </w:tcPr>
          <w:p w14:paraId="6CC4DCA7">
            <w:pPr>
              <w:spacing w:line="450" w:lineRule="exact"/>
              <w:jc w:val="center"/>
              <w:rPr>
                <w:rFonts w:ascii="宋体" w:hAnsi="宋体" w:cs="宋体"/>
                <w:sz w:val="24"/>
              </w:rPr>
            </w:pPr>
            <w:r>
              <w:rPr>
                <w:rFonts w:hint="eastAsia" w:ascii="宋体" w:hAnsi="宋体" w:cs="宋体"/>
                <w:sz w:val="24"/>
              </w:rPr>
              <w:t>响应性文件递交截止</w:t>
            </w:r>
          </w:p>
          <w:p w14:paraId="68E82393">
            <w:pPr>
              <w:spacing w:line="450" w:lineRule="exact"/>
              <w:jc w:val="center"/>
              <w:rPr>
                <w:rFonts w:ascii="宋体" w:hAnsi="宋体" w:cs="宋体"/>
                <w:sz w:val="24"/>
              </w:rPr>
            </w:pPr>
            <w:r>
              <w:rPr>
                <w:rFonts w:hint="eastAsia" w:ascii="宋体" w:hAnsi="宋体" w:cs="宋体"/>
                <w:sz w:val="24"/>
              </w:rPr>
              <w:t>时间</w:t>
            </w:r>
          </w:p>
        </w:tc>
        <w:tc>
          <w:tcPr>
            <w:tcW w:w="6248" w:type="dxa"/>
            <w:tcBorders>
              <w:top w:val="single" w:color="auto" w:sz="4" w:space="0"/>
              <w:left w:val="single" w:color="auto" w:sz="4" w:space="0"/>
              <w:bottom w:val="single" w:color="auto" w:sz="4" w:space="0"/>
              <w:right w:val="single" w:color="auto" w:sz="4" w:space="0"/>
            </w:tcBorders>
            <w:noWrap/>
            <w:vAlign w:val="center"/>
          </w:tcPr>
          <w:p w14:paraId="2FCE641F">
            <w:pPr>
              <w:spacing w:line="450" w:lineRule="exact"/>
              <w:rPr>
                <w:rFonts w:ascii="宋体" w:hAnsi="宋体" w:cs="宋体"/>
                <w:sz w:val="24"/>
              </w:rPr>
            </w:pPr>
            <w:r>
              <w:rPr>
                <w:rFonts w:hint="eastAsia" w:ascii="宋体" w:hAnsi="宋体" w:cs="宋体"/>
                <w:kern w:val="0"/>
                <w:sz w:val="24"/>
              </w:rPr>
              <w:t>2025年1</w:t>
            </w:r>
            <w:r>
              <w:rPr>
                <w:rFonts w:hint="eastAsia" w:ascii="宋体" w:hAnsi="宋体" w:cs="宋体"/>
                <w:kern w:val="0"/>
                <w:sz w:val="24"/>
                <w:lang w:val="en-US" w:eastAsia="zh-CN"/>
              </w:rPr>
              <w:t>2</w:t>
            </w:r>
            <w:r>
              <w:rPr>
                <w:rFonts w:hint="eastAsia" w:ascii="宋体" w:hAnsi="宋体" w:cs="宋体"/>
                <w:kern w:val="0"/>
                <w:sz w:val="24"/>
              </w:rPr>
              <w:t>月</w:t>
            </w:r>
            <w:r>
              <w:rPr>
                <w:rFonts w:hint="eastAsia" w:ascii="宋体" w:hAnsi="宋体" w:cs="宋体"/>
                <w:kern w:val="0"/>
                <w:sz w:val="24"/>
                <w:lang w:val="en-US" w:eastAsia="zh-CN"/>
              </w:rPr>
              <w:t>30</w:t>
            </w:r>
            <w:r>
              <w:rPr>
                <w:rFonts w:hint="eastAsia" w:ascii="宋体" w:hAnsi="宋体" w:cs="宋体"/>
                <w:kern w:val="0"/>
                <w:sz w:val="24"/>
              </w:rPr>
              <w:t>日9时</w:t>
            </w:r>
            <w:r>
              <w:rPr>
                <w:rFonts w:hint="eastAsia" w:ascii="宋体" w:hAnsi="宋体" w:cs="宋体"/>
                <w:kern w:val="0"/>
                <w:sz w:val="24"/>
                <w:lang w:val="en-US" w:eastAsia="zh-CN"/>
              </w:rPr>
              <w:t>1</w:t>
            </w:r>
            <w:r>
              <w:rPr>
                <w:rFonts w:hint="eastAsia" w:ascii="宋体" w:hAnsi="宋体" w:cs="宋体"/>
                <w:kern w:val="0"/>
                <w:sz w:val="24"/>
              </w:rPr>
              <w:t>0分</w:t>
            </w:r>
          </w:p>
        </w:tc>
      </w:tr>
      <w:tr w14:paraId="0E8137DF">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7B6C94A3">
            <w:pPr>
              <w:spacing w:line="450" w:lineRule="exact"/>
              <w:jc w:val="center"/>
              <w:rPr>
                <w:rFonts w:ascii="宋体" w:hAnsi="宋体" w:cs="宋体"/>
                <w:sz w:val="24"/>
              </w:rPr>
            </w:pPr>
            <w:r>
              <w:rPr>
                <w:rFonts w:hint="eastAsia" w:ascii="宋体" w:hAnsi="宋体" w:cs="宋体"/>
                <w:sz w:val="24"/>
              </w:rPr>
              <w:t>18</w:t>
            </w:r>
          </w:p>
        </w:tc>
        <w:tc>
          <w:tcPr>
            <w:tcW w:w="2657" w:type="dxa"/>
            <w:tcBorders>
              <w:top w:val="single" w:color="auto" w:sz="4" w:space="0"/>
              <w:left w:val="single" w:color="auto" w:sz="4" w:space="0"/>
              <w:bottom w:val="single" w:color="auto" w:sz="4" w:space="0"/>
              <w:right w:val="single" w:color="auto" w:sz="4" w:space="0"/>
            </w:tcBorders>
            <w:noWrap/>
            <w:vAlign w:val="center"/>
          </w:tcPr>
          <w:p w14:paraId="4FF1920E">
            <w:pPr>
              <w:spacing w:line="450" w:lineRule="exact"/>
              <w:jc w:val="center"/>
              <w:rPr>
                <w:rFonts w:ascii="宋体" w:hAnsi="宋体" w:cs="宋体"/>
                <w:sz w:val="24"/>
              </w:rPr>
            </w:pPr>
            <w:r>
              <w:rPr>
                <w:rFonts w:hint="eastAsia" w:ascii="宋体" w:hAnsi="宋体" w:cs="宋体"/>
                <w:sz w:val="24"/>
              </w:rPr>
              <w:t>供应商确认收到竞争性磋商文件的澄清时间</w:t>
            </w:r>
          </w:p>
        </w:tc>
        <w:tc>
          <w:tcPr>
            <w:tcW w:w="6248" w:type="dxa"/>
            <w:tcBorders>
              <w:top w:val="single" w:color="auto" w:sz="4" w:space="0"/>
              <w:left w:val="single" w:color="auto" w:sz="4" w:space="0"/>
              <w:bottom w:val="single" w:color="auto" w:sz="4" w:space="0"/>
              <w:right w:val="single" w:color="auto" w:sz="4" w:space="0"/>
            </w:tcBorders>
            <w:noWrap/>
            <w:vAlign w:val="center"/>
          </w:tcPr>
          <w:p w14:paraId="127D7658">
            <w:pPr>
              <w:spacing w:line="450" w:lineRule="exact"/>
              <w:rPr>
                <w:rFonts w:ascii="宋体" w:hAnsi="宋体" w:cs="宋体"/>
                <w:sz w:val="24"/>
              </w:rPr>
            </w:pPr>
            <w:r>
              <w:rPr>
                <w:rFonts w:hint="eastAsia" w:ascii="宋体" w:hAnsi="宋体" w:cs="宋体"/>
                <w:sz w:val="24"/>
              </w:rPr>
              <w:t>磋商公告给予确认回函，</w:t>
            </w:r>
            <w:r>
              <w:rPr>
                <w:rFonts w:hint="eastAsia" w:ascii="宋体" w:hAnsi="宋体"/>
                <w:color w:val="000000"/>
                <w:sz w:val="24"/>
              </w:rPr>
              <w:t>未回函视为默认收到。</w:t>
            </w:r>
          </w:p>
        </w:tc>
      </w:tr>
      <w:tr w14:paraId="74AC0E4B">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29107089">
            <w:pPr>
              <w:spacing w:line="450" w:lineRule="exact"/>
              <w:jc w:val="center"/>
              <w:rPr>
                <w:rFonts w:ascii="宋体" w:hAnsi="宋体" w:cs="宋体"/>
                <w:sz w:val="24"/>
              </w:rPr>
            </w:pPr>
            <w:r>
              <w:rPr>
                <w:rFonts w:hint="eastAsia" w:ascii="宋体" w:hAnsi="宋体" w:cs="宋体"/>
                <w:sz w:val="24"/>
              </w:rPr>
              <w:t>19</w:t>
            </w:r>
          </w:p>
        </w:tc>
        <w:tc>
          <w:tcPr>
            <w:tcW w:w="2657" w:type="dxa"/>
            <w:tcBorders>
              <w:top w:val="single" w:color="auto" w:sz="4" w:space="0"/>
              <w:left w:val="single" w:color="auto" w:sz="4" w:space="0"/>
              <w:bottom w:val="single" w:color="auto" w:sz="4" w:space="0"/>
              <w:right w:val="single" w:color="auto" w:sz="4" w:space="0"/>
            </w:tcBorders>
            <w:noWrap/>
            <w:vAlign w:val="center"/>
          </w:tcPr>
          <w:p w14:paraId="463EFCE3">
            <w:pPr>
              <w:spacing w:line="450" w:lineRule="exact"/>
              <w:jc w:val="center"/>
              <w:rPr>
                <w:rFonts w:ascii="宋体" w:hAnsi="宋体" w:cs="宋体"/>
                <w:sz w:val="24"/>
              </w:rPr>
            </w:pPr>
            <w:r>
              <w:rPr>
                <w:rFonts w:hint="eastAsia" w:ascii="宋体" w:hAnsi="宋体" w:cs="宋体"/>
                <w:sz w:val="24"/>
              </w:rPr>
              <w:t>供应商确认收到竞争性磋商文件的修改时间</w:t>
            </w:r>
          </w:p>
        </w:tc>
        <w:tc>
          <w:tcPr>
            <w:tcW w:w="6248" w:type="dxa"/>
            <w:tcBorders>
              <w:top w:val="single" w:color="auto" w:sz="4" w:space="0"/>
              <w:left w:val="single" w:color="auto" w:sz="4" w:space="0"/>
              <w:bottom w:val="single" w:color="auto" w:sz="4" w:space="0"/>
              <w:right w:val="single" w:color="auto" w:sz="4" w:space="0"/>
            </w:tcBorders>
            <w:noWrap/>
            <w:vAlign w:val="center"/>
          </w:tcPr>
          <w:p w14:paraId="0A8FE629">
            <w:pPr>
              <w:spacing w:line="450" w:lineRule="exact"/>
              <w:rPr>
                <w:rFonts w:ascii="宋体" w:hAnsi="宋体" w:cs="宋体"/>
                <w:sz w:val="24"/>
              </w:rPr>
            </w:pPr>
            <w:r>
              <w:rPr>
                <w:rFonts w:hint="eastAsia" w:ascii="宋体" w:hAnsi="宋体" w:cs="宋体"/>
                <w:sz w:val="24"/>
              </w:rPr>
              <w:t>磋商公告给予确认回函，</w:t>
            </w:r>
            <w:r>
              <w:rPr>
                <w:rFonts w:hint="eastAsia" w:ascii="宋体" w:hAnsi="宋体"/>
                <w:color w:val="000000"/>
                <w:sz w:val="24"/>
              </w:rPr>
              <w:t>未回函视为默认收到。</w:t>
            </w:r>
          </w:p>
        </w:tc>
      </w:tr>
      <w:tr w14:paraId="2ED2207C">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19D71C29">
            <w:pPr>
              <w:spacing w:line="360" w:lineRule="auto"/>
              <w:jc w:val="center"/>
              <w:rPr>
                <w:rFonts w:ascii="宋体" w:hAnsi="宋体" w:cs="宋体"/>
                <w:sz w:val="24"/>
              </w:rPr>
            </w:pPr>
            <w:r>
              <w:rPr>
                <w:rFonts w:hint="eastAsia" w:ascii="宋体" w:hAnsi="宋体" w:cs="宋体"/>
                <w:sz w:val="24"/>
              </w:rPr>
              <w:t>20</w:t>
            </w:r>
          </w:p>
        </w:tc>
        <w:tc>
          <w:tcPr>
            <w:tcW w:w="2657" w:type="dxa"/>
            <w:tcBorders>
              <w:top w:val="single" w:color="auto" w:sz="4" w:space="0"/>
              <w:left w:val="single" w:color="auto" w:sz="4" w:space="0"/>
              <w:bottom w:val="single" w:color="auto" w:sz="4" w:space="0"/>
              <w:right w:val="single" w:color="auto" w:sz="4" w:space="0"/>
            </w:tcBorders>
            <w:noWrap/>
            <w:vAlign w:val="center"/>
          </w:tcPr>
          <w:p w14:paraId="6B4E5222">
            <w:pPr>
              <w:spacing w:line="450" w:lineRule="exact"/>
              <w:jc w:val="center"/>
              <w:rPr>
                <w:rFonts w:ascii="宋体" w:hAnsi="宋体" w:cs="宋体"/>
                <w:sz w:val="24"/>
              </w:rPr>
            </w:pPr>
            <w:r>
              <w:rPr>
                <w:rFonts w:hint="eastAsia" w:ascii="宋体" w:hAnsi="宋体" w:cs="宋体"/>
                <w:sz w:val="24"/>
              </w:rPr>
              <w:t>投标有效期</w:t>
            </w:r>
          </w:p>
        </w:tc>
        <w:tc>
          <w:tcPr>
            <w:tcW w:w="6248" w:type="dxa"/>
            <w:tcBorders>
              <w:top w:val="single" w:color="auto" w:sz="4" w:space="0"/>
              <w:left w:val="single" w:color="auto" w:sz="4" w:space="0"/>
              <w:bottom w:val="single" w:color="auto" w:sz="4" w:space="0"/>
              <w:right w:val="single" w:color="auto" w:sz="4" w:space="0"/>
            </w:tcBorders>
            <w:noWrap/>
            <w:vAlign w:val="center"/>
          </w:tcPr>
          <w:p w14:paraId="0278E0B0">
            <w:pPr>
              <w:spacing w:line="450" w:lineRule="exact"/>
              <w:rPr>
                <w:rFonts w:ascii="宋体" w:hAnsi="宋体" w:cs="宋体"/>
                <w:sz w:val="24"/>
              </w:rPr>
            </w:pPr>
            <w:r>
              <w:rPr>
                <w:rFonts w:hint="eastAsia" w:ascii="宋体" w:hAnsi="宋体" w:cs="宋体"/>
                <w:sz w:val="24"/>
              </w:rPr>
              <w:t>自响应性文件递交截止之日起60日历天</w:t>
            </w:r>
          </w:p>
        </w:tc>
      </w:tr>
      <w:tr w14:paraId="34DD82F7">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531D4A2A">
            <w:pPr>
              <w:spacing w:line="360" w:lineRule="auto"/>
              <w:jc w:val="center"/>
              <w:rPr>
                <w:rFonts w:ascii="宋体" w:hAnsi="宋体" w:cs="宋体"/>
                <w:sz w:val="24"/>
              </w:rPr>
            </w:pPr>
            <w:r>
              <w:rPr>
                <w:rFonts w:hint="eastAsia" w:ascii="宋体" w:hAnsi="宋体" w:cs="宋体"/>
                <w:sz w:val="24"/>
              </w:rPr>
              <w:t>21</w:t>
            </w:r>
          </w:p>
        </w:tc>
        <w:tc>
          <w:tcPr>
            <w:tcW w:w="2657" w:type="dxa"/>
            <w:tcBorders>
              <w:top w:val="single" w:color="auto" w:sz="4" w:space="0"/>
              <w:left w:val="single" w:color="auto" w:sz="4" w:space="0"/>
              <w:bottom w:val="single" w:color="auto" w:sz="4" w:space="0"/>
              <w:right w:val="single" w:color="auto" w:sz="4" w:space="0"/>
            </w:tcBorders>
            <w:noWrap/>
            <w:vAlign w:val="center"/>
          </w:tcPr>
          <w:p w14:paraId="1EE9419A">
            <w:pPr>
              <w:spacing w:line="360" w:lineRule="auto"/>
              <w:jc w:val="center"/>
              <w:rPr>
                <w:rFonts w:ascii="宋体" w:hAnsi="宋体" w:cs="宋体"/>
                <w:sz w:val="24"/>
              </w:rPr>
            </w:pPr>
            <w:r>
              <w:rPr>
                <w:rFonts w:hint="eastAsia" w:ascii="宋体" w:hAnsi="宋体" w:cs="宋体"/>
                <w:sz w:val="24"/>
              </w:rPr>
              <w:t>磋商保证金</w:t>
            </w:r>
          </w:p>
        </w:tc>
        <w:tc>
          <w:tcPr>
            <w:tcW w:w="6248" w:type="dxa"/>
            <w:tcBorders>
              <w:top w:val="single" w:color="auto" w:sz="4" w:space="0"/>
              <w:left w:val="single" w:color="auto" w:sz="4" w:space="0"/>
              <w:bottom w:val="single" w:color="auto" w:sz="4" w:space="0"/>
              <w:right w:val="single" w:color="auto" w:sz="4" w:space="0"/>
            </w:tcBorders>
            <w:noWrap/>
            <w:vAlign w:val="center"/>
          </w:tcPr>
          <w:p w14:paraId="1BEDC90A">
            <w:pPr>
              <w:spacing w:line="360" w:lineRule="auto"/>
              <w:rPr>
                <w:rFonts w:ascii="宋体" w:hAnsi="宋体" w:cs="宋体"/>
                <w:sz w:val="24"/>
              </w:rPr>
            </w:pPr>
            <w:r>
              <w:rPr>
                <w:rFonts w:hint="eastAsia" w:ascii="宋体" w:hAnsi="宋体" w:cs="宋体"/>
                <w:sz w:val="24"/>
              </w:rPr>
              <w:t>按照《河南省财政厅关于优化政府采购营商环境有关问题的通知》（豫财购[2019]4号文）的要求本项目不再收取投标保证金。</w:t>
            </w:r>
          </w:p>
        </w:tc>
      </w:tr>
      <w:tr w14:paraId="16564456">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664588D3">
            <w:pPr>
              <w:spacing w:line="360" w:lineRule="auto"/>
              <w:jc w:val="center"/>
              <w:rPr>
                <w:rFonts w:ascii="宋体" w:hAnsi="宋体" w:cs="宋体"/>
                <w:sz w:val="24"/>
              </w:rPr>
            </w:pPr>
            <w:r>
              <w:rPr>
                <w:rFonts w:hint="eastAsia" w:ascii="宋体" w:hAnsi="宋体" w:cs="宋体"/>
                <w:sz w:val="24"/>
              </w:rPr>
              <w:t>22</w:t>
            </w:r>
          </w:p>
        </w:tc>
        <w:tc>
          <w:tcPr>
            <w:tcW w:w="2657" w:type="dxa"/>
            <w:tcBorders>
              <w:top w:val="single" w:color="auto" w:sz="4" w:space="0"/>
              <w:left w:val="single" w:color="auto" w:sz="4" w:space="0"/>
              <w:bottom w:val="single" w:color="auto" w:sz="4" w:space="0"/>
              <w:right w:val="single" w:color="auto" w:sz="4" w:space="0"/>
            </w:tcBorders>
            <w:noWrap/>
            <w:vAlign w:val="center"/>
          </w:tcPr>
          <w:p w14:paraId="2C0BD56D">
            <w:pPr>
              <w:spacing w:line="360" w:lineRule="auto"/>
              <w:jc w:val="center"/>
              <w:rPr>
                <w:rFonts w:ascii="宋体" w:hAnsi="宋体" w:cs="宋体"/>
                <w:sz w:val="24"/>
              </w:rPr>
            </w:pPr>
            <w:r>
              <w:rPr>
                <w:rFonts w:hint="eastAsia" w:ascii="宋体" w:hAnsi="宋体" w:cs="宋体"/>
                <w:sz w:val="24"/>
              </w:rPr>
              <w:t>签字或盖章要求</w:t>
            </w:r>
          </w:p>
        </w:tc>
        <w:tc>
          <w:tcPr>
            <w:tcW w:w="6248" w:type="dxa"/>
            <w:tcBorders>
              <w:top w:val="single" w:color="auto" w:sz="4" w:space="0"/>
              <w:left w:val="single" w:color="auto" w:sz="4" w:space="0"/>
              <w:bottom w:val="single" w:color="auto" w:sz="4" w:space="0"/>
              <w:right w:val="single" w:color="auto" w:sz="4" w:space="0"/>
            </w:tcBorders>
            <w:noWrap/>
            <w:vAlign w:val="center"/>
          </w:tcPr>
          <w:p w14:paraId="6F584340">
            <w:pPr>
              <w:spacing w:line="400" w:lineRule="exact"/>
              <w:rPr>
                <w:rFonts w:ascii="宋体" w:hAnsi="宋体" w:cs="宋体"/>
                <w:sz w:val="24"/>
              </w:rPr>
            </w:pPr>
            <w:r>
              <w:rPr>
                <w:rFonts w:hint="eastAsia" w:ascii="宋体" w:hAnsi="宋体" w:cs="宋体"/>
                <w:sz w:val="24"/>
              </w:rPr>
              <w:t>1、供应商在生成电子化响应文件后，应对电子化响应文件进行签章，未对电子化文件进行签章的视为无效投标。</w:t>
            </w:r>
          </w:p>
          <w:p w14:paraId="69512FDC">
            <w:pPr>
              <w:spacing w:line="400" w:lineRule="exact"/>
              <w:rPr>
                <w:rFonts w:ascii="宋体" w:hAnsi="宋体" w:cs="宋体"/>
                <w:sz w:val="24"/>
              </w:rPr>
            </w:pPr>
            <w:r>
              <w:rPr>
                <w:rFonts w:hint="eastAsia" w:ascii="宋体" w:hAnsi="宋体" w:cs="宋体"/>
                <w:sz w:val="24"/>
              </w:rPr>
              <w:t>2、竞争性磋商文件中要求法定代表人或授权委托人签字或盖章的，供应商在进行电子化响应文件签章时，以签盖法定代表人电子签章为准。（电子化响应文件具体制作教材请供应商通过CA证书登录三门峡市公共资源电子化交易系统在右上角“组件下载”中查看）</w:t>
            </w:r>
          </w:p>
          <w:p w14:paraId="7FD4FB7A">
            <w:pPr>
              <w:spacing w:line="400" w:lineRule="exact"/>
              <w:rPr>
                <w:rFonts w:ascii="宋体" w:hAnsi="宋体" w:cs="宋体"/>
                <w:sz w:val="24"/>
              </w:rPr>
            </w:pPr>
            <w:r>
              <w:rPr>
                <w:rFonts w:hint="eastAsia" w:ascii="宋体" w:hAnsi="宋体" w:cs="宋体"/>
                <w:sz w:val="24"/>
              </w:rPr>
              <w:t>3、本项目为电子化、无纸化交易项目，响应文件是供应商通过中心投标文件制作系统制作，并经过电子签章和加密后生成的电子版投标文件。供应商投标时，将不再接受任何纸质文件资料</w:t>
            </w:r>
          </w:p>
          <w:p w14:paraId="6792B142">
            <w:pPr>
              <w:spacing w:line="400" w:lineRule="exact"/>
              <w:rPr>
                <w:rFonts w:ascii="宋体" w:hAnsi="宋体" w:cs="宋体"/>
                <w:sz w:val="24"/>
              </w:rPr>
            </w:pPr>
            <w:r>
              <w:rPr>
                <w:rFonts w:hint="eastAsia" w:ascii="宋体" w:hAnsi="宋体" w:cs="宋体"/>
                <w:sz w:val="24"/>
              </w:rPr>
              <w:t>4、成交单位领取成交通知书时提交三份纸质响应文件。</w:t>
            </w:r>
          </w:p>
        </w:tc>
      </w:tr>
      <w:tr w14:paraId="1174E29D">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61F6AC69">
            <w:pPr>
              <w:spacing w:line="360" w:lineRule="auto"/>
              <w:jc w:val="center"/>
              <w:rPr>
                <w:rFonts w:ascii="宋体" w:hAnsi="宋体" w:cs="宋体"/>
                <w:sz w:val="24"/>
              </w:rPr>
            </w:pPr>
            <w:r>
              <w:rPr>
                <w:rFonts w:hint="eastAsia" w:ascii="宋体" w:hAnsi="宋体" w:cs="宋体"/>
                <w:sz w:val="24"/>
              </w:rPr>
              <w:t>23</w:t>
            </w:r>
          </w:p>
        </w:tc>
        <w:tc>
          <w:tcPr>
            <w:tcW w:w="2657" w:type="dxa"/>
            <w:tcBorders>
              <w:top w:val="single" w:color="auto" w:sz="4" w:space="0"/>
              <w:left w:val="single" w:color="auto" w:sz="4" w:space="0"/>
              <w:bottom w:val="single" w:color="auto" w:sz="4" w:space="0"/>
              <w:right w:val="single" w:color="auto" w:sz="4" w:space="0"/>
            </w:tcBorders>
            <w:noWrap/>
            <w:vAlign w:val="center"/>
          </w:tcPr>
          <w:p w14:paraId="33FD449F">
            <w:pPr>
              <w:widowControl/>
              <w:spacing w:line="259" w:lineRule="auto"/>
              <w:ind w:left="90" w:leftChars="43" w:firstLine="240" w:firstLineChars="100"/>
              <w:rPr>
                <w:rFonts w:ascii="宋体" w:hAnsi="宋体" w:cs="宋体"/>
                <w:kern w:val="0"/>
                <w:sz w:val="24"/>
              </w:rPr>
            </w:pPr>
            <w:r>
              <w:rPr>
                <w:rFonts w:hint="eastAsia" w:ascii="宋体" w:hAnsi="宋体" w:cs="宋体"/>
                <w:sz w:val="24"/>
              </w:rPr>
              <w:t>递交响应文件地点</w:t>
            </w:r>
          </w:p>
        </w:tc>
        <w:tc>
          <w:tcPr>
            <w:tcW w:w="6248" w:type="dxa"/>
            <w:tcBorders>
              <w:top w:val="single" w:color="auto" w:sz="4" w:space="0"/>
              <w:left w:val="single" w:color="auto" w:sz="4" w:space="0"/>
              <w:bottom w:val="single" w:color="auto" w:sz="4" w:space="0"/>
              <w:right w:val="single" w:color="auto" w:sz="4" w:space="0"/>
            </w:tcBorders>
            <w:noWrap/>
          </w:tcPr>
          <w:p w14:paraId="237B30AD">
            <w:pPr>
              <w:spacing w:line="400" w:lineRule="exact"/>
              <w:rPr>
                <w:rFonts w:ascii="宋体" w:hAnsi="宋体" w:cs="宋体"/>
                <w:sz w:val="24"/>
              </w:rPr>
            </w:pPr>
            <w:r>
              <w:rPr>
                <w:rFonts w:hint="eastAsia" w:ascii="宋体" w:hAnsi="宋体" w:cs="宋体"/>
                <w:sz w:val="24"/>
              </w:rPr>
              <w:t>本项目为不见面开标项目，开标当日供应商无需到开标现场参加开标会议，供应商应当在投标截止时间前，登陆不见面开标大厅选择登陆三门峡市公共资源电子招投标系统进行操作。</w:t>
            </w:r>
          </w:p>
        </w:tc>
      </w:tr>
      <w:tr w14:paraId="2213B80B">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4FFFAF5E">
            <w:pPr>
              <w:spacing w:line="360" w:lineRule="auto"/>
              <w:jc w:val="center"/>
              <w:rPr>
                <w:rFonts w:ascii="宋体" w:hAnsi="宋体" w:cs="宋体"/>
                <w:sz w:val="24"/>
              </w:rPr>
            </w:pPr>
            <w:r>
              <w:rPr>
                <w:rFonts w:hint="eastAsia" w:ascii="宋体" w:hAnsi="宋体" w:cs="宋体"/>
                <w:sz w:val="24"/>
              </w:rPr>
              <w:t>24</w:t>
            </w:r>
          </w:p>
        </w:tc>
        <w:tc>
          <w:tcPr>
            <w:tcW w:w="2657" w:type="dxa"/>
            <w:tcBorders>
              <w:top w:val="single" w:color="auto" w:sz="4" w:space="0"/>
              <w:left w:val="single" w:color="auto" w:sz="4" w:space="0"/>
              <w:bottom w:val="single" w:color="auto" w:sz="4" w:space="0"/>
              <w:right w:val="single" w:color="auto" w:sz="4" w:space="0"/>
            </w:tcBorders>
            <w:noWrap/>
            <w:vAlign w:val="center"/>
          </w:tcPr>
          <w:p w14:paraId="0779F682">
            <w:pPr>
              <w:spacing w:line="276" w:lineRule="auto"/>
              <w:jc w:val="center"/>
              <w:rPr>
                <w:rFonts w:ascii="宋体" w:hAnsi="宋体" w:cs="宋体"/>
                <w:color w:val="000000"/>
                <w:kern w:val="10"/>
                <w:sz w:val="24"/>
              </w:rPr>
            </w:pPr>
            <w:r>
              <w:rPr>
                <w:rFonts w:hint="eastAsia" w:ascii="宋体" w:hAnsi="宋体" w:cs="宋体"/>
                <w:color w:val="000000"/>
                <w:kern w:val="10"/>
                <w:sz w:val="24"/>
              </w:rPr>
              <w:t>是否允许递交备选投标方案</w:t>
            </w:r>
          </w:p>
        </w:tc>
        <w:tc>
          <w:tcPr>
            <w:tcW w:w="6248" w:type="dxa"/>
            <w:tcBorders>
              <w:top w:val="single" w:color="auto" w:sz="4" w:space="0"/>
              <w:left w:val="single" w:color="auto" w:sz="4" w:space="0"/>
              <w:bottom w:val="single" w:color="auto" w:sz="4" w:space="0"/>
              <w:right w:val="single" w:color="auto" w:sz="4" w:space="0"/>
            </w:tcBorders>
            <w:noWrap/>
            <w:vAlign w:val="center"/>
          </w:tcPr>
          <w:p w14:paraId="7025A200">
            <w:pPr>
              <w:spacing w:line="400" w:lineRule="exact"/>
              <w:rPr>
                <w:rFonts w:ascii="宋体" w:hAnsi="宋体" w:cs="宋体"/>
                <w:sz w:val="24"/>
              </w:rPr>
            </w:pPr>
            <w:r>
              <w:rPr>
                <w:rFonts w:hint="eastAsia" w:ascii="宋体" w:hAnsi="宋体" w:cs="宋体"/>
                <w:sz w:val="24"/>
              </w:rPr>
              <w:t>不允许</w:t>
            </w:r>
          </w:p>
        </w:tc>
      </w:tr>
      <w:tr w14:paraId="5C400920">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7AAE16C4">
            <w:pPr>
              <w:spacing w:line="360" w:lineRule="auto"/>
              <w:jc w:val="center"/>
              <w:rPr>
                <w:rFonts w:ascii="宋体" w:hAnsi="宋体" w:cs="宋体"/>
                <w:sz w:val="24"/>
              </w:rPr>
            </w:pPr>
            <w:r>
              <w:rPr>
                <w:rFonts w:hint="eastAsia" w:ascii="宋体" w:hAnsi="宋体" w:cs="宋体"/>
                <w:sz w:val="24"/>
              </w:rPr>
              <w:t>25</w:t>
            </w:r>
          </w:p>
        </w:tc>
        <w:tc>
          <w:tcPr>
            <w:tcW w:w="2657" w:type="dxa"/>
            <w:tcBorders>
              <w:top w:val="single" w:color="auto" w:sz="4" w:space="0"/>
              <w:left w:val="single" w:color="auto" w:sz="4" w:space="0"/>
              <w:bottom w:val="single" w:color="auto" w:sz="4" w:space="0"/>
              <w:right w:val="single" w:color="auto" w:sz="4" w:space="0"/>
            </w:tcBorders>
            <w:noWrap/>
            <w:vAlign w:val="center"/>
          </w:tcPr>
          <w:p w14:paraId="6A2C0D07">
            <w:pPr>
              <w:spacing w:line="360" w:lineRule="auto"/>
              <w:jc w:val="center"/>
              <w:rPr>
                <w:rFonts w:ascii="宋体" w:hAnsi="宋体" w:cs="宋体"/>
                <w:sz w:val="24"/>
              </w:rPr>
            </w:pPr>
            <w:r>
              <w:rPr>
                <w:rFonts w:hint="eastAsia" w:ascii="宋体" w:hAnsi="宋体" w:cs="宋体"/>
                <w:sz w:val="24"/>
              </w:rPr>
              <w:t>是否退还响应性文件</w:t>
            </w:r>
          </w:p>
        </w:tc>
        <w:tc>
          <w:tcPr>
            <w:tcW w:w="6248" w:type="dxa"/>
            <w:tcBorders>
              <w:top w:val="single" w:color="auto" w:sz="4" w:space="0"/>
              <w:left w:val="single" w:color="auto" w:sz="4" w:space="0"/>
              <w:bottom w:val="single" w:color="auto" w:sz="4" w:space="0"/>
              <w:right w:val="single" w:color="auto" w:sz="4" w:space="0"/>
            </w:tcBorders>
            <w:noWrap/>
            <w:vAlign w:val="center"/>
          </w:tcPr>
          <w:p w14:paraId="27E702A7">
            <w:pPr>
              <w:spacing w:line="360" w:lineRule="auto"/>
              <w:rPr>
                <w:rFonts w:ascii="宋体" w:hAnsi="宋体" w:cs="宋体"/>
                <w:sz w:val="24"/>
              </w:rPr>
            </w:pPr>
            <w:r>
              <w:rPr>
                <w:rFonts w:hint="eastAsia" w:ascii="宋体" w:hAnsi="宋体" w:cs="宋体"/>
                <w:sz w:val="24"/>
              </w:rPr>
              <w:t>否</w:t>
            </w:r>
          </w:p>
        </w:tc>
      </w:tr>
      <w:tr w14:paraId="09AF751D">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7AC5BBA1">
            <w:pPr>
              <w:spacing w:line="360" w:lineRule="auto"/>
              <w:jc w:val="center"/>
              <w:rPr>
                <w:rFonts w:ascii="宋体" w:hAnsi="宋体" w:cs="宋体"/>
                <w:sz w:val="24"/>
              </w:rPr>
            </w:pPr>
            <w:r>
              <w:rPr>
                <w:rFonts w:hint="eastAsia" w:ascii="宋体" w:hAnsi="宋体" w:cs="宋体"/>
                <w:sz w:val="24"/>
              </w:rPr>
              <w:t>26</w:t>
            </w:r>
          </w:p>
        </w:tc>
        <w:tc>
          <w:tcPr>
            <w:tcW w:w="2657" w:type="dxa"/>
            <w:tcBorders>
              <w:top w:val="single" w:color="auto" w:sz="4" w:space="0"/>
              <w:left w:val="single" w:color="auto" w:sz="4" w:space="0"/>
              <w:bottom w:val="single" w:color="auto" w:sz="4" w:space="0"/>
              <w:right w:val="single" w:color="auto" w:sz="4" w:space="0"/>
            </w:tcBorders>
            <w:noWrap/>
            <w:vAlign w:val="center"/>
          </w:tcPr>
          <w:p w14:paraId="70024C6B">
            <w:pPr>
              <w:spacing w:line="360" w:lineRule="auto"/>
              <w:jc w:val="center"/>
              <w:rPr>
                <w:rFonts w:ascii="宋体" w:hAnsi="宋体" w:cs="宋体"/>
                <w:sz w:val="24"/>
              </w:rPr>
            </w:pPr>
            <w:r>
              <w:rPr>
                <w:rFonts w:hint="eastAsia" w:ascii="宋体" w:hAnsi="宋体" w:cs="宋体"/>
                <w:sz w:val="24"/>
              </w:rPr>
              <w:t>是否提供样品</w:t>
            </w:r>
          </w:p>
        </w:tc>
        <w:tc>
          <w:tcPr>
            <w:tcW w:w="6248" w:type="dxa"/>
            <w:tcBorders>
              <w:top w:val="single" w:color="auto" w:sz="4" w:space="0"/>
              <w:left w:val="single" w:color="auto" w:sz="4" w:space="0"/>
              <w:bottom w:val="single" w:color="auto" w:sz="4" w:space="0"/>
              <w:right w:val="single" w:color="auto" w:sz="4" w:space="0"/>
            </w:tcBorders>
            <w:noWrap/>
            <w:vAlign w:val="center"/>
          </w:tcPr>
          <w:p w14:paraId="0F55952D">
            <w:pPr>
              <w:spacing w:line="360" w:lineRule="auto"/>
              <w:rPr>
                <w:rFonts w:ascii="宋体" w:hAnsi="宋体" w:cs="宋体"/>
                <w:sz w:val="24"/>
              </w:rPr>
            </w:pPr>
            <w:r>
              <w:rPr>
                <w:rFonts w:hint="eastAsia" w:ascii="宋体" w:hAnsi="宋体" w:cs="宋体"/>
                <w:sz w:val="24"/>
              </w:rPr>
              <w:t>否</w:t>
            </w:r>
          </w:p>
        </w:tc>
      </w:tr>
      <w:tr w14:paraId="0B228D5E">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382F422F">
            <w:pPr>
              <w:spacing w:line="360" w:lineRule="auto"/>
              <w:jc w:val="center"/>
              <w:rPr>
                <w:rFonts w:ascii="宋体" w:hAnsi="宋体" w:cs="宋体"/>
                <w:sz w:val="24"/>
              </w:rPr>
            </w:pPr>
            <w:r>
              <w:rPr>
                <w:rFonts w:hint="eastAsia" w:ascii="宋体" w:hAnsi="宋体" w:cs="宋体"/>
                <w:sz w:val="24"/>
              </w:rPr>
              <w:t>27</w:t>
            </w:r>
          </w:p>
        </w:tc>
        <w:tc>
          <w:tcPr>
            <w:tcW w:w="2657" w:type="dxa"/>
            <w:tcBorders>
              <w:top w:val="single" w:color="auto" w:sz="4" w:space="0"/>
              <w:left w:val="single" w:color="auto" w:sz="4" w:space="0"/>
              <w:bottom w:val="single" w:color="auto" w:sz="4" w:space="0"/>
              <w:right w:val="single" w:color="auto" w:sz="4" w:space="0"/>
            </w:tcBorders>
            <w:noWrap/>
            <w:vAlign w:val="center"/>
          </w:tcPr>
          <w:p w14:paraId="5D0CD6D3">
            <w:pPr>
              <w:spacing w:line="360" w:lineRule="auto"/>
              <w:jc w:val="center"/>
              <w:rPr>
                <w:rFonts w:ascii="宋体" w:hAnsi="宋体" w:cs="宋体"/>
                <w:sz w:val="24"/>
              </w:rPr>
            </w:pPr>
            <w:r>
              <w:rPr>
                <w:rFonts w:hint="eastAsia" w:ascii="宋体" w:hAnsi="宋体" w:cs="宋体"/>
                <w:sz w:val="24"/>
              </w:rPr>
              <w:t>磋商时间和地点</w:t>
            </w:r>
          </w:p>
        </w:tc>
        <w:tc>
          <w:tcPr>
            <w:tcW w:w="6248" w:type="dxa"/>
            <w:tcBorders>
              <w:top w:val="single" w:color="auto" w:sz="4" w:space="0"/>
              <w:left w:val="single" w:color="auto" w:sz="4" w:space="0"/>
              <w:bottom w:val="single" w:color="auto" w:sz="4" w:space="0"/>
              <w:right w:val="single" w:color="auto" w:sz="4" w:space="0"/>
            </w:tcBorders>
            <w:noWrap/>
            <w:vAlign w:val="center"/>
          </w:tcPr>
          <w:p w14:paraId="08BE2316">
            <w:pPr>
              <w:spacing w:line="360" w:lineRule="auto"/>
              <w:rPr>
                <w:rFonts w:ascii="宋体" w:hAnsi="宋体" w:cs="宋体"/>
                <w:sz w:val="24"/>
              </w:rPr>
            </w:pPr>
            <w:r>
              <w:rPr>
                <w:rFonts w:hint="eastAsia" w:ascii="宋体" w:hAnsi="宋体" w:cs="宋体"/>
                <w:sz w:val="24"/>
              </w:rPr>
              <w:t>磋商时间：同递交响应性文件截止时间</w:t>
            </w:r>
          </w:p>
          <w:p w14:paraId="3EED2E1B">
            <w:pPr>
              <w:spacing w:line="360" w:lineRule="auto"/>
              <w:rPr>
                <w:rFonts w:ascii="宋体" w:hAnsi="宋体" w:cs="宋体"/>
                <w:sz w:val="24"/>
              </w:rPr>
            </w:pPr>
            <w:r>
              <w:rPr>
                <w:rFonts w:hint="eastAsia" w:ascii="宋体" w:hAnsi="宋体" w:cs="宋体"/>
                <w:sz w:val="24"/>
              </w:rPr>
              <w:t>磋商地点：同递交响应性文件地点</w:t>
            </w:r>
          </w:p>
        </w:tc>
      </w:tr>
      <w:tr w14:paraId="50652ACC">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01342930">
            <w:pPr>
              <w:spacing w:line="360" w:lineRule="auto"/>
              <w:jc w:val="center"/>
              <w:rPr>
                <w:rFonts w:ascii="宋体" w:hAnsi="宋体" w:cs="宋体"/>
                <w:sz w:val="24"/>
              </w:rPr>
            </w:pPr>
            <w:r>
              <w:rPr>
                <w:rFonts w:hint="eastAsia" w:ascii="宋体" w:hAnsi="宋体" w:cs="宋体"/>
                <w:sz w:val="24"/>
              </w:rPr>
              <w:t>28</w:t>
            </w:r>
          </w:p>
        </w:tc>
        <w:tc>
          <w:tcPr>
            <w:tcW w:w="2657" w:type="dxa"/>
            <w:tcBorders>
              <w:top w:val="single" w:color="auto" w:sz="4" w:space="0"/>
              <w:left w:val="single" w:color="auto" w:sz="4" w:space="0"/>
              <w:bottom w:val="single" w:color="auto" w:sz="4" w:space="0"/>
              <w:right w:val="single" w:color="auto" w:sz="4" w:space="0"/>
            </w:tcBorders>
            <w:noWrap/>
            <w:vAlign w:val="center"/>
          </w:tcPr>
          <w:p w14:paraId="1DEC9A36">
            <w:pPr>
              <w:widowControl/>
              <w:spacing w:line="259" w:lineRule="auto"/>
              <w:ind w:left="90"/>
              <w:jc w:val="center"/>
              <w:rPr>
                <w:rFonts w:ascii="宋体" w:hAnsi="宋体" w:cs="宋体"/>
                <w:kern w:val="0"/>
                <w:sz w:val="24"/>
              </w:rPr>
            </w:pPr>
            <w:r>
              <w:rPr>
                <w:rFonts w:ascii="宋体" w:hAnsi="宋体" w:cs="宋体"/>
                <w:kern w:val="0"/>
                <w:sz w:val="24"/>
              </w:rPr>
              <w:t>开标顺序</w:t>
            </w:r>
          </w:p>
        </w:tc>
        <w:tc>
          <w:tcPr>
            <w:tcW w:w="6248" w:type="dxa"/>
            <w:tcBorders>
              <w:top w:val="single" w:color="auto" w:sz="4" w:space="0"/>
              <w:left w:val="single" w:color="auto" w:sz="4" w:space="0"/>
              <w:bottom w:val="single" w:color="auto" w:sz="4" w:space="0"/>
              <w:right w:val="single" w:color="auto" w:sz="4" w:space="0"/>
            </w:tcBorders>
            <w:noWrap/>
          </w:tcPr>
          <w:p w14:paraId="6B4D50C9">
            <w:pPr>
              <w:widowControl/>
              <w:spacing w:line="259" w:lineRule="auto"/>
              <w:ind w:left="1"/>
              <w:jc w:val="left"/>
              <w:rPr>
                <w:rFonts w:ascii="宋体" w:hAnsi="宋体" w:cs="宋体"/>
                <w:kern w:val="0"/>
                <w:sz w:val="24"/>
              </w:rPr>
            </w:pPr>
            <w:r>
              <w:rPr>
                <w:rFonts w:ascii="宋体" w:hAnsi="宋体" w:cs="宋体"/>
                <w:kern w:val="0"/>
                <w:sz w:val="24"/>
              </w:rPr>
              <w:t>按电子响应文件上传的顺序开标</w:t>
            </w:r>
          </w:p>
        </w:tc>
      </w:tr>
      <w:tr w14:paraId="2DA86599">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5AC906AD">
            <w:pPr>
              <w:spacing w:line="360" w:lineRule="auto"/>
              <w:jc w:val="center"/>
              <w:rPr>
                <w:rFonts w:ascii="宋体" w:hAnsi="宋体" w:cs="宋体"/>
                <w:sz w:val="24"/>
              </w:rPr>
            </w:pPr>
            <w:r>
              <w:rPr>
                <w:rFonts w:hint="eastAsia" w:ascii="宋体" w:hAnsi="宋体" w:cs="宋体"/>
                <w:sz w:val="24"/>
              </w:rPr>
              <w:t>29</w:t>
            </w:r>
          </w:p>
        </w:tc>
        <w:tc>
          <w:tcPr>
            <w:tcW w:w="2657" w:type="dxa"/>
            <w:tcBorders>
              <w:top w:val="single" w:color="auto" w:sz="4" w:space="0"/>
              <w:left w:val="single" w:color="auto" w:sz="4" w:space="0"/>
              <w:bottom w:val="single" w:color="auto" w:sz="4" w:space="0"/>
              <w:right w:val="single" w:color="auto" w:sz="4" w:space="0"/>
            </w:tcBorders>
            <w:noWrap/>
            <w:vAlign w:val="center"/>
          </w:tcPr>
          <w:p w14:paraId="26C6CCBB">
            <w:pPr>
              <w:spacing w:line="360" w:lineRule="auto"/>
              <w:jc w:val="center"/>
              <w:rPr>
                <w:rFonts w:ascii="宋体" w:hAnsi="宋体" w:cs="宋体"/>
                <w:sz w:val="24"/>
              </w:rPr>
            </w:pPr>
            <w:r>
              <w:rPr>
                <w:rFonts w:hint="eastAsia" w:ascii="宋体" w:hAnsi="宋体" w:cs="宋体"/>
                <w:sz w:val="24"/>
              </w:rPr>
              <w:t>磋商小组</w:t>
            </w:r>
          </w:p>
        </w:tc>
        <w:tc>
          <w:tcPr>
            <w:tcW w:w="6248" w:type="dxa"/>
            <w:tcBorders>
              <w:top w:val="single" w:color="auto" w:sz="4" w:space="0"/>
              <w:left w:val="single" w:color="auto" w:sz="4" w:space="0"/>
              <w:bottom w:val="single" w:color="auto" w:sz="4" w:space="0"/>
              <w:right w:val="single" w:color="auto" w:sz="4" w:space="0"/>
            </w:tcBorders>
            <w:noWrap/>
            <w:vAlign w:val="center"/>
          </w:tcPr>
          <w:p w14:paraId="25A1FAB0">
            <w:pPr>
              <w:spacing w:line="360" w:lineRule="auto"/>
              <w:jc w:val="left"/>
              <w:rPr>
                <w:rFonts w:ascii="宋体" w:hAnsi="宋体" w:cs="宋体"/>
                <w:sz w:val="24"/>
              </w:rPr>
            </w:pPr>
            <w:r>
              <w:rPr>
                <w:rFonts w:hint="eastAsia" w:ascii="宋体" w:hAnsi="宋体" w:cs="宋体"/>
                <w:sz w:val="24"/>
              </w:rPr>
              <w:t>磋商小组构成：由招标人代表和有关技术、经济等方面的专家，共3人组成。其中：技术、经济等方面的专家不能少于磋商小组成员的2/3。</w:t>
            </w:r>
          </w:p>
          <w:p w14:paraId="28FFA6B6">
            <w:pPr>
              <w:spacing w:line="360" w:lineRule="auto"/>
              <w:jc w:val="left"/>
              <w:rPr>
                <w:rFonts w:ascii="宋体" w:hAnsi="宋体"/>
              </w:rPr>
            </w:pPr>
            <w:r>
              <w:rPr>
                <w:rFonts w:hint="eastAsia" w:ascii="宋体" w:hAnsi="宋体" w:cs="宋体"/>
                <w:sz w:val="24"/>
              </w:rPr>
              <w:t>评标专家确定方式：参加评标的专家由采购人、监督人在河南省财政厅综合评标专家库抽取终端随机抽取确定。</w:t>
            </w:r>
          </w:p>
        </w:tc>
      </w:tr>
      <w:tr w14:paraId="3431ED6E">
        <w:tblPrEx>
          <w:tblCellMar>
            <w:top w:w="0" w:type="dxa"/>
            <w:left w:w="108" w:type="dxa"/>
            <w:bottom w:w="0" w:type="dxa"/>
            <w:right w:w="108" w:type="dxa"/>
          </w:tblCellMar>
        </w:tblPrEx>
        <w:trPr>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731CBDCA">
            <w:pPr>
              <w:spacing w:line="360" w:lineRule="auto"/>
              <w:jc w:val="center"/>
              <w:rPr>
                <w:rFonts w:ascii="宋体" w:hAnsi="宋体" w:cs="宋体"/>
                <w:sz w:val="24"/>
              </w:rPr>
            </w:pPr>
            <w:r>
              <w:rPr>
                <w:rFonts w:hint="eastAsia" w:ascii="宋体" w:hAnsi="宋体" w:cs="宋体"/>
                <w:sz w:val="24"/>
              </w:rPr>
              <w:t>30</w:t>
            </w:r>
          </w:p>
        </w:tc>
        <w:tc>
          <w:tcPr>
            <w:tcW w:w="2657" w:type="dxa"/>
            <w:tcBorders>
              <w:top w:val="single" w:color="auto" w:sz="4" w:space="0"/>
              <w:left w:val="single" w:color="auto" w:sz="4" w:space="0"/>
              <w:bottom w:val="single" w:color="auto" w:sz="4" w:space="0"/>
              <w:right w:val="single" w:color="auto" w:sz="4" w:space="0"/>
            </w:tcBorders>
            <w:noWrap/>
            <w:vAlign w:val="center"/>
          </w:tcPr>
          <w:p w14:paraId="7EC67641">
            <w:pPr>
              <w:spacing w:line="360" w:lineRule="auto"/>
              <w:jc w:val="center"/>
              <w:rPr>
                <w:rFonts w:ascii="宋体" w:hAnsi="宋体" w:cs="宋体"/>
                <w:sz w:val="24"/>
              </w:rPr>
            </w:pPr>
            <w:r>
              <w:rPr>
                <w:rFonts w:hint="eastAsia" w:ascii="宋体" w:hAnsi="宋体" w:cs="宋体"/>
                <w:sz w:val="24"/>
              </w:rPr>
              <w:t>是否授权磋商小组确定成交供应商</w:t>
            </w:r>
          </w:p>
        </w:tc>
        <w:tc>
          <w:tcPr>
            <w:tcW w:w="6248" w:type="dxa"/>
            <w:tcBorders>
              <w:top w:val="single" w:color="auto" w:sz="4" w:space="0"/>
              <w:left w:val="single" w:color="auto" w:sz="4" w:space="0"/>
              <w:bottom w:val="single" w:color="auto" w:sz="4" w:space="0"/>
              <w:right w:val="single" w:color="auto" w:sz="4" w:space="0"/>
            </w:tcBorders>
            <w:noWrap/>
            <w:vAlign w:val="center"/>
          </w:tcPr>
          <w:p w14:paraId="2A5718C5">
            <w:pPr>
              <w:spacing w:line="360" w:lineRule="auto"/>
              <w:rPr>
                <w:rFonts w:ascii="宋体" w:hAnsi="宋体" w:cs="宋体"/>
                <w:sz w:val="24"/>
              </w:rPr>
            </w:pPr>
            <w:r>
              <w:rPr>
                <w:rFonts w:hint="eastAsia" w:ascii="宋体" w:hAnsi="宋体" w:cs="宋体"/>
                <w:sz w:val="24"/>
              </w:rPr>
              <w:t>■否，推荐成交候选人数：1-3人</w:t>
            </w:r>
          </w:p>
        </w:tc>
      </w:tr>
      <w:tr w14:paraId="7344AE92">
        <w:tblPrEx>
          <w:tblCellMar>
            <w:top w:w="0" w:type="dxa"/>
            <w:left w:w="108" w:type="dxa"/>
            <w:bottom w:w="0" w:type="dxa"/>
            <w:right w:w="108" w:type="dxa"/>
          </w:tblCellMar>
        </w:tblPrEx>
        <w:trPr>
          <w:trHeight w:val="523"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509990E7">
            <w:pPr>
              <w:spacing w:line="360" w:lineRule="auto"/>
              <w:jc w:val="center"/>
              <w:rPr>
                <w:rFonts w:ascii="宋体" w:hAnsi="宋体" w:cs="宋体"/>
                <w:sz w:val="24"/>
              </w:rPr>
            </w:pPr>
            <w:r>
              <w:rPr>
                <w:rFonts w:hint="eastAsia" w:ascii="宋体" w:hAnsi="宋体" w:cs="宋体"/>
                <w:sz w:val="24"/>
              </w:rPr>
              <w:t>31</w:t>
            </w:r>
          </w:p>
        </w:tc>
        <w:tc>
          <w:tcPr>
            <w:tcW w:w="2657" w:type="dxa"/>
            <w:tcBorders>
              <w:top w:val="single" w:color="auto" w:sz="4" w:space="0"/>
              <w:left w:val="single" w:color="auto" w:sz="4" w:space="0"/>
              <w:bottom w:val="single" w:color="auto" w:sz="4" w:space="0"/>
              <w:right w:val="single" w:color="auto" w:sz="4" w:space="0"/>
            </w:tcBorders>
            <w:noWrap/>
            <w:vAlign w:val="center"/>
          </w:tcPr>
          <w:p w14:paraId="50A595BB">
            <w:pPr>
              <w:spacing w:line="360" w:lineRule="auto"/>
              <w:jc w:val="center"/>
              <w:rPr>
                <w:rFonts w:ascii="宋体" w:hAnsi="宋体" w:cs="宋体"/>
                <w:sz w:val="24"/>
              </w:rPr>
            </w:pPr>
            <w:r>
              <w:rPr>
                <w:rFonts w:hint="eastAsia" w:ascii="宋体" w:hAnsi="宋体"/>
                <w:sz w:val="24"/>
              </w:rPr>
              <w:t>履约担保</w:t>
            </w:r>
          </w:p>
        </w:tc>
        <w:tc>
          <w:tcPr>
            <w:tcW w:w="6248" w:type="dxa"/>
            <w:tcBorders>
              <w:top w:val="single" w:color="auto" w:sz="4" w:space="0"/>
              <w:left w:val="single" w:color="auto" w:sz="4" w:space="0"/>
              <w:bottom w:val="single" w:color="auto" w:sz="4" w:space="0"/>
              <w:right w:val="single" w:color="auto" w:sz="4" w:space="0"/>
            </w:tcBorders>
            <w:noWrap/>
            <w:vAlign w:val="center"/>
          </w:tcPr>
          <w:p w14:paraId="635C551D">
            <w:pPr>
              <w:widowControl/>
              <w:spacing w:line="420" w:lineRule="exact"/>
              <w:jc w:val="left"/>
              <w:rPr>
                <w:rFonts w:ascii="宋体" w:hAnsi="宋体"/>
                <w:sz w:val="24"/>
              </w:rPr>
            </w:pPr>
            <w:r>
              <w:rPr>
                <w:rFonts w:hint="eastAsia" w:ascii="宋体" w:hAnsi="宋体"/>
                <w:sz w:val="24"/>
              </w:rPr>
              <w:t>根据三门峡市财政局三财购【2021】14号文的规定，本项目不收取履约保证金。</w:t>
            </w:r>
          </w:p>
        </w:tc>
      </w:tr>
      <w:tr w14:paraId="31B21F40">
        <w:tblPrEx>
          <w:tblCellMar>
            <w:top w:w="0" w:type="dxa"/>
            <w:left w:w="108" w:type="dxa"/>
            <w:bottom w:w="0" w:type="dxa"/>
            <w:right w:w="108" w:type="dxa"/>
          </w:tblCellMar>
        </w:tblPrEx>
        <w:trPr>
          <w:trHeight w:val="523"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45FF6BBA">
            <w:pPr>
              <w:spacing w:line="360" w:lineRule="auto"/>
              <w:jc w:val="center"/>
              <w:rPr>
                <w:rFonts w:ascii="宋体" w:hAnsi="宋体" w:cs="宋体"/>
                <w:sz w:val="24"/>
              </w:rPr>
            </w:pPr>
            <w:r>
              <w:rPr>
                <w:rFonts w:hint="eastAsia" w:ascii="宋体" w:hAnsi="宋体" w:cs="宋体"/>
                <w:sz w:val="24"/>
              </w:rPr>
              <w:t>32</w:t>
            </w:r>
          </w:p>
        </w:tc>
        <w:tc>
          <w:tcPr>
            <w:tcW w:w="2657" w:type="dxa"/>
            <w:tcBorders>
              <w:top w:val="single" w:color="auto" w:sz="4" w:space="0"/>
              <w:left w:val="single" w:color="auto" w:sz="4" w:space="0"/>
              <w:bottom w:val="single" w:color="auto" w:sz="4" w:space="0"/>
              <w:right w:val="single" w:color="auto" w:sz="4" w:space="0"/>
            </w:tcBorders>
            <w:noWrap/>
            <w:vAlign w:val="center"/>
          </w:tcPr>
          <w:p w14:paraId="3FB861D8">
            <w:pPr>
              <w:spacing w:line="360" w:lineRule="auto"/>
              <w:jc w:val="center"/>
              <w:rPr>
                <w:rFonts w:ascii="宋体" w:hAnsi="宋体" w:cs="宋体"/>
                <w:sz w:val="24"/>
              </w:rPr>
            </w:pPr>
            <w:r>
              <w:rPr>
                <w:rFonts w:hint="eastAsia" w:ascii="宋体" w:hAnsi="宋体" w:cs="宋体"/>
                <w:sz w:val="24"/>
              </w:rPr>
              <w:t>招标控制价</w:t>
            </w:r>
          </w:p>
        </w:tc>
        <w:tc>
          <w:tcPr>
            <w:tcW w:w="6248" w:type="dxa"/>
            <w:tcBorders>
              <w:top w:val="single" w:color="auto" w:sz="4" w:space="0"/>
              <w:left w:val="single" w:color="auto" w:sz="4" w:space="0"/>
              <w:bottom w:val="single" w:color="auto" w:sz="4" w:space="0"/>
              <w:right w:val="single" w:color="auto" w:sz="4" w:space="0"/>
            </w:tcBorders>
            <w:noWrap/>
            <w:vAlign w:val="center"/>
          </w:tcPr>
          <w:p w14:paraId="66F7834C">
            <w:pPr>
              <w:widowControl/>
              <w:spacing w:line="420" w:lineRule="exact"/>
              <w:jc w:val="left"/>
              <w:rPr>
                <w:rFonts w:ascii="宋体" w:hAnsi="宋体"/>
                <w:sz w:val="24"/>
              </w:rPr>
            </w:pPr>
            <w:r>
              <w:rPr>
                <w:rFonts w:hint="eastAsia" w:ascii="宋体" w:hAnsi="宋体"/>
                <w:sz w:val="24"/>
              </w:rPr>
              <w:t>人民币325.0489万元</w:t>
            </w:r>
          </w:p>
          <w:p w14:paraId="0D3EE8ED">
            <w:pPr>
              <w:widowControl/>
              <w:spacing w:line="420" w:lineRule="exact"/>
              <w:jc w:val="left"/>
              <w:rPr>
                <w:rFonts w:ascii="宋体" w:hAnsi="宋体"/>
                <w:sz w:val="24"/>
              </w:rPr>
            </w:pPr>
            <w:r>
              <w:rPr>
                <w:rFonts w:hint="eastAsia" w:ascii="宋体" w:hAnsi="宋体"/>
                <w:sz w:val="24"/>
              </w:rPr>
              <w:t>供应商的总报价不得高于采购控制价（预算金额），否则其响应商文件将于否决。</w:t>
            </w:r>
          </w:p>
        </w:tc>
      </w:tr>
      <w:tr w14:paraId="4EA3A64F">
        <w:tblPrEx>
          <w:tblCellMar>
            <w:top w:w="0" w:type="dxa"/>
            <w:left w:w="108" w:type="dxa"/>
            <w:bottom w:w="0" w:type="dxa"/>
            <w:right w:w="108" w:type="dxa"/>
          </w:tblCellMar>
        </w:tblPrEx>
        <w:trPr>
          <w:trHeight w:val="545"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342BB241">
            <w:pPr>
              <w:spacing w:line="360" w:lineRule="auto"/>
              <w:jc w:val="center"/>
              <w:rPr>
                <w:rFonts w:ascii="宋体" w:hAnsi="宋体" w:cs="宋体"/>
                <w:sz w:val="24"/>
              </w:rPr>
            </w:pPr>
            <w:r>
              <w:rPr>
                <w:rFonts w:hint="eastAsia" w:ascii="宋体" w:hAnsi="宋体" w:cs="宋体"/>
                <w:sz w:val="24"/>
              </w:rPr>
              <w:t>33</w:t>
            </w:r>
          </w:p>
        </w:tc>
        <w:tc>
          <w:tcPr>
            <w:tcW w:w="2657" w:type="dxa"/>
            <w:tcBorders>
              <w:top w:val="single" w:color="auto" w:sz="4" w:space="0"/>
              <w:left w:val="single" w:color="auto" w:sz="4" w:space="0"/>
              <w:bottom w:val="single" w:color="auto" w:sz="4" w:space="0"/>
              <w:right w:val="single" w:color="auto" w:sz="4" w:space="0"/>
            </w:tcBorders>
            <w:noWrap/>
            <w:vAlign w:val="center"/>
          </w:tcPr>
          <w:p w14:paraId="0AB3C297">
            <w:pPr>
              <w:widowControl/>
              <w:spacing w:line="420" w:lineRule="exact"/>
              <w:jc w:val="center"/>
              <w:rPr>
                <w:rFonts w:ascii="宋体" w:hAnsi="宋体"/>
                <w:sz w:val="24"/>
              </w:rPr>
            </w:pPr>
            <w:r>
              <w:rPr>
                <w:rFonts w:hint="eastAsia" w:ascii="宋体" w:hAnsi="宋体"/>
                <w:sz w:val="24"/>
              </w:rPr>
              <w:t>付款方式</w:t>
            </w:r>
          </w:p>
        </w:tc>
        <w:tc>
          <w:tcPr>
            <w:tcW w:w="6248" w:type="dxa"/>
            <w:tcBorders>
              <w:top w:val="single" w:color="auto" w:sz="4" w:space="0"/>
              <w:left w:val="single" w:color="auto" w:sz="4" w:space="0"/>
              <w:bottom w:val="single" w:color="auto" w:sz="4" w:space="0"/>
              <w:right w:val="single" w:color="auto" w:sz="4" w:space="0"/>
            </w:tcBorders>
            <w:noWrap/>
            <w:vAlign w:val="center"/>
          </w:tcPr>
          <w:p w14:paraId="38CB30CB">
            <w:pPr>
              <w:widowControl/>
              <w:spacing w:line="420" w:lineRule="exact"/>
              <w:jc w:val="left"/>
              <w:rPr>
                <w:rFonts w:ascii="宋体" w:hAnsi="宋体"/>
                <w:sz w:val="24"/>
              </w:rPr>
            </w:pPr>
            <w:r>
              <w:rPr>
                <w:rFonts w:hint="eastAsia" w:ascii="宋体" w:hAnsi="宋体"/>
                <w:sz w:val="24"/>
              </w:rPr>
              <w:t>按灵宝市财政投资建设项目资金拨付程序付款。</w:t>
            </w:r>
          </w:p>
        </w:tc>
      </w:tr>
      <w:tr w14:paraId="5752075F">
        <w:tblPrEx>
          <w:tblCellMar>
            <w:top w:w="0" w:type="dxa"/>
            <w:left w:w="108" w:type="dxa"/>
            <w:bottom w:w="0" w:type="dxa"/>
            <w:right w:w="108" w:type="dxa"/>
          </w:tblCellMar>
        </w:tblPrEx>
        <w:trPr>
          <w:trHeight w:val="150"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7BD11449">
            <w:pPr>
              <w:spacing w:line="360" w:lineRule="auto"/>
              <w:jc w:val="center"/>
              <w:rPr>
                <w:rFonts w:ascii="宋体" w:hAnsi="宋体" w:cs="宋体"/>
                <w:sz w:val="24"/>
              </w:rPr>
            </w:pPr>
            <w:r>
              <w:rPr>
                <w:rFonts w:hint="eastAsia" w:ascii="宋体" w:hAnsi="宋体" w:cs="宋体"/>
                <w:sz w:val="24"/>
              </w:rPr>
              <w:t>34</w:t>
            </w:r>
          </w:p>
        </w:tc>
        <w:tc>
          <w:tcPr>
            <w:tcW w:w="2657" w:type="dxa"/>
            <w:tcBorders>
              <w:top w:val="single" w:color="auto" w:sz="4" w:space="0"/>
              <w:left w:val="single" w:color="auto" w:sz="4" w:space="0"/>
              <w:bottom w:val="single" w:color="auto" w:sz="4" w:space="0"/>
              <w:right w:val="single" w:color="auto" w:sz="4" w:space="0"/>
            </w:tcBorders>
            <w:noWrap/>
            <w:vAlign w:val="center"/>
          </w:tcPr>
          <w:p w14:paraId="4E4A48EF">
            <w:pPr>
              <w:spacing w:line="360" w:lineRule="auto"/>
              <w:jc w:val="center"/>
              <w:rPr>
                <w:rFonts w:ascii="宋体" w:hAnsi="宋体" w:cs="宋体"/>
                <w:sz w:val="24"/>
              </w:rPr>
            </w:pPr>
            <w:r>
              <w:rPr>
                <w:rFonts w:hint="eastAsia" w:ascii="宋体" w:hAnsi="宋体" w:cs="宋体"/>
                <w:sz w:val="24"/>
                <w:shd w:val="clear" w:color="050000" w:fill="auto"/>
              </w:rPr>
              <w:t>招标</w:t>
            </w:r>
            <w:r>
              <w:rPr>
                <w:rFonts w:hint="eastAsia" w:ascii="宋体" w:hAnsi="宋体" w:cs="宋体"/>
                <w:sz w:val="24"/>
              </w:rPr>
              <w:t>代理费</w:t>
            </w:r>
          </w:p>
        </w:tc>
        <w:tc>
          <w:tcPr>
            <w:tcW w:w="6248" w:type="dxa"/>
            <w:tcBorders>
              <w:top w:val="single" w:color="auto" w:sz="4" w:space="0"/>
              <w:left w:val="single" w:color="auto" w:sz="4" w:space="0"/>
              <w:bottom w:val="single" w:color="auto" w:sz="4" w:space="0"/>
              <w:right w:val="single" w:color="auto" w:sz="4" w:space="0"/>
            </w:tcBorders>
            <w:noWrap/>
            <w:vAlign w:val="center"/>
          </w:tcPr>
          <w:p w14:paraId="21D6AED5">
            <w:pPr>
              <w:widowControl/>
              <w:spacing w:line="420" w:lineRule="exact"/>
              <w:jc w:val="left"/>
              <w:rPr>
                <w:rFonts w:ascii="宋体" w:hAnsi="宋体"/>
                <w:sz w:val="24"/>
              </w:rPr>
            </w:pPr>
            <w:r>
              <w:rPr>
                <w:rFonts w:hint="eastAsia" w:ascii="宋体" w:hAnsi="宋体"/>
                <w:sz w:val="24"/>
              </w:rPr>
              <w:t>本项目招标代理费由中标单位承担，收费标准参照豫招协【2023】002号文件所规定的收费标准下浮收取20000.00元，代理费和产生的其它费用由成交单位承担。此费由投标人综合考虑到投标报价中，不再单独列项。</w:t>
            </w:r>
          </w:p>
          <w:p w14:paraId="30C3066A">
            <w:pPr>
              <w:widowControl/>
              <w:spacing w:line="420" w:lineRule="exact"/>
              <w:jc w:val="left"/>
              <w:rPr>
                <w:rFonts w:ascii="宋体" w:hAnsi="宋体"/>
                <w:sz w:val="24"/>
              </w:rPr>
            </w:pPr>
            <w:r>
              <w:rPr>
                <w:rFonts w:hint="eastAsia" w:ascii="宋体" w:hAnsi="宋体"/>
                <w:sz w:val="24"/>
              </w:rPr>
              <w:t>单位名称:中恭鸿建项目管理有限公司三门峡分公司</w:t>
            </w:r>
          </w:p>
          <w:p w14:paraId="005E804F">
            <w:pPr>
              <w:widowControl/>
              <w:spacing w:line="420" w:lineRule="exact"/>
              <w:jc w:val="left"/>
              <w:rPr>
                <w:rFonts w:ascii="宋体" w:hAnsi="宋体"/>
                <w:sz w:val="24"/>
              </w:rPr>
            </w:pPr>
            <w:r>
              <w:rPr>
                <w:rFonts w:hint="eastAsia" w:ascii="宋体" w:hAnsi="宋体"/>
                <w:sz w:val="24"/>
              </w:rPr>
              <w:t>开户行:中国建设银行股份有限公司灵宝尹喜路支行</w:t>
            </w:r>
          </w:p>
          <w:p w14:paraId="7EB757DB">
            <w:pPr>
              <w:widowControl/>
              <w:spacing w:line="420" w:lineRule="exact"/>
              <w:jc w:val="left"/>
              <w:rPr>
                <w:rFonts w:ascii="宋体" w:hAnsi="宋体"/>
                <w:sz w:val="24"/>
              </w:rPr>
            </w:pPr>
            <w:r>
              <w:rPr>
                <w:rFonts w:hint="eastAsia" w:ascii="宋体" w:hAnsi="宋体"/>
                <w:sz w:val="24"/>
              </w:rPr>
              <w:t>账号: 41050169684100001045</w:t>
            </w:r>
          </w:p>
        </w:tc>
      </w:tr>
      <w:tr w14:paraId="5267B93B">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7EEAB1A0">
            <w:pPr>
              <w:spacing w:line="360" w:lineRule="auto"/>
              <w:jc w:val="center"/>
              <w:rPr>
                <w:rFonts w:ascii="宋体" w:hAnsi="宋体" w:cs="宋体"/>
                <w:sz w:val="24"/>
              </w:rPr>
            </w:pPr>
            <w:r>
              <w:rPr>
                <w:rFonts w:hint="eastAsia" w:ascii="宋体" w:hAnsi="宋体" w:cs="宋体"/>
                <w:sz w:val="24"/>
              </w:rPr>
              <w:t>35</w:t>
            </w:r>
          </w:p>
        </w:tc>
        <w:tc>
          <w:tcPr>
            <w:tcW w:w="2657" w:type="dxa"/>
            <w:tcBorders>
              <w:top w:val="single" w:color="auto" w:sz="4" w:space="0"/>
              <w:left w:val="single" w:color="auto" w:sz="4" w:space="0"/>
              <w:bottom w:val="single" w:color="auto" w:sz="4" w:space="0"/>
              <w:right w:val="single" w:color="auto" w:sz="4" w:space="0"/>
            </w:tcBorders>
            <w:noWrap/>
            <w:vAlign w:val="center"/>
          </w:tcPr>
          <w:p w14:paraId="09F70276">
            <w:pPr>
              <w:spacing w:line="360" w:lineRule="auto"/>
              <w:ind w:firstLine="480" w:firstLineChars="200"/>
              <w:rPr>
                <w:rFonts w:ascii="宋体" w:hAnsi="宋体" w:cs="宋体"/>
                <w:sz w:val="24"/>
              </w:rPr>
            </w:pPr>
            <w:r>
              <w:rPr>
                <w:rFonts w:hint="eastAsia" w:ascii="宋体" w:hAnsi="宋体" w:cs="宋体"/>
                <w:kern w:val="44"/>
                <w:sz w:val="24"/>
              </w:rPr>
              <w:t>农民工工资保证金</w:t>
            </w:r>
          </w:p>
        </w:tc>
        <w:tc>
          <w:tcPr>
            <w:tcW w:w="6248" w:type="dxa"/>
            <w:tcBorders>
              <w:top w:val="single" w:color="auto" w:sz="4" w:space="0"/>
              <w:left w:val="single" w:color="auto" w:sz="4" w:space="0"/>
              <w:bottom w:val="single" w:color="auto" w:sz="4" w:space="0"/>
              <w:right w:val="single" w:color="auto" w:sz="4" w:space="0"/>
            </w:tcBorders>
            <w:noWrap/>
            <w:vAlign w:val="center"/>
          </w:tcPr>
          <w:p w14:paraId="7749DD6B">
            <w:pPr>
              <w:widowControl/>
              <w:spacing w:line="420" w:lineRule="exact"/>
              <w:jc w:val="left"/>
              <w:rPr>
                <w:rFonts w:ascii="宋体" w:hAnsi="宋体"/>
                <w:sz w:val="24"/>
              </w:rPr>
            </w:pPr>
            <w:r>
              <w:rPr>
                <w:rFonts w:hint="eastAsia" w:ascii="宋体" w:hAnsi="宋体"/>
                <w:sz w:val="24"/>
              </w:rPr>
              <w:t>根据《中华人民共和国劳动法》、《建筑领域农民工工资支付暂行办法》等法律法规规定，成交单位成交后能够及时、足额存入农民工工资保障金或工资保函，保障金为成交价的2%。一旦其承包的建筑工程项目中出现拖欠农民工工资情况的，可由建设行政主管部门从农民工工资保障金中先予划支。</w:t>
            </w:r>
          </w:p>
        </w:tc>
      </w:tr>
      <w:tr w14:paraId="30FD6C91">
        <w:tblPrEx>
          <w:tblCellMar>
            <w:top w:w="0" w:type="dxa"/>
            <w:left w:w="108" w:type="dxa"/>
            <w:bottom w:w="0" w:type="dxa"/>
            <w:right w:w="108" w:type="dxa"/>
          </w:tblCellMar>
        </w:tblPrEx>
        <w:trPr>
          <w:trHeight w:val="520"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63BF8BE8">
            <w:pPr>
              <w:spacing w:line="360" w:lineRule="auto"/>
              <w:jc w:val="center"/>
              <w:rPr>
                <w:rFonts w:ascii="宋体" w:hAnsi="宋体" w:cs="宋体"/>
                <w:sz w:val="24"/>
              </w:rPr>
            </w:pPr>
            <w:r>
              <w:rPr>
                <w:rFonts w:hint="eastAsia" w:ascii="宋体" w:hAnsi="宋体" w:cs="宋体"/>
                <w:sz w:val="24"/>
              </w:rPr>
              <w:t>36</w:t>
            </w:r>
          </w:p>
        </w:tc>
        <w:tc>
          <w:tcPr>
            <w:tcW w:w="2657" w:type="dxa"/>
            <w:tcBorders>
              <w:top w:val="single" w:color="auto" w:sz="4" w:space="0"/>
              <w:left w:val="single" w:color="auto" w:sz="4" w:space="0"/>
              <w:bottom w:val="single" w:color="auto" w:sz="4" w:space="0"/>
              <w:right w:val="single" w:color="auto" w:sz="4" w:space="0"/>
            </w:tcBorders>
            <w:noWrap/>
            <w:vAlign w:val="center"/>
          </w:tcPr>
          <w:p w14:paraId="0A8B060A">
            <w:pPr>
              <w:widowControl/>
              <w:spacing w:line="360" w:lineRule="auto"/>
              <w:jc w:val="center"/>
              <w:rPr>
                <w:rFonts w:ascii="宋体" w:hAnsi="宋体" w:cs="宋体"/>
                <w:color w:val="000000"/>
                <w:kern w:val="44"/>
                <w:sz w:val="24"/>
              </w:rPr>
            </w:pPr>
            <w:r>
              <w:rPr>
                <w:rFonts w:ascii="宋体" w:hAnsi="宋体" w:cs="宋体"/>
                <w:color w:val="000000"/>
                <w:sz w:val="24"/>
              </w:rPr>
              <w:t>质疑</w:t>
            </w:r>
          </w:p>
        </w:tc>
        <w:tc>
          <w:tcPr>
            <w:tcW w:w="6248" w:type="dxa"/>
            <w:tcBorders>
              <w:top w:val="single" w:color="auto" w:sz="4" w:space="0"/>
              <w:left w:val="single" w:color="auto" w:sz="4" w:space="0"/>
              <w:bottom w:val="single" w:color="auto" w:sz="4" w:space="0"/>
              <w:right w:val="single" w:color="auto" w:sz="4" w:space="0"/>
            </w:tcBorders>
            <w:noWrap/>
            <w:vAlign w:val="center"/>
          </w:tcPr>
          <w:p w14:paraId="4CFCE4EC">
            <w:pPr>
              <w:widowControl/>
              <w:numPr>
                <w:ilvl w:val="0"/>
                <w:numId w:val="1"/>
              </w:numPr>
              <w:spacing w:line="360" w:lineRule="auto"/>
              <w:ind w:firstLine="240" w:firstLineChars="100"/>
              <w:jc w:val="left"/>
              <w:rPr>
                <w:rFonts w:ascii="宋体" w:hAnsi="宋体" w:cs="宋体"/>
                <w:color w:val="000000"/>
                <w:kern w:val="44"/>
                <w:sz w:val="24"/>
              </w:rPr>
            </w:pPr>
            <w:r>
              <w:rPr>
                <w:rFonts w:hint="eastAsia" w:ascii="宋体" w:hAnsi="宋体" w:cs="宋体"/>
                <w:color w:val="000000"/>
                <w:kern w:val="44"/>
                <w:sz w:val="24"/>
              </w:rPr>
              <w:t>供应商认为自己的权益受到损害的，可以在知道或者应知其权益受到损害之日起七个工作日内，向招标代理机构提出质疑。</w:t>
            </w:r>
          </w:p>
          <w:p w14:paraId="46EE3BA9">
            <w:pPr>
              <w:widowControl/>
              <w:numPr>
                <w:ilvl w:val="0"/>
                <w:numId w:val="2"/>
              </w:numPr>
              <w:spacing w:line="360" w:lineRule="auto"/>
              <w:ind w:firstLine="240" w:firstLineChars="100"/>
              <w:jc w:val="left"/>
              <w:rPr>
                <w:rFonts w:ascii="宋体" w:hAnsi="宋体" w:cs="宋体"/>
                <w:color w:val="000000"/>
                <w:kern w:val="44"/>
                <w:sz w:val="24"/>
              </w:rPr>
            </w:pPr>
            <w:r>
              <w:rPr>
                <w:rFonts w:hint="eastAsia" w:ascii="宋体" w:hAnsi="宋体" w:cs="宋体"/>
                <w:color w:val="000000"/>
                <w:kern w:val="44"/>
                <w:sz w:val="24"/>
              </w:rPr>
              <w:t>接收质疑函的方式：接收加盖单位公章的书面质疑函接收单位：同公告联系方式</w:t>
            </w:r>
          </w:p>
          <w:p w14:paraId="4A01B470">
            <w:pPr>
              <w:widowControl/>
              <w:numPr>
                <w:ilvl w:val="0"/>
                <w:numId w:val="2"/>
              </w:numPr>
              <w:spacing w:line="360" w:lineRule="auto"/>
              <w:ind w:firstLine="240" w:firstLineChars="100"/>
              <w:jc w:val="left"/>
              <w:rPr>
                <w:rFonts w:ascii="宋体" w:hAnsi="宋体" w:cs="宋体"/>
                <w:color w:val="000000"/>
                <w:kern w:val="44"/>
                <w:sz w:val="24"/>
              </w:rPr>
            </w:pPr>
            <w:r>
              <w:rPr>
                <w:rFonts w:hint="eastAsia" w:ascii="宋体" w:hAnsi="宋体" w:cs="宋体"/>
                <w:color w:val="000000"/>
                <w:kern w:val="44"/>
                <w:sz w:val="24"/>
              </w:rPr>
              <w:t>质疑函的内容、格式：应符合《中华人民共和国财政部令第 94 号—政府采购质疑和投诉办法》相关规定和财政部门制定的《政府采购质疑函范本》格式。</w:t>
            </w:r>
          </w:p>
          <w:p w14:paraId="623A5F12">
            <w:pPr>
              <w:widowControl/>
              <w:spacing w:line="360" w:lineRule="auto"/>
              <w:ind w:firstLine="240" w:firstLineChars="100"/>
              <w:jc w:val="left"/>
              <w:rPr>
                <w:rFonts w:ascii="宋体" w:hAnsi="宋体"/>
                <w:color w:val="000000"/>
              </w:rPr>
            </w:pPr>
            <w:r>
              <w:rPr>
                <w:rFonts w:hint="eastAsia" w:ascii="宋体" w:hAnsi="宋体" w:cs="宋体"/>
                <w:color w:val="000000"/>
                <w:kern w:val="44"/>
                <w:sz w:val="24"/>
              </w:rPr>
              <w:t>二、供应商应在法定质疑期内一次性针对同一采购程序环节提出质疑，否则针对再次提出质疑将不予接收。（采购程序环节分为：磋商公告、磋商文件、磋商过程、成交结果）</w:t>
            </w:r>
          </w:p>
        </w:tc>
      </w:tr>
      <w:tr w14:paraId="159ACE9B">
        <w:tblPrEx>
          <w:tblCellMar>
            <w:top w:w="0" w:type="dxa"/>
            <w:left w:w="108" w:type="dxa"/>
            <w:bottom w:w="0" w:type="dxa"/>
            <w:right w:w="108" w:type="dxa"/>
          </w:tblCellMar>
        </w:tblPrEx>
        <w:trPr>
          <w:trHeight w:val="633"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3686834E">
            <w:pPr>
              <w:spacing w:line="360" w:lineRule="auto"/>
              <w:jc w:val="center"/>
              <w:rPr>
                <w:rFonts w:ascii="宋体" w:hAnsi="宋体" w:cs="宋体"/>
                <w:sz w:val="24"/>
              </w:rPr>
            </w:pPr>
            <w:r>
              <w:rPr>
                <w:rFonts w:hint="eastAsia" w:ascii="宋体" w:hAnsi="宋体" w:cs="宋体"/>
                <w:sz w:val="24"/>
              </w:rPr>
              <w:t>37</w:t>
            </w:r>
          </w:p>
        </w:tc>
        <w:tc>
          <w:tcPr>
            <w:tcW w:w="2657" w:type="dxa"/>
            <w:tcBorders>
              <w:top w:val="single" w:color="auto" w:sz="4" w:space="0"/>
              <w:left w:val="single" w:color="auto" w:sz="4" w:space="0"/>
              <w:bottom w:val="single" w:color="auto" w:sz="4" w:space="0"/>
              <w:right w:val="single" w:color="auto" w:sz="4" w:space="0"/>
            </w:tcBorders>
            <w:noWrap/>
            <w:vAlign w:val="center"/>
          </w:tcPr>
          <w:p w14:paraId="696BC951">
            <w:pPr>
              <w:spacing w:line="360" w:lineRule="auto"/>
              <w:rPr>
                <w:rFonts w:ascii="宋体" w:hAnsi="宋体" w:cs="宋体"/>
                <w:sz w:val="24"/>
              </w:rPr>
            </w:pPr>
            <w:r>
              <w:rPr>
                <w:rFonts w:hint="eastAsia" w:ascii="宋体" w:hAnsi="宋体" w:cs="宋体"/>
                <w:sz w:val="24"/>
              </w:rPr>
              <w:t>需要补充的其他内容：</w:t>
            </w:r>
          </w:p>
        </w:tc>
        <w:tc>
          <w:tcPr>
            <w:tcW w:w="6248" w:type="dxa"/>
            <w:tcBorders>
              <w:top w:val="single" w:color="auto" w:sz="4" w:space="0"/>
              <w:left w:val="single" w:color="auto" w:sz="4" w:space="0"/>
              <w:bottom w:val="single" w:color="auto" w:sz="4" w:space="0"/>
              <w:right w:val="single" w:color="auto" w:sz="4" w:space="0"/>
            </w:tcBorders>
            <w:noWrap/>
            <w:vAlign w:val="center"/>
          </w:tcPr>
          <w:p w14:paraId="6800622C">
            <w:pPr>
              <w:spacing w:line="360" w:lineRule="auto"/>
              <w:rPr>
                <w:rFonts w:ascii="宋体" w:hAnsi="宋体" w:cs="宋体"/>
                <w:sz w:val="24"/>
              </w:rPr>
            </w:pPr>
            <w:r>
              <w:rPr>
                <w:rFonts w:hint="eastAsia" w:ascii="宋体" w:hAnsi="宋体" w:cs="宋体"/>
                <w:sz w:val="24"/>
              </w:rPr>
              <w:t>1、招标文件的最终解释权归招标人；</w:t>
            </w:r>
          </w:p>
          <w:p w14:paraId="4B9355DC">
            <w:pPr>
              <w:spacing w:line="360" w:lineRule="auto"/>
              <w:rPr>
                <w:rFonts w:ascii="宋体" w:hAnsi="宋体" w:cs="宋体"/>
                <w:sz w:val="24"/>
              </w:rPr>
            </w:pPr>
            <w:r>
              <w:rPr>
                <w:rFonts w:hint="eastAsia" w:ascii="宋体" w:hAnsi="宋体" w:cs="宋体"/>
                <w:sz w:val="24"/>
              </w:rPr>
              <w:t>2、其它未尽事宜，按国家有关法律、法规执行。</w:t>
            </w:r>
          </w:p>
          <w:p w14:paraId="10CD5B9A">
            <w:pPr>
              <w:spacing w:line="360" w:lineRule="auto"/>
              <w:rPr>
                <w:rFonts w:ascii="宋体" w:hAnsi="宋体" w:cs="宋体"/>
                <w:sz w:val="24"/>
              </w:rPr>
            </w:pPr>
            <w:r>
              <w:rPr>
                <w:rFonts w:hint="eastAsia" w:ascii="宋体" w:hAnsi="宋体" w:cs="宋体"/>
                <w:sz w:val="24"/>
              </w:rPr>
              <w:t>3、技术咨询电话：0398-3117871</w:t>
            </w:r>
          </w:p>
          <w:p w14:paraId="2BB730CC">
            <w:pPr>
              <w:spacing w:line="360" w:lineRule="auto"/>
              <w:jc w:val="left"/>
              <w:rPr>
                <w:rFonts w:ascii="宋体" w:hAnsi="宋体"/>
              </w:rPr>
            </w:pPr>
            <w:r>
              <w:rPr>
                <w:rFonts w:hint="eastAsia" w:ascii="宋体" w:hAnsi="宋体" w:cs="宋体"/>
                <w:sz w:val="24"/>
              </w:rPr>
              <w:t>4</w:t>
            </w:r>
            <w:r>
              <w:rPr>
                <w:rFonts w:hint="eastAsia" w:ascii="宋体" w:hAnsi="宋体" w:cs="宋体"/>
                <w:sz w:val="24"/>
                <w:szCs w:val="22"/>
              </w:rPr>
              <w:t>、本次采购标的对应的中小企业划分标准所属行业界定标准参考国家统计局关于印发《统计上大中小微型企业划分办法（2017）》的通知，本项目所属行业为建筑业。</w:t>
            </w:r>
          </w:p>
        </w:tc>
      </w:tr>
      <w:tr w14:paraId="46939E0F">
        <w:tblPrEx>
          <w:tblCellMar>
            <w:top w:w="0" w:type="dxa"/>
            <w:left w:w="108" w:type="dxa"/>
            <w:bottom w:w="0" w:type="dxa"/>
            <w:right w:w="108" w:type="dxa"/>
          </w:tblCellMar>
        </w:tblPrEx>
        <w:trPr>
          <w:trHeight w:val="633" w:hRule="atLeast"/>
          <w:jc w:val="center"/>
        </w:trPr>
        <w:tc>
          <w:tcPr>
            <w:tcW w:w="987" w:type="dxa"/>
            <w:tcBorders>
              <w:top w:val="single" w:color="auto" w:sz="4" w:space="0"/>
              <w:left w:val="single" w:color="auto" w:sz="4" w:space="0"/>
              <w:bottom w:val="single" w:color="auto" w:sz="4" w:space="0"/>
              <w:right w:val="single" w:color="auto" w:sz="4" w:space="0"/>
            </w:tcBorders>
            <w:noWrap/>
            <w:vAlign w:val="center"/>
          </w:tcPr>
          <w:p w14:paraId="43033D66">
            <w:pPr>
              <w:spacing w:line="360" w:lineRule="auto"/>
              <w:jc w:val="center"/>
              <w:rPr>
                <w:rFonts w:ascii="宋体" w:hAnsi="宋体" w:cs="宋体"/>
                <w:sz w:val="24"/>
              </w:rPr>
            </w:pPr>
            <w:r>
              <w:rPr>
                <w:rFonts w:hint="eastAsia" w:ascii="宋体" w:hAnsi="宋体" w:cs="宋体"/>
                <w:sz w:val="24"/>
              </w:rPr>
              <w:t>38</w:t>
            </w:r>
          </w:p>
        </w:tc>
        <w:tc>
          <w:tcPr>
            <w:tcW w:w="8905" w:type="dxa"/>
            <w:gridSpan w:val="2"/>
            <w:tcBorders>
              <w:top w:val="single" w:color="auto" w:sz="4" w:space="0"/>
              <w:left w:val="single" w:color="auto" w:sz="4" w:space="0"/>
              <w:bottom w:val="single" w:color="auto" w:sz="4" w:space="0"/>
              <w:right w:val="single" w:color="auto" w:sz="4" w:space="0"/>
            </w:tcBorders>
            <w:noWrap/>
            <w:vAlign w:val="center"/>
          </w:tcPr>
          <w:p w14:paraId="320AF835">
            <w:pPr>
              <w:spacing w:line="360" w:lineRule="auto"/>
              <w:rPr>
                <w:rFonts w:ascii="宋体" w:hAnsi="宋体" w:cs="宋体"/>
                <w:sz w:val="24"/>
                <w:szCs w:val="22"/>
              </w:rPr>
            </w:pPr>
            <w:r>
              <w:rPr>
                <w:rFonts w:hint="eastAsia" w:ascii="宋体" w:hAnsi="宋体" w:cs="宋体"/>
                <w:sz w:val="24"/>
                <w:szCs w:val="22"/>
              </w:rPr>
              <w:t>电子化交易注意事项：</w:t>
            </w:r>
          </w:p>
          <w:p w14:paraId="0027C756">
            <w:pPr>
              <w:spacing w:line="360" w:lineRule="auto"/>
              <w:ind w:firstLine="573"/>
              <w:rPr>
                <w:rFonts w:ascii="宋体" w:hAnsi="宋体" w:cs="宋体"/>
                <w:sz w:val="24"/>
                <w:szCs w:val="22"/>
              </w:rPr>
            </w:pPr>
            <w:r>
              <w:rPr>
                <w:rFonts w:hint="eastAsia" w:ascii="宋体" w:hAnsi="宋体" w:cs="宋体"/>
                <w:sz w:val="24"/>
                <w:szCs w:val="22"/>
              </w:rPr>
              <w:t>本项目为电子化、无纸化交易项目，投标文件是供应商、供应商（以下简称“供应商”）通过中心投标文件制作系统制作，并经过电子签章和加密后生成的电子版投标文件。供应商投标时，将不再接受任何纸质文件资料。为保证您能投标成功，请需仔细阅读以下条款：</w:t>
            </w:r>
          </w:p>
          <w:p w14:paraId="44966184">
            <w:pPr>
              <w:spacing w:line="360" w:lineRule="auto"/>
              <w:rPr>
                <w:rFonts w:ascii="宋体" w:hAnsi="宋体" w:cs="宋体"/>
                <w:sz w:val="24"/>
                <w:szCs w:val="22"/>
              </w:rPr>
            </w:pPr>
            <w:r>
              <w:rPr>
                <w:rFonts w:hint="eastAsia" w:ascii="宋体" w:hAnsi="宋体" w:cs="宋体"/>
                <w:sz w:val="24"/>
                <w:szCs w:val="22"/>
              </w:rPr>
              <w:t>（一）电子化投标文件的签章</w:t>
            </w:r>
          </w:p>
          <w:p w14:paraId="47B8A80F">
            <w:pPr>
              <w:spacing w:line="360" w:lineRule="auto"/>
              <w:ind w:firstLine="573"/>
              <w:rPr>
                <w:rFonts w:ascii="宋体" w:hAnsi="宋体" w:cs="宋体"/>
                <w:sz w:val="24"/>
                <w:szCs w:val="22"/>
              </w:rPr>
            </w:pPr>
            <w:r>
              <w:rPr>
                <w:rFonts w:hint="eastAsia" w:ascii="宋体" w:hAnsi="宋体" w:cs="宋体"/>
                <w:sz w:val="24"/>
                <w:szCs w:val="22"/>
              </w:rPr>
              <w:t>1、供应商在生成电子化投标文件后，应对电子化投标文件进行签章，未进行签章的视为无效投标。</w:t>
            </w:r>
          </w:p>
          <w:p w14:paraId="43105F83">
            <w:pPr>
              <w:spacing w:line="360" w:lineRule="auto"/>
              <w:ind w:firstLine="573"/>
              <w:rPr>
                <w:rFonts w:ascii="宋体" w:hAnsi="宋体" w:cs="宋体"/>
                <w:sz w:val="24"/>
                <w:szCs w:val="22"/>
              </w:rPr>
            </w:pPr>
            <w:r>
              <w:rPr>
                <w:rFonts w:hint="eastAsia" w:ascii="宋体" w:hAnsi="宋体" w:cs="宋体"/>
                <w:sz w:val="24"/>
                <w:szCs w:val="22"/>
              </w:rPr>
              <w:t>2、招标文件中要求法定代表人或授权委托人签字或盖章的，供应商在进行电子化投标文件签章时，以签盖法定代表人签章为准。</w:t>
            </w:r>
          </w:p>
          <w:p w14:paraId="27311669">
            <w:pPr>
              <w:spacing w:line="360" w:lineRule="auto"/>
              <w:rPr>
                <w:rFonts w:ascii="宋体" w:hAnsi="宋体" w:cs="宋体"/>
                <w:sz w:val="24"/>
                <w:szCs w:val="22"/>
              </w:rPr>
            </w:pPr>
            <w:r>
              <w:rPr>
                <w:rFonts w:hint="eastAsia" w:ascii="宋体" w:hAnsi="宋体" w:cs="宋体"/>
                <w:sz w:val="24"/>
                <w:szCs w:val="22"/>
              </w:rPr>
              <w:t>（二）电子化投标文件的格式及上传投标</w:t>
            </w:r>
          </w:p>
          <w:p w14:paraId="1C6851D2">
            <w:pPr>
              <w:spacing w:line="360" w:lineRule="auto"/>
              <w:ind w:firstLine="573"/>
              <w:rPr>
                <w:rFonts w:ascii="宋体" w:hAnsi="宋体" w:cs="宋体"/>
                <w:sz w:val="24"/>
                <w:szCs w:val="22"/>
              </w:rPr>
            </w:pPr>
            <w:r>
              <w:rPr>
                <w:rFonts w:hint="eastAsia" w:ascii="宋体" w:hAnsi="宋体" w:cs="宋体"/>
                <w:sz w:val="24"/>
                <w:szCs w:val="22"/>
              </w:rPr>
              <w:t>1、供应商所上传的电子化投标文件，应是通过中心投标文件制作系统制作的，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7B0DD058">
            <w:pPr>
              <w:spacing w:line="360" w:lineRule="auto"/>
              <w:ind w:firstLine="573"/>
              <w:rPr>
                <w:rFonts w:ascii="宋体" w:hAnsi="宋体" w:cs="宋体"/>
                <w:sz w:val="24"/>
                <w:szCs w:val="22"/>
              </w:rPr>
            </w:pPr>
            <w:r>
              <w:rPr>
                <w:rFonts w:hint="eastAsia" w:ascii="宋体" w:hAnsi="宋体" w:cs="宋体"/>
                <w:sz w:val="24"/>
                <w:szCs w:val="22"/>
              </w:rPr>
              <w:t>注：供应商投报多个标段的，每个标段均要生成独立的电子投标文件。</w:t>
            </w:r>
          </w:p>
          <w:p w14:paraId="32870286">
            <w:pPr>
              <w:spacing w:line="360" w:lineRule="auto"/>
              <w:ind w:firstLine="573"/>
              <w:rPr>
                <w:rFonts w:ascii="宋体" w:hAnsi="宋体" w:cs="宋体"/>
                <w:sz w:val="24"/>
                <w:szCs w:val="22"/>
              </w:rPr>
            </w:pPr>
            <w:r>
              <w:rPr>
                <w:rFonts w:hint="eastAsia" w:ascii="宋体" w:hAnsi="宋体" w:cs="宋体"/>
                <w:sz w:val="24"/>
                <w:szCs w:val="22"/>
              </w:rPr>
              <w:t>2、电子化投标文件应在投标截止时间前成功上传至三门峡市公共资源电子化交易系统。至投标截止时间止，仍未上传成功的电子化投标文件将不予接收。</w:t>
            </w:r>
          </w:p>
          <w:p w14:paraId="430E600B">
            <w:pPr>
              <w:spacing w:line="360" w:lineRule="auto"/>
              <w:ind w:firstLine="573"/>
              <w:rPr>
                <w:rFonts w:ascii="宋体" w:hAnsi="宋体" w:cs="宋体"/>
                <w:sz w:val="24"/>
                <w:szCs w:val="22"/>
              </w:rPr>
            </w:pPr>
            <w:r>
              <w:rPr>
                <w:rFonts w:hint="eastAsia" w:ascii="宋体" w:hAnsi="宋体" w:cs="宋体"/>
                <w:sz w:val="24"/>
                <w:szCs w:val="22"/>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技术联系电话：0398-3117871</w:t>
            </w:r>
          </w:p>
          <w:p w14:paraId="3104E81D">
            <w:pPr>
              <w:spacing w:line="360" w:lineRule="auto"/>
              <w:rPr>
                <w:rFonts w:ascii="宋体" w:hAnsi="宋体" w:cs="宋体"/>
                <w:sz w:val="24"/>
                <w:szCs w:val="22"/>
              </w:rPr>
            </w:pPr>
            <w:r>
              <w:rPr>
                <w:rFonts w:hint="eastAsia" w:ascii="宋体" w:hAnsi="宋体" w:cs="宋体"/>
                <w:sz w:val="24"/>
                <w:szCs w:val="22"/>
              </w:rPr>
              <w:t>（三）电子化项目开标、解密、唱标、评标</w:t>
            </w:r>
          </w:p>
          <w:p w14:paraId="722D83B0">
            <w:pPr>
              <w:spacing w:line="360" w:lineRule="auto"/>
              <w:ind w:firstLine="573"/>
              <w:jc w:val="left"/>
              <w:rPr>
                <w:rFonts w:ascii="宋体" w:hAnsi="宋体" w:cs="宋体"/>
                <w:sz w:val="24"/>
                <w:szCs w:val="22"/>
              </w:rPr>
            </w:pPr>
            <w:r>
              <w:rPr>
                <w:rFonts w:hint="eastAsia" w:ascii="宋体" w:hAnsi="宋体" w:cs="宋体"/>
                <w:sz w:val="24"/>
                <w:szCs w:val="22"/>
              </w:rPr>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517E3D42">
            <w:pPr>
              <w:spacing w:line="360" w:lineRule="auto"/>
              <w:ind w:firstLine="573"/>
              <w:rPr>
                <w:rFonts w:ascii="宋体" w:hAnsi="宋体" w:cs="宋体"/>
                <w:sz w:val="24"/>
                <w:szCs w:val="22"/>
              </w:rPr>
            </w:pPr>
            <w:r>
              <w:rPr>
                <w:rFonts w:hint="eastAsia" w:ascii="宋体" w:hAnsi="宋体" w:cs="宋体"/>
                <w:sz w:val="24"/>
                <w:szCs w:val="22"/>
              </w:rPr>
              <w:t>2、电子化投标文件采用一次加密方式。开标时，供应商使用供应商CA证书在规定时间内对其电子化投标文件进行解密。每位供应商的解密时间为开标时间起30分钟内，如在规定时间内未完成解密的，其投标文件不予开标、唱标。</w:t>
            </w:r>
          </w:p>
          <w:p w14:paraId="44698C69">
            <w:pPr>
              <w:spacing w:line="360" w:lineRule="auto"/>
              <w:ind w:firstLine="573"/>
              <w:rPr>
                <w:rFonts w:ascii="宋体" w:hAnsi="宋体" w:cs="宋体"/>
                <w:sz w:val="24"/>
                <w:szCs w:val="22"/>
              </w:rPr>
            </w:pPr>
            <w:r>
              <w:rPr>
                <w:rFonts w:hint="eastAsia" w:ascii="宋体" w:hAnsi="宋体" w:cs="宋体"/>
                <w:sz w:val="24"/>
                <w:szCs w:val="22"/>
              </w:rPr>
              <w:t>3、电子化投标文件异常情况的处理</w:t>
            </w:r>
          </w:p>
          <w:p w14:paraId="68511524">
            <w:pPr>
              <w:spacing w:line="360" w:lineRule="auto"/>
              <w:ind w:firstLine="573"/>
              <w:rPr>
                <w:rFonts w:ascii="宋体" w:hAnsi="宋体" w:cs="宋体"/>
                <w:sz w:val="24"/>
                <w:szCs w:val="22"/>
              </w:rPr>
            </w:pPr>
            <w:r>
              <w:rPr>
                <w:rFonts w:hint="eastAsia" w:ascii="宋体" w:hAnsi="宋体" w:cs="宋体"/>
                <w:sz w:val="24"/>
                <w:szCs w:val="22"/>
              </w:rPr>
              <w:t>如出现供应商的电子投标文件无法解密等异常情况，供应商应及时致电中介服务机构说明。投标文件异常，按以下步骤进行处理：</w:t>
            </w:r>
          </w:p>
          <w:p w14:paraId="67BA1B58">
            <w:pPr>
              <w:spacing w:line="360" w:lineRule="auto"/>
              <w:ind w:firstLine="573"/>
              <w:rPr>
                <w:rFonts w:ascii="宋体" w:hAnsi="宋体" w:cs="宋体"/>
                <w:sz w:val="24"/>
                <w:szCs w:val="22"/>
              </w:rPr>
            </w:pPr>
            <w:r>
              <w:rPr>
                <w:rFonts w:hint="eastAsia" w:ascii="宋体" w:hAnsi="宋体" w:cs="宋体"/>
                <w:sz w:val="24"/>
                <w:szCs w:val="22"/>
              </w:rPr>
              <w:t>（1）首先由技术人员进行问题排查。</w:t>
            </w:r>
          </w:p>
          <w:p w14:paraId="1A003F56">
            <w:pPr>
              <w:spacing w:line="360" w:lineRule="auto"/>
              <w:ind w:firstLine="573"/>
              <w:rPr>
                <w:rFonts w:ascii="宋体" w:hAnsi="宋体" w:cs="宋体"/>
                <w:sz w:val="24"/>
                <w:szCs w:val="22"/>
              </w:rPr>
            </w:pPr>
            <w:r>
              <w:rPr>
                <w:rFonts w:hint="eastAsia" w:ascii="宋体" w:hAnsi="宋体" w:cs="宋体"/>
                <w:sz w:val="24"/>
                <w:szCs w:val="22"/>
              </w:rPr>
              <w:t>（2）经技术人员排查后，是供应商文件自身问题导致投标文件无法解密的，该投标文件将不予接收、解密和唱标。开标会议继续进行。</w:t>
            </w:r>
          </w:p>
          <w:p w14:paraId="48D3F294">
            <w:pPr>
              <w:spacing w:line="360" w:lineRule="auto"/>
              <w:ind w:firstLine="573"/>
              <w:rPr>
                <w:rFonts w:ascii="宋体" w:hAnsi="宋体" w:cs="宋体"/>
                <w:sz w:val="24"/>
                <w:szCs w:val="22"/>
              </w:rPr>
            </w:pPr>
            <w:r>
              <w:rPr>
                <w:rFonts w:hint="eastAsia" w:ascii="宋体" w:hAnsi="宋体" w:cs="宋体"/>
                <w:sz w:val="24"/>
                <w:szCs w:val="22"/>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D231A54">
            <w:pPr>
              <w:spacing w:line="360" w:lineRule="auto"/>
              <w:ind w:firstLine="573"/>
              <w:rPr>
                <w:rFonts w:ascii="宋体" w:hAnsi="宋体" w:cs="宋体"/>
                <w:sz w:val="24"/>
                <w:szCs w:val="22"/>
              </w:rPr>
            </w:pPr>
            <w:r>
              <w:rPr>
                <w:rFonts w:hint="eastAsia" w:ascii="宋体" w:hAnsi="宋体" w:cs="宋体"/>
                <w:sz w:val="24"/>
                <w:szCs w:val="22"/>
              </w:rPr>
              <w:t>4、待所有供应商投标文件解密完成后，由中介服务机构操作，对所有已解密投标文件进行唱标。</w:t>
            </w:r>
          </w:p>
          <w:p w14:paraId="6578D7DB">
            <w:pPr>
              <w:spacing w:line="360" w:lineRule="auto"/>
              <w:ind w:firstLine="573"/>
              <w:rPr>
                <w:rFonts w:ascii="宋体" w:hAnsi="宋体" w:cs="宋体"/>
                <w:sz w:val="24"/>
                <w:szCs w:val="22"/>
              </w:rPr>
            </w:pPr>
            <w:r>
              <w:rPr>
                <w:rFonts w:hint="eastAsia" w:ascii="宋体" w:hAnsi="宋体" w:cs="宋体"/>
                <w:sz w:val="24"/>
                <w:szCs w:val="22"/>
              </w:rPr>
              <w:t>供应商应保证在开标期间电话、电脑、网络能够正常工作，供应商因停电、电脑病毒、网络堵塞等原因，未在规定的解密时间内对投标文件进行解密的，其投标文件不予接收、唱标。</w:t>
            </w:r>
          </w:p>
          <w:p w14:paraId="648B7F5F">
            <w:pPr>
              <w:spacing w:line="360" w:lineRule="auto"/>
              <w:ind w:firstLine="573"/>
              <w:rPr>
                <w:rFonts w:ascii="宋体" w:hAnsi="宋体" w:cs="宋体"/>
                <w:sz w:val="24"/>
                <w:szCs w:val="22"/>
              </w:rPr>
            </w:pPr>
            <w:r>
              <w:rPr>
                <w:rFonts w:hint="eastAsia" w:ascii="宋体" w:hAnsi="宋体" w:cs="宋体"/>
                <w:sz w:val="24"/>
                <w:szCs w:val="22"/>
              </w:rPr>
              <w:t>5、开标时供应商可登录到交易系统中在开标大厅中点击开标一览表查看自己的投标报价。如对自己的唱标内容有异议的，应在唱标内容显示后10分钟内向中介服务机构质疑。供应商未在规定时间内提出质疑的，视为认可唱标内容。</w:t>
            </w:r>
          </w:p>
          <w:p w14:paraId="63DED35F">
            <w:pPr>
              <w:spacing w:line="360" w:lineRule="auto"/>
              <w:ind w:firstLine="573"/>
              <w:rPr>
                <w:rFonts w:ascii="宋体" w:hAnsi="宋体" w:cs="宋体"/>
                <w:sz w:val="24"/>
                <w:szCs w:val="22"/>
              </w:rPr>
            </w:pPr>
            <w:r>
              <w:rPr>
                <w:rFonts w:hint="eastAsia" w:ascii="宋体" w:hAnsi="宋体" w:cs="宋体"/>
                <w:sz w:val="24"/>
                <w:szCs w:val="22"/>
              </w:rPr>
              <w:t>6、评标时，评标委员会对电子化投标文件有质疑的，将通过电子化交易系统对供应商发起质疑，并在监督人员的监督下，用免提模式致电需要答复的供应商进行详细质询。质疑回复内容确认后，供应商的回复文件必须以经过供应商和其法定代表人签章的PDF格式文件为准，并通过电子化交易系统提交至评标委员会。</w:t>
            </w:r>
          </w:p>
          <w:p w14:paraId="2562D5F6">
            <w:pPr>
              <w:spacing w:line="360" w:lineRule="auto"/>
              <w:ind w:firstLine="573"/>
              <w:rPr>
                <w:rFonts w:ascii="宋体" w:hAnsi="宋体" w:cs="宋体"/>
                <w:sz w:val="24"/>
                <w:szCs w:val="22"/>
              </w:rPr>
            </w:pPr>
            <w:r>
              <w:rPr>
                <w:rFonts w:hint="eastAsia" w:ascii="宋体" w:hAnsi="宋体" w:cs="宋体"/>
                <w:sz w:val="24"/>
                <w:szCs w:val="22"/>
              </w:rPr>
              <w:t>7、如评标委员会对需要回复的供应商连续三次致电未接通的，视为供应商放弃回复，评标委员会将自行对需要回复的内容进行认定。</w:t>
            </w:r>
          </w:p>
          <w:p w14:paraId="7FD72E98">
            <w:pPr>
              <w:spacing w:line="360" w:lineRule="auto"/>
              <w:ind w:firstLine="573"/>
              <w:rPr>
                <w:rFonts w:ascii="宋体" w:hAnsi="宋体" w:cs="宋体"/>
                <w:sz w:val="24"/>
                <w:szCs w:val="22"/>
              </w:rPr>
            </w:pPr>
            <w:r>
              <w:rPr>
                <w:rFonts w:hint="eastAsia" w:ascii="宋体" w:hAnsi="宋体" w:cs="宋体"/>
                <w:sz w:val="24"/>
                <w:szCs w:val="22"/>
              </w:rPr>
              <w:t>提示：本项目为电子化、无纸化交易项目，投标人时不再接受任何纸质资料，为保证您能投标成功，请需仔细阅读以上条款。</w:t>
            </w:r>
          </w:p>
        </w:tc>
      </w:tr>
    </w:tbl>
    <w:p w14:paraId="78239F93">
      <w:pPr>
        <w:spacing w:line="360" w:lineRule="auto"/>
        <w:rPr>
          <w:rFonts w:ascii="宋体" w:hAnsi="宋体" w:cs="宋体"/>
          <w:b/>
          <w:bCs/>
          <w:sz w:val="24"/>
        </w:rPr>
      </w:pPr>
    </w:p>
    <w:p w14:paraId="46D42867">
      <w:pPr>
        <w:spacing w:line="360" w:lineRule="auto"/>
        <w:rPr>
          <w:rFonts w:ascii="宋体" w:hAnsi="宋体" w:cs="宋体"/>
          <w:b/>
          <w:bCs/>
          <w:sz w:val="24"/>
        </w:rPr>
      </w:pPr>
      <w:r>
        <w:rPr>
          <w:rFonts w:hint="eastAsia" w:ascii="宋体" w:hAnsi="宋体" w:cs="宋体"/>
          <w:b/>
          <w:bCs/>
          <w:sz w:val="24"/>
        </w:rPr>
        <w:t>1、适用范围</w:t>
      </w:r>
    </w:p>
    <w:p w14:paraId="670C0782">
      <w:pPr>
        <w:spacing w:line="360" w:lineRule="auto"/>
        <w:ind w:firstLine="480" w:firstLineChars="200"/>
        <w:rPr>
          <w:rFonts w:ascii="宋体" w:hAnsi="宋体" w:cs="宋体"/>
          <w:sz w:val="24"/>
        </w:rPr>
      </w:pPr>
      <w:r>
        <w:rPr>
          <w:rFonts w:hint="eastAsia" w:ascii="宋体" w:hAnsi="宋体" w:cs="宋体"/>
          <w:sz w:val="24"/>
        </w:rPr>
        <w:t>本竞争性磋商文件仅适用于本次竞争性磋商文件竞争性磋商公告中的所叙述的内容。</w:t>
      </w:r>
    </w:p>
    <w:p w14:paraId="6C330CBF">
      <w:pPr>
        <w:spacing w:line="360" w:lineRule="auto"/>
        <w:rPr>
          <w:rFonts w:ascii="宋体" w:hAnsi="宋体" w:cs="宋体"/>
          <w:b/>
          <w:bCs/>
          <w:sz w:val="24"/>
        </w:rPr>
      </w:pPr>
      <w:r>
        <w:rPr>
          <w:rFonts w:hint="eastAsia" w:ascii="宋体" w:hAnsi="宋体" w:cs="宋体"/>
          <w:b/>
          <w:bCs/>
          <w:sz w:val="24"/>
        </w:rPr>
        <w:t>2、合格的供应商</w:t>
      </w:r>
    </w:p>
    <w:p w14:paraId="40F21684">
      <w:pPr>
        <w:spacing w:line="360" w:lineRule="auto"/>
        <w:ind w:firstLine="480" w:firstLineChars="200"/>
        <w:rPr>
          <w:rFonts w:ascii="宋体" w:hAnsi="宋体" w:cs="宋体"/>
          <w:sz w:val="24"/>
        </w:rPr>
      </w:pPr>
      <w:r>
        <w:rPr>
          <w:rFonts w:hint="eastAsia" w:ascii="宋体" w:hAnsi="宋体" w:cs="宋体"/>
          <w:sz w:val="24"/>
        </w:rPr>
        <w:t>符合供应商须知前附表11项。</w:t>
      </w:r>
    </w:p>
    <w:p w14:paraId="082EF8D4">
      <w:pPr>
        <w:spacing w:line="360" w:lineRule="auto"/>
        <w:rPr>
          <w:rFonts w:ascii="宋体" w:hAnsi="宋体" w:cs="宋体"/>
          <w:b/>
          <w:bCs/>
          <w:sz w:val="24"/>
        </w:rPr>
      </w:pPr>
      <w:r>
        <w:rPr>
          <w:rFonts w:hint="eastAsia" w:ascii="宋体" w:hAnsi="宋体" w:cs="宋体"/>
          <w:b/>
          <w:bCs/>
          <w:sz w:val="24"/>
        </w:rPr>
        <w:t>3. 其他</w:t>
      </w:r>
    </w:p>
    <w:p w14:paraId="32EF7DB2">
      <w:pPr>
        <w:spacing w:line="360" w:lineRule="auto"/>
        <w:ind w:firstLine="480" w:firstLineChars="200"/>
        <w:rPr>
          <w:rFonts w:ascii="宋体" w:hAnsi="宋体" w:cs="宋体"/>
          <w:sz w:val="24"/>
        </w:rPr>
      </w:pPr>
      <w:r>
        <w:rPr>
          <w:rFonts w:hint="eastAsia" w:ascii="宋体" w:hAnsi="宋体" w:cs="宋体"/>
          <w:sz w:val="24"/>
        </w:rPr>
        <w:t>3.1 无论磋商中的做法和结果如何，供应商均应自行承担所有与参与磋商活动有关的全部费用。</w:t>
      </w:r>
    </w:p>
    <w:p w14:paraId="0E1E64CC">
      <w:pPr>
        <w:spacing w:line="360" w:lineRule="auto"/>
        <w:ind w:firstLine="480" w:firstLineChars="200"/>
        <w:rPr>
          <w:rFonts w:ascii="宋体" w:hAnsi="宋体" w:cs="宋体"/>
          <w:sz w:val="24"/>
        </w:rPr>
      </w:pPr>
      <w:r>
        <w:rPr>
          <w:rFonts w:hint="eastAsia" w:ascii="宋体" w:hAnsi="宋体" w:cs="宋体"/>
          <w:sz w:val="24"/>
        </w:rPr>
        <w:t>3.2 无论磋商结果如何，采购人均无向供应商解释其成交或未成交原因的义务。</w:t>
      </w:r>
    </w:p>
    <w:p w14:paraId="6FCED54C">
      <w:pPr>
        <w:spacing w:line="360" w:lineRule="auto"/>
        <w:ind w:firstLine="480" w:firstLineChars="200"/>
        <w:rPr>
          <w:rFonts w:ascii="宋体" w:hAnsi="宋体" w:cs="宋体"/>
          <w:sz w:val="24"/>
        </w:rPr>
      </w:pPr>
      <w:r>
        <w:rPr>
          <w:rFonts w:hint="eastAsia" w:ascii="宋体" w:hAnsi="宋体" w:cs="宋体"/>
          <w:sz w:val="24"/>
        </w:rPr>
        <w:t>3.3 无论成交与否，已购买竞争性磋商文件的供应商对竞争性磋商文件负保密责任。</w:t>
      </w:r>
    </w:p>
    <w:p w14:paraId="473D0245">
      <w:pPr>
        <w:spacing w:line="360" w:lineRule="auto"/>
        <w:rPr>
          <w:rFonts w:ascii="宋体" w:hAnsi="宋体" w:cs="宋体"/>
          <w:b/>
          <w:bCs/>
          <w:sz w:val="24"/>
        </w:rPr>
      </w:pPr>
      <w:r>
        <w:rPr>
          <w:rFonts w:hint="eastAsia" w:ascii="宋体" w:hAnsi="宋体" w:cs="宋体"/>
          <w:b/>
          <w:bCs/>
          <w:sz w:val="24"/>
        </w:rPr>
        <w:t>4、竞争性磋商文件的组成</w:t>
      </w:r>
    </w:p>
    <w:p w14:paraId="39C01B0E">
      <w:pPr>
        <w:spacing w:line="360" w:lineRule="auto"/>
        <w:ind w:firstLine="480" w:firstLineChars="200"/>
        <w:rPr>
          <w:rFonts w:ascii="宋体" w:hAnsi="宋体" w:cs="宋体"/>
          <w:b/>
          <w:bCs/>
          <w:sz w:val="24"/>
        </w:rPr>
      </w:pPr>
      <w:r>
        <w:rPr>
          <w:rFonts w:hint="eastAsia" w:ascii="宋体" w:hAnsi="宋体" w:cs="宋体"/>
          <w:sz w:val="24"/>
        </w:rPr>
        <w:t>4.1 竞争性磋商文件用于阐明采购项目的服务范围、磋商程序、磋商内容、合同草签和条款以及评定成交的标准。具体包括以下内容：</w:t>
      </w:r>
    </w:p>
    <w:p w14:paraId="79907E01">
      <w:pPr>
        <w:spacing w:line="360" w:lineRule="auto"/>
        <w:ind w:firstLine="480" w:firstLineChars="200"/>
        <w:rPr>
          <w:rFonts w:ascii="宋体" w:hAnsi="宋体" w:cs="宋体"/>
          <w:sz w:val="24"/>
        </w:rPr>
      </w:pPr>
      <w:r>
        <w:rPr>
          <w:rFonts w:hint="eastAsia" w:ascii="宋体" w:hAnsi="宋体" w:cs="宋体"/>
          <w:sz w:val="24"/>
        </w:rPr>
        <w:t>（1）竞争性磋商公告</w:t>
      </w:r>
    </w:p>
    <w:p w14:paraId="4E624A8E">
      <w:pPr>
        <w:spacing w:line="360" w:lineRule="auto"/>
        <w:ind w:firstLine="480" w:firstLineChars="200"/>
        <w:rPr>
          <w:rFonts w:ascii="宋体" w:hAnsi="宋体" w:cs="宋体"/>
          <w:sz w:val="24"/>
        </w:rPr>
      </w:pPr>
      <w:r>
        <w:rPr>
          <w:rFonts w:hint="eastAsia" w:ascii="宋体" w:hAnsi="宋体" w:cs="宋体"/>
          <w:sz w:val="24"/>
        </w:rPr>
        <w:t>（2）供应商须知</w:t>
      </w:r>
    </w:p>
    <w:p w14:paraId="10A4AA41">
      <w:pPr>
        <w:spacing w:line="360" w:lineRule="auto"/>
        <w:ind w:firstLine="480" w:firstLineChars="200"/>
        <w:rPr>
          <w:rFonts w:ascii="宋体" w:hAnsi="宋体" w:cs="宋体"/>
          <w:sz w:val="24"/>
        </w:rPr>
      </w:pPr>
      <w:r>
        <w:rPr>
          <w:rFonts w:hint="eastAsia" w:ascii="宋体" w:hAnsi="宋体" w:cs="宋体"/>
          <w:sz w:val="24"/>
        </w:rPr>
        <w:t>（3）工程量清单及图纸</w:t>
      </w:r>
    </w:p>
    <w:p w14:paraId="65C5BB20">
      <w:pPr>
        <w:spacing w:line="360" w:lineRule="auto"/>
        <w:ind w:firstLine="480" w:firstLineChars="200"/>
        <w:rPr>
          <w:rFonts w:ascii="宋体" w:hAnsi="宋体" w:cs="宋体"/>
          <w:sz w:val="24"/>
        </w:rPr>
      </w:pPr>
      <w:r>
        <w:rPr>
          <w:rFonts w:hint="eastAsia" w:ascii="宋体" w:hAnsi="宋体" w:cs="宋体"/>
          <w:sz w:val="24"/>
        </w:rPr>
        <w:t>（4）评审办法</w:t>
      </w:r>
    </w:p>
    <w:p w14:paraId="1A4E684B">
      <w:pPr>
        <w:spacing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z w:val="24"/>
          <w:lang w:val="zh-CN"/>
        </w:rPr>
        <w:t>合同协议书</w:t>
      </w:r>
    </w:p>
    <w:p w14:paraId="16DB7EDB">
      <w:pPr>
        <w:spacing w:line="360" w:lineRule="auto"/>
        <w:ind w:firstLine="480" w:firstLineChars="200"/>
        <w:rPr>
          <w:rFonts w:ascii="宋体" w:hAnsi="宋体" w:cs="宋体"/>
          <w:sz w:val="24"/>
        </w:rPr>
      </w:pPr>
      <w:r>
        <w:rPr>
          <w:rFonts w:hint="eastAsia" w:ascii="宋体" w:hAnsi="宋体" w:cs="宋体"/>
          <w:sz w:val="24"/>
        </w:rPr>
        <w:t>（6）响应性文件格式</w:t>
      </w:r>
    </w:p>
    <w:p w14:paraId="761CA4C4">
      <w:pPr>
        <w:spacing w:line="360" w:lineRule="auto"/>
        <w:ind w:firstLine="480" w:firstLineChars="200"/>
        <w:rPr>
          <w:rFonts w:ascii="宋体" w:hAnsi="宋体" w:cs="宋体"/>
          <w:sz w:val="24"/>
        </w:rPr>
      </w:pPr>
      <w:r>
        <w:rPr>
          <w:rFonts w:hint="eastAsia" w:ascii="宋体" w:hAnsi="宋体" w:cs="宋体"/>
          <w:sz w:val="24"/>
        </w:rPr>
        <w:t>4.2 竞争性磋商文件以中文编辑，且以中文为准。</w:t>
      </w:r>
    </w:p>
    <w:p w14:paraId="647A800A">
      <w:pPr>
        <w:spacing w:line="360" w:lineRule="auto"/>
        <w:ind w:firstLine="480" w:firstLineChars="200"/>
        <w:rPr>
          <w:rFonts w:ascii="宋体" w:hAnsi="宋体" w:cs="宋体"/>
          <w:sz w:val="24"/>
        </w:rPr>
      </w:pPr>
      <w:r>
        <w:rPr>
          <w:rFonts w:hint="eastAsia" w:ascii="宋体" w:hAnsi="宋体" w:cs="宋体"/>
          <w:sz w:val="24"/>
        </w:rPr>
        <w:t>4.3 除非有特殊要求，竞争性磋商文件不单独提供项目所在地的自然环境、气候条件、公用设施等情况，供应商被视为熟悉上述与履行合同有关的一切情况。</w:t>
      </w:r>
    </w:p>
    <w:p w14:paraId="676BBDD4">
      <w:pPr>
        <w:spacing w:line="360" w:lineRule="auto"/>
        <w:ind w:firstLine="480" w:firstLineChars="200"/>
        <w:rPr>
          <w:rFonts w:ascii="宋体" w:hAnsi="宋体" w:cs="宋体"/>
          <w:sz w:val="24"/>
        </w:rPr>
      </w:pPr>
      <w:r>
        <w:rPr>
          <w:rFonts w:hint="eastAsia" w:ascii="宋体" w:hAnsi="宋体" w:cs="宋体"/>
          <w:sz w:val="24"/>
        </w:rPr>
        <w:t>4.4 竞争性磋商文件的澄清和修改</w:t>
      </w:r>
    </w:p>
    <w:p w14:paraId="6D1818D2">
      <w:pPr>
        <w:spacing w:line="360" w:lineRule="auto"/>
        <w:ind w:firstLine="480" w:firstLineChars="200"/>
        <w:rPr>
          <w:rFonts w:ascii="宋体" w:hAnsi="宋体" w:cs="宋体"/>
          <w:sz w:val="24"/>
        </w:rPr>
      </w:pPr>
      <w:r>
        <w:rPr>
          <w:rFonts w:hint="eastAsia" w:ascii="宋体" w:hAnsi="宋体" w:cs="宋体"/>
          <w:sz w:val="24"/>
        </w:rPr>
        <w:t>4.4.1</w:t>
      </w:r>
      <w:r>
        <w:rPr>
          <w:rFonts w:ascii="宋体" w:hAnsi="宋体" w:cs="宋体"/>
          <w:sz w:val="24"/>
        </w:rPr>
        <w:t>投标人</w:t>
      </w:r>
      <w:r>
        <w:rPr>
          <w:rFonts w:hint="eastAsia" w:ascii="宋体" w:hAnsi="宋体" w:cs="宋体"/>
          <w:sz w:val="24"/>
        </w:rPr>
        <w:t>在下载磋商文件后，</w:t>
      </w:r>
      <w:r>
        <w:rPr>
          <w:rFonts w:ascii="宋体" w:hAnsi="宋体" w:cs="宋体"/>
          <w:sz w:val="24"/>
        </w:rPr>
        <w:t>应仔细阅读和检查竞争性磋商文件的全部内容。如发现内容不完整或附件不全，</w:t>
      </w:r>
      <w:r>
        <w:rPr>
          <w:rFonts w:hint="eastAsia" w:ascii="宋体" w:hAnsi="宋体" w:cs="宋体"/>
          <w:sz w:val="24"/>
        </w:rPr>
        <w:t>应在递交竞争性磋商响应文件截止之日3日前</w:t>
      </w:r>
      <w:r>
        <w:rPr>
          <w:rFonts w:ascii="宋体" w:hAnsi="宋体" w:cs="宋体"/>
          <w:sz w:val="24"/>
        </w:rPr>
        <w:t>在三门峡市公共资源交易系统中提出质询，要求招标人对竞争性磋商文件予以澄清。</w:t>
      </w:r>
    </w:p>
    <w:p w14:paraId="14087238">
      <w:pPr>
        <w:spacing w:line="360" w:lineRule="auto"/>
        <w:ind w:firstLine="480" w:firstLineChars="200"/>
        <w:rPr>
          <w:rFonts w:ascii="宋体" w:hAnsi="宋体" w:cs="宋体"/>
          <w:sz w:val="24"/>
        </w:rPr>
      </w:pPr>
      <w:r>
        <w:rPr>
          <w:rFonts w:hint="eastAsia" w:ascii="宋体" w:hAnsi="宋体" w:cs="宋体"/>
          <w:sz w:val="24"/>
        </w:rPr>
        <w:t>4.4.2</w:t>
      </w:r>
      <w:r>
        <w:rPr>
          <w:rFonts w:ascii="宋体" w:hAnsi="宋体" w:cs="宋体"/>
          <w:sz w:val="24"/>
        </w:rPr>
        <w:t>竞争性磋商文件的澄清以澄清回复的方式在三门峡市公共资源交易系统中回复所有报名完成投标人，但不指明澄清问题的来源。澄清竞争性磋商文件实质性内容且影响响应文件编制的，将相应延长投标截止时间。</w:t>
      </w:r>
    </w:p>
    <w:p w14:paraId="15DF24B9">
      <w:pPr>
        <w:spacing w:line="360" w:lineRule="auto"/>
        <w:ind w:firstLine="480" w:firstLineChars="200"/>
        <w:rPr>
          <w:rFonts w:ascii="宋体" w:hAnsi="宋体" w:cs="宋体"/>
          <w:sz w:val="24"/>
        </w:rPr>
      </w:pPr>
      <w:r>
        <w:rPr>
          <w:rFonts w:hint="eastAsia" w:ascii="宋体" w:hAnsi="宋体" w:cs="宋体"/>
          <w:sz w:val="24"/>
        </w:rPr>
        <w:t>4.4.3如果在规定的时间内投标人未提出疑问，将视为投标人完全理解并接受磋商文件中的资格要求、投标人须知、格式、条款、技术要求、澄清、修改等所有要求，则投标人应按照谈判文件相应要求的要求提交有关资料和文件。</w:t>
      </w:r>
    </w:p>
    <w:p w14:paraId="61A674F5">
      <w:pPr>
        <w:spacing w:line="360" w:lineRule="auto"/>
        <w:ind w:firstLine="480" w:firstLineChars="200"/>
        <w:rPr>
          <w:rFonts w:ascii="宋体" w:hAnsi="宋体" w:cs="宋体"/>
          <w:sz w:val="24"/>
        </w:rPr>
      </w:pPr>
      <w:r>
        <w:rPr>
          <w:rFonts w:hint="eastAsia" w:ascii="宋体" w:hAnsi="宋体" w:cs="宋体"/>
          <w:sz w:val="24"/>
        </w:rPr>
        <w:t>4.4.4磋商文件澄清、修改、补充通知内容均以书面明确的内容为准。当磋商文件、修改补充通知、澄清内容相互矛盾时，以最后发出的通知或修改文件为准。</w:t>
      </w:r>
    </w:p>
    <w:p w14:paraId="030085E1">
      <w:pPr>
        <w:spacing w:line="360" w:lineRule="auto"/>
        <w:ind w:firstLine="480" w:firstLineChars="200"/>
        <w:rPr>
          <w:rFonts w:ascii="宋体" w:hAnsi="宋体" w:cs="宋体"/>
          <w:sz w:val="24"/>
        </w:rPr>
      </w:pPr>
      <w:r>
        <w:rPr>
          <w:rFonts w:hint="eastAsia" w:ascii="宋体" w:hAnsi="宋体" w:cs="宋体"/>
          <w:sz w:val="24"/>
        </w:rPr>
        <w:t>4.4.5</w:t>
      </w:r>
      <w:r>
        <w:rPr>
          <w:rFonts w:ascii="宋体" w:hAnsi="宋体" w:cs="宋体"/>
          <w:sz w:val="24"/>
        </w:rPr>
        <w:t>投标人应自行查看澄清或修改信息。</w:t>
      </w:r>
    </w:p>
    <w:p w14:paraId="07F9B6AF">
      <w:pPr>
        <w:spacing w:line="360" w:lineRule="auto"/>
        <w:ind w:firstLine="482" w:firstLineChars="200"/>
        <w:rPr>
          <w:rFonts w:ascii="宋体" w:hAnsi="宋体" w:cs="宋体"/>
          <w:b/>
          <w:bCs/>
          <w:sz w:val="24"/>
        </w:rPr>
      </w:pPr>
      <w:r>
        <w:rPr>
          <w:rFonts w:hint="eastAsia" w:ascii="宋体" w:hAnsi="宋体" w:cs="宋体"/>
          <w:b/>
          <w:bCs/>
          <w:sz w:val="24"/>
        </w:rPr>
        <w:t>5、响应性文件的组成</w:t>
      </w:r>
    </w:p>
    <w:p w14:paraId="4D003158">
      <w:pPr>
        <w:spacing w:line="360" w:lineRule="auto"/>
        <w:ind w:firstLine="480" w:firstLineChars="200"/>
        <w:rPr>
          <w:rFonts w:ascii="宋体" w:hAnsi="宋体" w:cs="宋体"/>
          <w:sz w:val="24"/>
        </w:rPr>
      </w:pPr>
      <w:r>
        <w:rPr>
          <w:rFonts w:hint="eastAsia" w:ascii="宋体" w:hAnsi="宋体" w:cs="宋体"/>
          <w:sz w:val="24"/>
        </w:rPr>
        <w:t xml:space="preserve">一、报价函 </w:t>
      </w:r>
    </w:p>
    <w:p w14:paraId="02096838">
      <w:pPr>
        <w:spacing w:line="360" w:lineRule="auto"/>
        <w:ind w:firstLine="480" w:firstLineChars="200"/>
        <w:rPr>
          <w:rFonts w:ascii="宋体" w:hAnsi="宋体" w:cs="宋体"/>
          <w:sz w:val="24"/>
        </w:rPr>
      </w:pPr>
      <w:r>
        <w:rPr>
          <w:rFonts w:hint="eastAsia" w:ascii="宋体" w:hAnsi="宋体" w:cs="宋体"/>
          <w:sz w:val="24"/>
        </w:rPr>
        <w:t>二、法定代表人身份证明及授权委托书</w:t>
      </w:r>
    </w:p>
    <w:p w14:paraId="2BE20FA8">
      <w:pPr>
        <w:spacing w:line="360" w:lineRule="auto"/>
        <w:ind w:firstLine="480" w:firstLineChars="200"/>
        <w:rPr>
          <w:rFonts w:ascii="宋体" w:hAnsi="宋体" w:cs="宋体"/>
          <w:sz w:val="24"/>
        </w:rPr>
      </w:pPr>
      <w:r>
        <w:rPr>
          <w:rFonts w:hint="eastAsia" w:ascii="宋体" w:hAnsi="宋体" w:cs="宋体"/>
          <w:sz w:val="24"/>
        </w:rPr>
        <w:t>三、已标价工程量清单</w:t>
      </w:r>
    </w:p>
    <w:p w14:paraId="4DA0C884">
      <w:pPr>
        <w:spacing w:line="360" w:lineRule="auto"/>
        <w:ind w:firstLine="480" w:firstLineChars="200"/>
        <w:rPr>
          <w:rFonts w:ascii="宋体" w:hAnsi="宋体" w:cs="宋体"/>
          <w:sz w:val="24"/>
        </w:rPr>
      </w:pPr>
      <w:r>
        <w:rPr>
          <w:rFonts w:hint="eastAsia" w:ascii="宋体" w:hAnsi="宋体" w:cs="宋体"/>
          <w:sz w:val="24"/>
        </w:rPr>
        <w:t>四、供应商资格审查资料</w:t>
      </w:r>
    </w:p>
    <w:p w14:paraId="42B6ACC7">
      <w:pPr>
        <w:spacing w:line="360" w:lineRule="auto"/>
        <w:ind w:firstLine="480" w:firstLineChars="200"/>
        <w:rPr>
          <w:rFonts w:ascii="宋体" w:hAnsi="宋体" w:cs="宋体"/>
          <w:sz w:val="24"/>
        </w:rPr>
      </w:pPr>
      <w:r>
        <w:rPr>
          <w:rFonts w:hint="eastAsia" w:ascii="宋体" w:hAnsi="宋体" w:cs="宋体"/>
          <w:sz w:val="24"/>
        </w:rPr>
        <w:t>五、施工组织设计</w:t>
      </w:r>
    </w:p>
    <w:p w14:paraId="6AF06C06">
      <w:pPr>
        <w:spacing w:line="360" w:lineRule="auto"/>
        <w:ind w:firstLine="480" w:firstLineChars="200"/>
        <w:rPr>
          <w:rFonts w:ascii="宋体" w:hAnsi="宋体" w:cs="宋体"/>
          <w:sz w:val="24"/>
        </w:rPr>
      </w:pPr>
      <w:r>
        <w:rPr>
          <w:rFonts w:hint="eastAsia" w:ascii="宋体" w:hAnsi="宋体" w:cs="宋体"/>
          <w:sz w:val="24"/>
        </w:rPr>
        <w:t>六、项目管理机构</w:t>
      </w:r>
    </w:p>
    <w:p w14:paraId="6E1E713A">
      <w:pPr>
        <w:spacing w:line="360" w:lineRule="auto"/>
        <w:ind w:firstLine="480" w:firstLineChars="200"/>
        <w:rPr>
          <w:rFonts w:ascii="宋体" w:hAnsi="宋体" w:cs="宋体"/>
          <w:sz w:val="24"/>
        </w:rPr>
      </w:pPr>
      <w:r>
        <w:rPr>
          <w:rFonts w:hint="eastAsia" w:ascii="宋体" w:hAnsi="宋体" w:cs="宋体"/>
          <w:sz w:val="24"/>
        </w:rPr>
        <w:t>七、投标人基本情况</w:t>
      </w:r>
    </w:p>
    <w:p w14:paraId="07E1E2F5">
      <w:pPr>
        <w:spacing w:line="360" w:lineRule="auto"/>
        <w:ind w:firstLine="480" w:firstLineChars="200"/>
        <w:rPr>
          <w:rFonts w:ascii="宋体" w:hAnsi="宋体" w:cs="宋体"/>
          <w:sz w:val="24"/>
        </w:rPr>
      </w:pPr>
      <w:r>
        <w:rPr>
          <w:rFonts w:hint="eastAsia" w:ascii="宋体" w:hAnsi="宋体" w:cs="宋体"/>
          <w:sz w:val="24"/>
        </w:rPr>
        <w:t>八、供应商认为应附的其他证明材料</w:t>
      </w:r>
    </w:p>
    <w:p w14:paraId="3326C11B">
      <w:pPr>
        <w:shd w:val="clear" w:color="auto" w:fill="FFFFFF"/>
        <w:tabs>
          <w:tab w:val="right" w:pos="6077"/>
        </w:tabs>
        <w:autoSpaceDE w:val="0"/>
        <w:autoSpaceDN w:val="0"/>
        <w:spacing w:line="360" w:lineRule="auto"/>
        <w:ind w:firstLine="470" w:firstLineChars="196"/>
        <w:rPr>
          <w:rFonts w:ascii="宋体" w:hAnsi="宋体" w:cs="宋体"/>
          <w:color w:val="000000"/>
          <w:sz w:val="24"/>
        </w:rPr>
      </w:pPr>
      <w:r>
        <w:rPr>
          <w:rFonts w:hint="eastAsia" w:ascii="宋体" w:hAnsi="宋体" w:cs="宋体"/>
          <w:sz w:val="24"/>
        </w:rPr>
        <w:t>供应商应按竞争性磋商文件的要求准备响应性文件，并保证所提供的全部资料的真实性，准确性及完整性，以使其报价对竞争性磋商文件做出实质性的响应，否则其磋商资格有可能被磋商小组否决。</w:t>
      </w:r>
    </w:p>
    <w:p w14:paraId="7DCAF170">
      <w:pPr>
        <w:spacing w:line="360" w:lineRule="auto"/>
        <w:ind w:firstLine="472" w:firstLineChars="196"/>
        <w:rPr>
          <w:rFonts w:ascii="宋体" w:hAnsi="宋体" w:cs="宋体"/>
          <w:b/>
          <w:bCs/>
          <w:sz w:val="24"/>
        </w:rPr>
      </w:pPr>
      <w:r>
        <w:rPr>
          <w:rFonts w:hint="eastAsia" w:ascii="宋体" w:hAnsi="宋体" w:cs="宋体"/>
          <w:b/>
          <w:bCs/>
          <w:sz w:val="24"/>
        </w:rPr>
        <w:t>6、磋商保证金</w:t>
      </w:r>
    </w:p>
    <w:p w14:paraId="2794ACCB">
      <w:pPr>
        <w:spacing w:line="360" w:lineRule="auto"/>
        <w:ind w:firstLine="600" w:firstLineChars="250"/>
        <w:rPr>
          <w:rFonts w:ascii="宋体" w:hAnsi="宋体" w:cs="宋体"/>
          <w:bCs/>
          <w:sz w:val="24"/>
        </w:rPr>
      </w:pPr>
      <w:r>
        <w:rPr>
          <w:rFonts w:hint="eastAsia" w:ascii="宋体" w:hAnsi="宋体" w:cs="宋体"/>
          <w:bCs/>
          <w:sz w:val="24"/>
        </w:rPr>
        <w:t>按照《河南省财政厅关于优化政府采购营商环境有关问题的通知》（豫财购[2019]4号文）的要求本项目不再收取投标保证金。</w:t>
      </w:r>
    </w:p>
    <w:p w14:paraId="058A4653">
      <w:pPr>
        <w:spacing w:line="360" w:lineRule="auto"/>
        <w:ind w:firstLine="472" w:firstLineChars="196"/>
        <w:rPr>
          <w:rFonts w:ascii="宋体" w:hAnsi="宋体" w:cs="宋体"/>
          <w:b/>
          <w:bCs/>
          <w:sz w:val="24"/>
        </w:rPr>
      </w:pPr>
      <w:r>
        <w:rPr>
          <w:rFonts w:hint="eastAsia" w:ascii="宋体" w:hAnsi="宋体" w:cs="宋体"/>
          <w:b/>
          <w:bCs/>
          <w:sz w:val="24"/>
        </w:rPr>
        <w:t>7、磋商报价</w:t>
      </w:r>
    </w:p>
    <w:p w14:paraId="72B67775">
      <w:pPr>
        <w:spacing w:line="360" w:lineRule="auto"/>
        <w:ind w:firstLine="480" w:firstLineChars="200"/>
        <w:rPr>
          <w:rFonts w:ascii="宋体" w:hAnsi="宋体" w:cs="宋体"/>
          <w:bCs/>
          <w:sz w:val="24"/>
        </w:rPr>
      </w:pPr>
      <w:r>
        <w:rPr>
          <w:rFonts w:hint="eastAsia" w:ascii="宋体" w:hAnsi="宋体" w:cs="宋体"/>
          <w:sz w:val="24"/>
        </w:rPr>
        <w:t xml:space="preserve">7.1 </w:t>
      </w:r>
      <w:r>
        <w:rPr>
          <w:rFonts w:ascii="宋体" w:hAnsi="宋体" w:cs="宋体"/>
          <w:sz w:val="24"/>
        </w:rPr>
        <w:t>磋商报价为</w:t>
      </w:r>
      <w:r>
        <w:rPr>
          <w:rFonts w:hint="eastAsia" w:ascii="宋体" w:hAnsi="宋体" w:cs="宋体"/>
          <w:sz w:val="24"/>
        </w:rPr>
        <w:t>竞争性磋商文件及技术规范、施工方案等规定的，实施和完成本工程直至竣工验收合格，及达到质量和工期目标、安全文明、环境保护等要求，正式交付招标人使用前所需的全部费用。</w:t>
      </w:r>
    </w:p>
    <w:p w14:paraId="65F90DF0">
      <w:pPr>
        <w:spacing w:line="360" w:lineRule="auto"/>
        <w:ind w:firstLine="480" w:firstLineChars="200"/>
        <w:rPr>
          <w:rFonts w:ascii="宋体" w:hAnsi="宋体" w:cs="宋体"/>
          <w:sz w:val="24"/>
        </w:rPr>
      </w:pPr>
      <w:r>
        <w:rPr>
          <w:rFonts w:hint="eastAsia" w:ascii="宋体" w:hAnsi="宋体" w:cs="宋体"/>
          <w:sz w:val="24"/>
        </w:rPr>
        <w:t xml:space="preserve">7.2 </w:t>
      </w:r>
      <w:r>
        <w:rPr>
          <w:rFonts w:ascii="宋体" w:hAnsi="宋体" w:cs="宋体"/>
          <w:sz w:val="24"/>
        </w:rPr>
        <w:t>磋商报价是以人民币为单位的综合报价，供应商应根据控制价，结合本项目实际情况，提出不高于控制价的报价。任何有选择性的报价将不予接受，每轮只许有一个报价；</w:t>
      </w:r>
      <w:r>
        <w:rPr>
          <w:rFonts w:hint="eastAsia" w:ascii="宋体" w:hAnsi="宋体" w:cs="宋体"/>
          <w:sz w:val="24"/>
        </w:rPr>
        <w:t>本工程采用工程量清单计价方式，投标人报价根据招标人提供的方案、磋商文件、工程量清单等，充分考虑市场价格、风险因素，在合理范围内自主报价，但不得低于企业实际成本。</w:t>
      </w:r>
    </w:p>
    <w:p w14:paraId="4BC1F7C3">
      <w:pPr>
        <w:spacing w:line="360" w:lineRule="auto"/>
        <w:ind w:firstLine="480" w:firstLineChars="200"/>
        <w:rPr>
          <w:rFonts w:ascii="宋体" w:hAnsi="宋体" w:cs="宋体"/>
          <w:sz w:val="24"/>
        </w:rPr>
      </w:pPr>
      <w:r>
        <w:rPr>
          <w:rFonts w:hint="eastAsia" w:ascii="宋体" w:hAnsi="宋体" w:cs="宋体"/>
          <w:sz w:val="24"/>
        </w:rPr>
        <w:t>7.3投标人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p>
    <w:p w14:paraId="15050082">
      <w:pPr>
        <w:spacing w:line="360" w:lineRule="auto"/>
        <w:ind w:firstLine="480" w:firstLineChars="200"/>
        <w:rPr>
          <w:rFonts w:ascii="宋体" w:hAnsi="宋体" w:cs="宋体"/>
          <w:sz w:val="24"/>
        </w:rPr>
      </w:pPr>
      <w:r>
        <w:rPr>
          <w:rFonts w:hint="eastAsia" w:ascii="宋体" w:hAnsi="宋体" w:cs="宋体"/>
          <w:sz w:val="24"/>
        </w:rPr>
        <w:t>7.4投标人在磋商报价前可踏勘施工现场，充分考虑工地现状条件可能影响到工程正常施工的所有风险因素。无论投标人是否进行了上述现场踏勘工作，其磋商报价中均将被认为已包含有工地现状在施工作业期间发生的全部不可预见的风险费用，投标人成交后则无权因此要求任何工期或费用上的索赔。</w:t>
      </w:r>
    </w:p>
    <w:p w14:paraId="48B62040">
      <w:pPr>
        <w:spacing w:line="360" w:lineRule="auto"/>
        <w:ind w:firstLine="480" w:firstLineChars="200"/>
        <w:rPr>
          <w:rFonts w:ascii="宋体" w:hAnsi="宋体" w:cs="宋体"/>
          <w:sz w:val="24"/>
        </w:rPr>
      </w:pPr>
      <w:r>
        <w:rPr>
          <w:rFonts w:hint="eastAsia" w:ascii="宋体" w:hAnsi="宋体" w:cs="宋体"/>
          <w:sz w:val="24"/>
        </w:rPr>
        <w:t>7.5施工期间由于工程条件发生变化或投标人原因造成施工方案的更改，所增加的措施费用及工期一概不予调整，相应的费用投标人应在谈判报价中充分考虑，招标人不再另行支付。</w:t>
      </w:r>
    </w:p>
    <w:p w14:paraId="12206FF1">
      <w:pPr>
        <w:spacing w:line="360" w:lineRule="auto"/>
        <w:ind w:firstLine="480" w:firstLineChars="200"/>
        <w:rPr>
          <w:rFonts w:ascii="宋体" w:hAnsi="宋体" w:cs="宋体"/>
          <w:sz w:val="24"/>
        </w:rPr>
      </w:pPr>
      <w:r>
        <w:rPr>
          <w:rFonts w:hint="eastAsia" w:ascii="宋体" w:hAnsi="宋体" w:cs="宋体"/>
          <w:sz w:val="24"/>
        </w:rPr>
        <w:t>7.6各投标人作为有经验的承包商，应充分考虑该工程实施时的各种风险，并将其考虑在本次投标报价各清单项目的综合单价中，结算时综合单价不做调整（合同另有约定的除外）；</w:t>
      </w:r>
    </w:p>
    <w:p w14:paraId="40359DCB">
      <w:pPr>
        <w:spacing w:line="360" w:lineRule="auto"/>
        <w:ind w:firstLine="480" w:firstLineChars="200"/>
        <w:rPr>
          <w:rFonts w:ascii="宋体" w:hAnsi="宋体"/>
          <w:sz w:val="24"/>
        </w:rPr>
      </w:pPr>
      <w:r>
        <w:rPr>
          <w:rFonts w:hint="eastAsia" w:ascii="宋体" w:hAnsi="宋体"/>
          <w:sz w:val="24"/>
        </w:rPr>
        <w:t>7.7</w:t>
      </w:r>
      <w:r>
        <w:rPr>
          <w:rFonts w:ascii="宋体" w:hAnsi="宋体"/>
          <w:sz w:val="24"/>
        </w:rPr>
        <w:t>由投标人采购的主要材料，购置前必须得到招标人和监理方的认可，购置的材料在使用前按规定检验，其规格标准质量符合设计和施工规范要求。</w:t>
      </w:r>
    </w:p>
    <w:p w14:paraId="4A5B4D5D">
      <w:pPr>
        <w:spacing w:line="360" w:lineRule="auto"/>
        <w:ind w:firstLine="480" w:firstLineChars="200"/>
        <w:rPr>
          <w:rFonts w:ascii="宋体" w:hAnsi="宋体" w:cs="宋体"/>
          <w:sz w:val="24"/>
        </w:rPr>
      </w:pPr>
      <w:r>
        <w:rPr>
          <w:rFonts w:hint="eastAsia" w:ascii="宋体" w:hAnsi="宋体" w:cs="宋体"/>
          <w:sz w:val="24"/>
        </w:rPr>
        <w:t>7.8</w:t>
      </w:r>
      <w:r>
        <w:rPr>
          <w:rFonts w:hint="eastAsia" w:ascii="宋体" w:hAnsi="宋体" w:cs="宋体"/>
          <w:b/>
          <w:bCs/>
          <w:sz w:val="24"/>
        </w:rPr>
        <w:t>本次竞争性磋商分为两轮报价。磋商供应商响应性文件中的报价作为第一次报价，不得高于项目预算金额且不公开；第二轮报价不得高于第一轮报价</w:t>
      </w:r>
      <w:r>
        <w:rPr>
          <w:rFonts w:ascii="宋体" w:hAnsi="宋体" w:cs="宋体"/>
          <w:sz w:val="24"/>
        </w:rPr>
        <w:t>；</w:t>
      </w:r>
    </w:p>
    <w:p w14:paraId="34F152E7">
      <w:pPr>
        <w:spacing w:line="360" w:lineRule="auto"/>
        <w:ind w:firstLine="480" w:firstLineChars="200"/>
        <w:rPr>
          <w:rFonts w:ascii="宋体" w:hAnsi="宋体" w:cs="宋体"/>
          <w:sz w:val="24"/>
        </w:rPr>
      </w:pPr>
      <w:r>
        <w:rPr>
          <w:rFonts w:hint="eastAsia" w:ascii="宋体" w:hAnsi="宋体" w:cs="宋体"/>
          <w:sz w:val="24"/>
        </w:rPr>
        <w:t>7.9</w:t>
      </w:r>
      <w:r>
        <w:rPr>
          <w:rFonts w:ascii="宋体" w:hAnsi="宋体" w:cs="宋体"/>
          <w:sz w:val="24"/>
        </w:rPr>
        <w:t>供应商任何有选择的报价将被拒绝，磋商报价不允许修正和涂改，出现错误或涂改的将以无效报价处理；供应商不得以他人名义磋商或者以其他方式弄虚作假，骗取中标；</w:t>
      </w:r>
    </w:p>
    <w:p w14:paraId="5DA8BE93">
      <w:pPr>
        <w:spacing w:line="360" w:lineRule="auto"/>
        <w:ind w:firstLine="480" w:firstLineChars="200"/>
        <w:rPr>
          <w:rFonts w:ascii="宋体" w:hAnsi="宋体" w:cs="宋体"/>
          <w:sz w:val="24"/>
        </w:rPr>
      </w:pPr>
      <w:r>
        <w:rPr>
          <w:rFonts w:hint="eastAsia" w:ascii="宋体" w:hAnsi="宋体" w:cs="宋体"/>
          <w:sz w:val="24"/>
        </w:rPr>
        <w:t>7</w:t>
      </w:r>
      <w:r>
        <w:rPr>
          <w:rFonts w:ascii="宋体" w:hAnsi="宋体" w:cs="宋体"/>
          <w:sz w:val="24"/>
        </w:rPr>
        <w:t>.</w:t>
      </w:r>
      <w:r>
        <w:rPr>
          <w:rFonts w:hint="eastAsia" w:ascii="宋体" w:hAnsi="宋体" w:cs="宋体"/>
          <w:sz w:val="24"/>
        </w:rPr>
        <w:t>10</w:t>
      </w:r>
      <w:r>
        <w:rPr>
          <w:rFonts w:ascii="宋体" w:hAnsi="宋体" w:cs="宋体"/>
          <w:sz w:val="24"/>
        </w:rPr>
        <w:t xml:space="preserve"> 响应性文件应对竞争性磋商文件中各项做出实质性响应，否则该磋商将可能被拒绝。供应商服务承诺书应按不低于竞争性磋商文件中的服务要求标准做出响应；</w:t>
      </w:r>
    </w:p>
    <w:p w14:paraId="423EF420">
      <w:pPr>
        <w:spacing w:line="360" w:lineRule="auto"/>
        <w:ind w:firstLine="480" w:firstLineChars="200"/>
        <w:rPr>
          <w:rFonts w:ascii="宋体" w:hAnsi="宋体" w:cs="宋体"/>
          <w:sz w:val="24"/>
        </w:rPr>
      </w:pPr>
      <w:r>
        <w:rPr>
          <w:rFonts w:hint="eastAsia" w:ascii="宋体" w:hAnsi="宋体" w:cs="宋体"/>
          <w:sz w:val="24"/>
        </w:rPr>
        <w:t>7.11</w:t>
      </w:r>
      <w:r>
        <w:rPr>
          <w:rFonts w:ascii="宋体" w:hAnsi="宋体" w:cs="宋体"/>
          <w:sz w:val="24"/>
        </w:rPr>
        <w:t xml:space="preserve"> 磋商文件能够详细列明采购标的服务要求的，磋商结束后，磋商小组应当要求所有实质性响应的供应商在规定时间内提交最终报价。最终报价是供应商响应性文件的有效组成部分。</w:t>
      </w:r>
    </w:p>
    <w:p w14:paraId="30881D0B">
      <w:pPr>
        <w:spacing w:line="360" w:lineRule="auto"/>
        <w:ind w:firstLine="472" w:firstLineChars="196"/>
        <w:rPr>
          <w:rFonts w:ascii="宋体" w:hAnsi="宋体" w:cs="宋体"/>
          <w:b/>
          <w:bCs/>
          <w:sz w:val="24"/>
        </w:rPr>
      </w:pPr>
      <w:r>
        <w:rPr>
          <w:rFonts w:hint="eastAsia" w:ascii="宋体" w:hAnsi="宋体" w:cs="宋体"/>
          <w:b/>
          <w:bCs/>
          <w:sz w:val="24"/>
        </w:rPr>
        <w:t>8、磋商</w:t>
      </w:r>
      <w:r>
        <w:rPr>
          <w:rFonts w:ascii="宋体" w:hAnsi="宋体" w:cs="宋体"/>
          <w:b/>
          <w:bCs/>
          <w:sz w:val="24"/>
        </w:rPr>
        <w:t>响应文件的编制</w:t>
      </w:r>
    </w:p>
    <w:p w14:paraId="442BD2AC">
      <w:pPr>
        <w:spacing w:line="360" w:lineRule="auto"/>
        <w:ind w:firstLine="480" w:firstLineChars="200"/>
        <w:rPr>
          <w:rFonts w:ascii="宋体" w:hAnsi="宋体" w:cs="宋体"/>
          <w:sz w:val="24"/>
        </w:rPr>
      </w:pPr>
      <w:r>
        <w:rPr>
          <w:rFonts w:hint="eastAsia" w:ascii="宋体" w:hAnsi="宋体" w:cs="宋体"/>
          <w:sz w:val="24"/>
        </w:rPr>
        <w:t>8.1磋商</w:t>
      </w:r>
      <w:r>
        <w:rPr>
          <w:rFonts w:ascii="宋体" w:hAnsi="宋体" w:cs="宋体"/>
          <w:sz w:val="24"/>
        </w:rPr>
        <w:t>响应文件应按照本磋商文件</w:t>
      </w:r>
      <w:r>
        <w:rPr>
          <w:rFonts w:hint="eastAsia" w:ascii="宋体" w:hAnsi="宋体" w:cs="宋体"/>
          <w:sz w:val="24"/>
        </w:rPr>
        <w:t>相应篇章</w:t>
      </w:r>
      <w:r>
        <w:rPr>
          <w:rFonts w:ascii="宋体" w:hAnsi="宋体" w:cs="宋体"/>
          <w:sz w:val="24"/>
        </w:rPr>
        <w:t>“</w:t>
      </w:r>
      <w:r>
        <w:rPr>
          <w:rFonts w:hint="eastAsia" w:ascii="宋体" w:hAnsi="宋体" w:cs="宋体"/>
          <w:sz w:val="24"/>
        </w:rPr>
        <w:t>磋商</w:t>
      </w:r>
      <w:r>
        <w:rPr>
          <w:rFonts w:ascii="宋体" w:hAnsi="宋体" w:cs="宋体"/>
          <w:sz w:val="24"/>
        </w:rPr>
        <w:t>响应文件格式”进行编写，如有必要，可以增加附页，作为响应文件的组成部分。其中，投标函附录在满足磋商文件实质性要求的基础上，可以提出比磋商文件要求更有利于招标人的承诺。</w:t>
      </w:r>
    </w:p>
    <w:p w14:paraId="1387E245">
      <w:pPr>
        <w:spacing w:line="360" w:lineRule="auto"/>
        <w:ind w:firstLine="480" w:firstLineChars="200"/>
        <w:rPr>
          <w:rFonts w:ascii="宋体" w:hAnsi="宋体" w:cs="宋体"/>
          <w:sz w:val="24"/>
        </w:rPr>
      </w:pPr>
      <w:r>
        <w:rPr>
          <w:rFonts w:hint="eastAsia" w:ascii="宋体" w:hAnsi="宋体" w:cs="宋体"/>
          <w:sz w:val="24"/>
        </w:rPr>
        <w:t>8.2</w:t>
      </w:r>
      <w:r>
        <w:rPr>
          <w:rFonts w:ascii="宋体" w:hAnsi="宋体" w:cs="宋体"/>
          <w:sz w:val="24"/>
        </w:rPr>
        <w:t>磋商文件应当对磋商文件有关工期、投标有效期、质量要求、</w:t>
      </w:r>
      <w:r>
        <w:rPr>
          <w:rFonts w:hint="eastAsia" w:ascii="宋体" w:hAnsi="宋体" w:cs="宋体"/>
          <w:sz w:val="24"/>
        </w:rPr>
        <w:t>采购内容</w:t>
      </w:r>
      <w:r>
        <w:rPr>
          <w:rFonts w:ascii="宋体" w:hAnsi="宋体" w:cs="宋体"/>
          <w:sz w:val="24"/>
        </w:rPr>
        <w:t>等实质性内容作出响应。</w:t>
      </w:r>
    </w:p>
    <w:p w14:paraId="6BD98C89">
      <w:pPr>
        <w:spacing w:line="360" w:lineRule="auto"/>
        <w:ind w:firstLine="480" w:firstLineChars="200"/>
        <w:rPr>
          <w:rFonts w:ascii="宋体" w:hAnsi="宋体" w:cs="宋体"/>
          <w:sz w:val="24"/>
        </w:rPr>
      </w:pPr>
      <w:r>
        <w:rPr>
          <w:rFonts w:hint="eastAsia" w:ascii="宋体" w:hAnsi="宋体" w:cs="宋体"/>
          <w:sz w:val="24"/>
        </w:rPr>
        <w:t>8.3投标人所上传的电子化磋商响应文件，应是通过中心磋商响应文件制作系统制作的，经过签章和加密后生成的电子版磋商响应文件。</w:t>
      </w:r>
    </w:p>
    <w:p w14:paraId="02D529EF">
      <w:pPr>
        <w:spacing w:line="360" w:lineRule="auto"/>
        <w:ind w:firstLine="480" w:firstLineChars="200"/>
        <w:rPr>
          <w:rFonts w:ascii="宋体" w:hAnsi="宋体" w:cs="宋体"/>
          <w:sz w:val="24"/>
        </w:rPr>
      </w:pPr>
      <w:r>
        <w:rPr>
          <w:rFonts w:hint="eastAsia" w:ascii="宋体" w:hAnsi="宋体" w:cs="宋体"/>
          <w:sz w:val="24"/>
        </w:rPr>
        <w:t>注：投标人投报多个标段的，所生成的电子化磋商响应文件仍为一个电子文件，投标人制作电子化磋商响应文件时应将所报标段全部勾选后制作生成。</w:t>
      </w:r>
    </w:p>
    <w:p w14:paraId="49EEF638">
      <w:pPr>
        <w:spacing w:line="360" w:lineRule="auto"/>
        <w:ind w:firstLine="472" w:firstLineChars="196"/>
        <w:rPr>
          <w:rFonts w:ascii="宋体" w:hAnsi="宋体" w:cs="宋体"/>
          <w:b/>
          <w:bCs/>
          <w:sz w:val="24"/>
        </w:rPr>
      </w:pPr>
      <w:r>
        <w:rPr>
          <w:rFonts w:hint="eastAsia" w:ascii="宋体" w:hAnsi="宋体" w:cs="宋体"/>
          <w:b/>
          <w:bCs/>
          <w:sz w:val="24"/>
        </w:rPr>
        <w:t>9、</w:t>
      </w:r>
      <w:r>
        <w:rPr>
          <w:rFonts w:ascii="宋体" w:hAnsi="宋体" w:cs="宋体"/>
          <w:b/>
          <w:bCs/>
          <w:sz w:val="24"/>
        </w:rPr>
        <w:t>备选投标方案</w:t>
      </w:r>
    </w:p>
    <w:p w14:paraId="4A318428">
      <w:pPr>
        <w:spacing w:line="360" w:lineRule="auto"/>
        <w:ind w:firstLine="480" w:firstLineChars="200"/>
        <w:rPr>
          <w:rFonts w:ascii="宋体" w:hAnsi="宋体"/>
          <w:sz w:val="24"/>
        </w:rPr>
      </w:pPr>
      <w:r>
        <w:rPr>
          <w:rFonts w:hint="eastAsia" w:ascii="宋体" w:hAnsi="宋体"/>
          <w:sz w:val="24"/>
        </w:rPr>
        <w:t>不允许投标人递交备选投标方案。</w:t>
      </w:r>
    </w:p>
    <w:p w14:paraId="4314DC1B">
      <w:pPr>
        <w:spacing w:line="360" w:lineRule="auto"/>
        <w:ind w:firstLine="472" w:firstLineChars="196"/>
        <w:rPr>
          <w:rFonts w:ascii="宋体" w:hAnsi="宋体" w:cs="宋体"/>
          <w:b/>
          <w:bCs/>
          <w:sz w:val="24"/>
        </w:rPr>
      </w:pPr>
      <w:r>
        <w:rPr>
          <w:rFonts w:hint="eastAsia" w:ascii="宋体" w:hAnsi="宋体" w:cs="宋体"/>
          <w:b/>
          <w:bCs/>
          <w:sz w:val="24"/>
        </w:rPr>
        <w:t>10、</w:t>
      </w:r>
      <w:r>
        <w:rPr>
          <w:rFonts w:ascii="宋体" w:hAnsi="宋体" w:cs="宋体"/>
          <w:b/>
          <w:bCs/>
          <w:sz w:val="24"/>
        </w:rPr>
        <w:t>投标</w:t>
      </w:r>
    </w:p>
    <w:p w14:paraId="74D30DE7">
      <w:pPr>
        <w:spacing w:line="360" w:lineRule="auto"/>
        <w:ind w:firstLine="472" w:firstLineChars="196"/>
        <w:rPr>
          <w:rFonts w:ascii="宋体" w:hAnsi="宋体" w:cs="宋体"/>
          <w:b/>
          <w:bCs/>
          <w:sz w:val="24"/>
        </w:rPr>
      </w:pPr>
      <w:bookmarkStart w:id="19" w:name="_Toc296602444"/>
      <w:bookmarkStart w:id="20" w:name="_Toc246996200"/>
      <w:bookmarkStart w:id="21" w:name="_Toc246996943"/>
      <w:bookmarkStart w:id="22" w:name="_Toc152042332"/>
      <w:bookmarkStart w:id="23" w:name="_Toc152045556"/>
      <w:bookmarkStart w:id="24" w:name="_Toc247085714"/>
      <w:bookmarkStart w:id="25" w:name="_Toc144974524"/>
      <w:bookmarkStart w:id="26" w:name="_Toc179632574"/>
      <w:r>
        <w:rPr>
          <w:rFonts w:hint="eastAsia" w:ascii="宋体" w:hAnsi="宋体" w:cs="宋体"/>
          <w:b/>
          <w:bCs/>
          <w:sz w:val="24"/>
        </w:rPr>
        <w:t>10.1 磋商响应文件的</w:t>
      </w:r>
      <w:bookmarkEnd w:id="19"/>
      <w:bookmarkEnd w:id="20"/>
      <w:bookmarkEnd w:id="21"/>
      <w:bookmarkEnd w:id="22"/>
      <w:bookmarkEnd w:id="23"/>
      <w:bookmarkEnd w:id="24"/>
      <w:bookmarkEnd w:id="25"/>
      <w:bookmarkEnd w:id="26"/>
      <w:r>
        <w:rPr>
          <w:rFonts w:hint="eastAsia" w:ascii="宋体" w:hAnsi="宋体" w:cs="宋体"/>
          <w:b/>
          <w:bCs/>
          <w:sz w:val="24"/>
        </w:rPr>
        <w:t>签署</w:t>
      </w:r>
    </w:p>
    <w:p w14:paraId="42C80A0B">
      <w:pPr>
        <w:spacing w:line="360" w:lineRule="auto"/>
        <w:ind w:firstLine="480" w:firstLineChars="200"/>
        <w:rPr>
          <w:rFonts w:ascii="宋体" w:hAnsi="宋体" w:cs="宋体"/>
          <w:sz w:val="24"/>
        </w:rPr>
      </w:pPr>
      <w:bookmarkStart w:id="27" w:name="_Toc246996944"/>
      <w:bookmarkStart w:id="28" w:name="_Toc296602445"/>
      <w:bookmarkStart w:id="29" w:name="_Toc179632575"/>
      <w:bookmarkStart w:id="30" w:name="_Toc144974525"/>
      <w:bookmarkStart w:id="31" w:name="_Toc152045557"/>
      <w:bookmarkStart w:id="32" w:name="_Toc152042333"/>
      <w:bookmarkStart w:id="33" w:name="_Toc246996201"/>
      <w:bookmarkStart w:id="34" w:name="_Toc247085715"/>
      <w:r>
        <w:rPr>
          <w:rFonts w:hint="eastAsia" w:ascii="宋体" w:hAnsi="宋体" w:cs="宋体"/>
          <w:sz w:val="24"/>
        </w:rPr>
        <w:t>投标人在进行电子化磋商响应文件签章时，竞争性磋商文件中要求投标人盖章的，以签盖单位章为准；要求法定代表人签章的，以签盖法定代表人签章为准。</w:t>
      </w:r>
    </w:p>
    <w:p w14:paraId="74AFE8B0">
      <w:pPr>
        <w:spacing w:line="360" w:lineRule="auto"/>
        <w:ind w:firstLine="472" w:firstLineChars="196"/>
        <w:rPr>
          <w:rFonts w:ascii="宋体" w:hAnsi="宋体" w:cs="宋体"/>
          <w:b/>
          <w:bCs/>
          <w:sz w:val="24"/>
        </w:rPr>
      </w:pPr>
      <w:r>
        <w:rPr>
          <w:rFonts w:hint="eastAsia" w:ascii="宋体" w:hAnsi="宋体" w:cs="宋体"/>
          <w:b/>
          <w:bCs/>
          <w:sz w:val="24"/>
        </w:rPr>
        <w:t>10.2 磋商响应文件的上传</w:t>
      </w:r>
    </w:p>
    <w:p w14:paraId="7DF53237">
      <w:pPr>
        <w:spacing w:line="360" w:lineRule="auto"/>
        <w:ind w:firstLine="480" w:firstLineChars="200"/>
        <w:rPr>
          <w:rFonts w:ascii="宋体" w:hAnsi="宋体" w:cs="宋体"/>
          <w:sz w:val="24"/>
        </w:rPr>
      </w:pPr>
      <w:r>
        <w:rPr>
          <w:rFonts w:hint="eastAsia" w:ascii="宋体" w:hAnsi="宋体" w:cs="宋体"/>
          <w:sz w:val="24"/>
        </w:rPr>
        <w:t>电子化磋商响应文件应在投标截止时间前成功上传至三门峡市公共资源电子化交易系统。至投标截止时间止，仍未上传成功的电子化磋商响应文件将不予接收。</w:t>
      </w:r>
    </w:p>
    <w:p w14:paraId="45C1E8BC">
      <w:pPr>
        <w:spacing w:line="360" w:lineRule="auto"/>
        <w:ind w:firstLine="480" w:firstLineChars="200"/>
        <w:rPr>
          <w:rFonts w:ascii="宋体" w:hAnsi="宋体" w:cs="宋体"/>
          <w:sz w:val="24"/>
        </w:rPr>
      </w:pPr>
      <w:r>
        <w:rPr>
          <w:rFonts w:hint="eastAsia" w:ascii="宋体" w:hAnsi="宋体" w:cs="宋体"/>
          <w:sz w:val="24"/>
        </w:rPr>
        <w:t>注：如按照电子化投标操作教材制作完成的电子化磋商响应文件无法上传的，投标人应在投标截止时间前尽早的联系中心技术人员，以便有充分的时间进行处理。投标人应充分考虑到处理技术问题和上传数据等工作所需的时间问题，电子化磋商响应文件未在投标截止时间前成功上传的，其磋商响应文件不予接收。</w:t>
      </w:r>
    </w:p>
    <w:p w14:paraId="5DE0CA2D">
      <w:pPr>
        <w:spacing w:line="360" w:lineRule="auto"/>
        <w:ind w:firstLine="472" w:firstLineChars="196"/>
        <w:rPr>
          <w:rFonts w:ascii="宋体" w:hAnsi="宋体" w:cs="宋体"/>
          <w:b/>
          <w:bCs/>
          <w:sz w:val="24"/>
        </w:rPr>
      </w:pPr>
      <w:r>
        <w:rPr>
          <w:rFonts w:hint="eastAsia" w:ascii="宋体" w:hAnsi="宋体" w:cs="宋体"/>
          <w:b/>
          <w:bCs/>
          <w:sz w:val="24"/>
        </w:rPr>
        <w:t>10.3 磋商响应文件的修改与撤回</w:t>
      </w:r>
    </w:p>
    <w:p w14:paraId="2500E6C1">
      <w:pPr>
        <w:spacing w:line="360" w:lineRule="auto"/>
        <w:ind w:firstLine="480" w:firstLineChars="200"/>
        <w:rPr>
          <w:rFonts w:ascii="宋体" w:hAnsi="宋体"/>
          <w:sz w:val="24"/>
        </w:rPr>
      </w:pPr>
      <w:r>
        <w:rPr>
          <w:rFonts w:hint="eastAsia" w:ascii="宋体" w:hAnsi="宋体"/>
          <w:sz w:val="24"/>
        </w:rPr>
        <w:t>在投标截止时间之后，投标人不得补充、修改电子化磋商响应文件。</w:t>
      </w:r>
    </w:p>
    <w:p w14:paraId="490589CC">
      <w:pPr>
        <w:spacing w:line="360" w:lineRule="auto"/>
        <w:ind w:firstLine="472" w:firstLineChars="196"/>
        <w:rPr>
          <w:rFonts w:ascii="宋体" w:hAnsi="宋体" w:cs="宋体"/>
          <w:b/>
          <w:bCs/>
          <w:sz w:val="24"/>
        </w:rPr>
      </w:pPr>
      <w:r>
        <w:rPr>
          <w:rFonts w:hint="eastAsia" w:ascii="宋体" w:hAnsi="宋体" w:cs="宋体"/>
          <w:b/>
          <w:bCs/>
          <w:sz w:val="24"/>
        </w:rPr>
        <w:t>11、</w:t>
      </w:r>
      <w:r>
        <w:rPr>
          <w:rFonts w:ascii="宋体" w:hAnsi="宋体" w:cs="宋体"/>
          <w:b/>
          <w:bCs/>
          <w:sz w:val="24"/>
        </w:rPr>
        <w:t>磋商</w:t>
      </w:r>
    </w:p>
    <w:p w14:paraId="75CD6EC4">
      <w:pPr>
        <w:spacing w:line="360" w:lineRule="auto"/>
        <w:ind w:firstLine="472" w:firstLineChars="196"/>
        <w:rPr>
          <w:rFonts w:ascii="宋体" w:hAnsi="宋体" w:cs="宋体"/>
          <w:b/>
          <w:bCs/>
          <w:sz w:val="24"/>
        </w:rPr>
      </w:pPr>
      <w:r>
        <w:rPr>
          <w:rFonts w:hint="eastAsia" w:ascii="宋体" w:hAnsi="宋体" w:cs="宋体"/>
          <w:b/>
          <w:bCs/>
          <w:sz w:val="24"/>
        </w:rPr>
        <w:t>11</w:t>
      </w:r>
      <w:r>
        <w:rPr>
          <w:rFonts w:ascii="宋体" w:hAnsi="宋体" w:cs="宋体"/>
          <w:b/>
          <w:bCs/>
          <w:sz w:val="24"/>
        </w:rPr>
        <w:t>.1 磋商时间和地点</w:t>
      </w:r>
    </w:p>
    <w:p w14:paraId="7FB3D339">
      <w:pPr>
        <w:spacing w:line="360" w:lineRule="auto"/>
        <w:ind w:firstLine="480" w:firstLineChars="200"/>
        <w:rPr>
          <w:rFonts w:ascii="宋体" w:hAnsi="宋体"/>
          <w:sz w:val="24"/>
        </w:rPr>
      </w:pPr>
      <w:r>
        <w:rPr>
          <w:rFonts w:ascii="宋体" w:hAnsi="宋体"/>
          <w:sz w:val="24"/>
        </w:rPr>
        <w:t>招标人在本磋商文件规定的响应文件递交截止时间（磋商时间）和地点竞争性磋商</w:t>
      </w:r>
      <w:r>
        <w:rPr>
          <w:rFonts w:hint="eastAsia" w:ascii="宋体" w:hAnsi="宋体"/>
          <w:sz w:val="24"/>
        </w:rPr>
        <w:t>。</w:t>
      </w:r>
    </w:p>
    <w:p w14:paraId="28708620">
      <w:pPr>
        <w:spacing w:line="360" w:lineRule="auto"/>
        <w:ind w:firstLine="472" w:firstLineChars="196"/>
        <w:rPr>
          <w:rFonts w:ascii="宋体" w:hAnsi="宋体" w:cs="宋体"/>
          <w:b/>
          <w:bCs/>
          <w:sz w:val="24"/>
        </w:rPr>
      </w:pPr>
      <w:r>
        <w:rPr>
          <w:rFonts w:hint="eastAsia" w:ascii="宋体" w:hAnsi="宋体" w:cs="宋体"/>
          <w:b/>
          <w:bCs/>
          <w:sz w:val="24"/>
        </w:rPr>
        <w:t>11</w:t>
      </w:r>
      <w:r>
        <w:rPr>
          <w:rFonts w:ascii="宋体" w:hAnsi="宋体" w:cs="宋体"/>
          <w:b/>
          <w:bCs/>
          <w:sz w:val="24"/>
        </w:rPr>
        <w:t>.2 磋商程序</w:t>
      </w:r>
    </w:p>
    <w:p w14:paraId="01700AF5">
      <w:pPr>
        <w:spacing w:line="360" w:lineRule="auto"/>
        <w:ind w:firstLine="480" w:firstLineChars="200"/>
        <w:rPr>
          <w:rFonts w:ascii="宋体" w:hAnsi="宋体" w:cs="宋体"/>
          <w:sz w:val="24"/>
        </w:rPr>
      </w:pPr>
      <w:r>
        <w:rPr>
          <w:rFonts w:hint="eastAsia" w:ascii="宋体" w:hAnsi="宋体" w:cs="宋体"/>
          <w:sz w:val="24"/>
        </w:rPr>
        <w:t>11.2.1 磋商会议由招标代理机构主持；</w:t>
      </w:r>
    </w:p>
    <w:p w14:paraId="6CCD04DF">
      <w:pPr>
        <w:spacing w:line="360" w:lineRule="auto"/>
        <w:ind w:firstLine="480" w:firstLineChars="200"/>
        <w:rPr>
          <w:rFonts w:ascii="宋体" w:hAnsi="宋体" w:cs="宋体"/>
          <w:sz w:val="24"/>
        </w:rPr>
      </w:pPr>
      <w:r>
        <w:rPr>
          <w:rFonts w:hint="eastAsia" w:ascii="宋体" w:hAnsi="宋体" w:cs="宋体"/>
          <w:sz w:val="24"/>
        </w:rPr>
        <w:t>11.2.2 宣布磋商会议纪律；</w:t>
      </w:r>
    </w:p>
    <w:p w14:paraId="7E4F2BB5">
      <w:pPr>
        <w:spacing w:line="360" w:lineRule="auto"/>
        <w:ind w:firstLine="480" w:firstLineChars="200"/>
        <w:rPr>
          <w:rFonts w:ascii="宋体" w:hAnsi="宋体" w:cs="宋体"/>
          <w:sz w:val="24"/>
        </w:rPr>
      </w:pPr>
      <w:r>
        <w:rPr>
          <w:rFonts w:hint="eastAsia" w:ascii="宋体" w:hAnsi="宋体" w:cs="宋体"/>
          <w:sz w:val="24"/>
        </w:rPr>
        <w:t>11.2.3 宣布参加磋商会议的人员名单；</w:t>
      </w:r>
    </w:p>
    <w:p w14:paraId="4BC1F0B1">
      <w:pPr>
        <w:spacing w:line="360" w:lineRule="auto"/>
        <w:ind w:firstLine="480" w:firstLineChars="200"/>
        <w:rPr>
          <w:rFonts w:ascii="宋体" w:hAnsi="宋体" w:cs="宋体"/>
          <w:sz w:val="24"/>
        </w:rPr>
      </w:pPr>
      <w:r>
        <w:rPr>
          <w:rFonts w:hint="eastAsia" w:ascii="宋体" w:hAnsi="宋体" w:cs="宋体"/>
          <w:sz w:val="24"/>
        </w:rPr>
        <w:t>11.2.4本项目采用电子化、无纸化进行磋商，供应商应当在磋商截止时间前，登录不见面开标大厅选择三门峡市公共资源电子招投标系统进入,在线准时参加开标活动并进行投标文件解密等。</w:t>
      </w:r>
    </w:p>
    <w:p w14:paraId="15038C82">
      <w:pPr>
        <w:spacing w:line="360" w:lineRule="auto"/>
        <w:ind w:firstLine="480" w:firstLineChars="200"/>
        <w:rPr>
          <w:rFonts w:ascii="宋体" w:hAnsi="宋体" w:cs="宋体"/>
          <w:sz w:val="24"/>
        </w:rPr>
      </w:pPr>
      <w:r>
        <w:rPr>
          <w:rFonts w:hint="eastAsia" w:ascii="宋体" w:hAnsi="宋体" w:cs="宋体"/>
          <w:sz w:val="24"/>
        </w:rPr>
        <w:t>11.2.5 招标人对开标过程进行记录，并存档备查。</w:t>
      </w:r>
    </w:p>
    <w:p w14:paraId="54509F91">
      <w:pPr>
        <w:spacing w:line="360" w:lineRule="auto"/>
        <w:ind w:firstLine="472" w:firstLineChars="196"/>
        <w:rPr>
          <w:rFonts w:ascii="宋体" w:hAnsi="宋体" w:cs="宋体"/>
          <w:b/>
          <w:bCs/>
          <w:sz w:val="24"/>
        </w:rPr>
      </w:pPr>
      <w:r>
        <w:rPr>
          <w:rFonts w:hint="eastAsia" w:ascii="宋体" w:hAnsi="宋体" w:cs="宋体"/>
          <w:b/>
          <w:bCs/>
          <w:sz w:val="24"/>
        </w:rPr>
        <w:t>11.3 电子化磋商响应文件的有效性</w:t>
      </w:r>
    </w:p>
    <w:p w14:paraId="44445D57">
      <w:pPr>
        <w:spacing w:line="360" w:lineRule="auto"/>
        <w:ind w:firstLine="480" w:firstLineChars="200"/>
        <w:rPr>
          <w:rFonts w:ascii="宋体" w:hAnsi="宋体"/>
          <w:sz w:val="24"/>
        </w:rPr>
      </w:pPr>
      <w:r>
        <w:rPr>
          <w:rFonts w:hint="eastAsia" w:ascii="宋体" w:hAnsi="宋体"/>
          <w:sz w:val="24"/>
        </w:rPr>
        <w:t>电子化磋商响应文件有下列情形的为无效电子化磋商响应文件，采购人不予受理：</w:t>
      </w:r>
    </w:p>
    <w:p w14:paraId="535FCE9E">
      <w:pPr>
        <w:spacing w:line="360" w:lineRule="auto"/>
        <w:ind w:firstLine="480" w:firstLineChars="200"/>
        <w:rPr>
          <w:rFonts w:ascii="宋体" w:hAnsi="宋体"/>
          <w:sz w:val="24"/>
        </w:rPr>
      </w:pPr>
      <w:r>
        <w:rPr>
          <w:rFonts w:hint="eastAsia" w:ascii="宋体" w:hAnsi="宋体"/>
          <w:sz w:val="24"/>
        </w:rPr>
        <w:t>因投标人原因造成磋商响应文件未解密的，视为撤销其磋商响应文件；因投标人之外的原因造成电子化磋商响应文件未解密的，视为撤回其磋商响应文件，投标人有权要求责任方赔偿因此遭受的直接损失。上传磋商响应性文件但是未提交磋商文件费的，视为无效标书，退回其磋商响应文件。部分电子化磋商响应文件未解密的，其他电子化磋商响应文件的开标可以继续进行。</w:t>
      </w:r>
    </w:p>
    <w:p w14:paraId="425D30B9">
      <w:pPr>
        <w:spacing w:line="360" w:lineRule="auto"/>
        <w:ind w:firstLine="472" w:firstLineChars="196"/>
        <w:rPr>
          <w:rFonts w:ascii="宋体" w:hAnsi="宋体" w:cs="宋体"/>
          <w:b/>
          <w:bCs/>
          <w:sz w:val="24"/>
        </w:rPr>
      </w:pPr>
      <w:bookmarkStart w:id="35" w:name="_Toc246996950"/>
      <w:bookmarkStart w:id="36" w:name="_Toc247085721"/>
      <w:bookmarkStart w:id="37" w:name="_Toc296602452"/>
      <w:bookmarkStart w:id="38" w:name="_Toc152042339"/>
      <w:bookmarkStart w:id="39" w:name="_Toc246996207"/>
      <w:bookmarkStart w:id="40" w:name="_Toc152045563"/>
      <w:bookmarkStart w:id="41" w:name="_Toc144974531"/>
      <w:bookmarkStart w:id="42" w:name="_Toc179632581"/>
      <w:r>
        <w:rPr>
          <w:rFonts w:hint="eastAsia" w:ascii="宋体" w:hAnsi="宋体" w:cs="宋体"/>
          <w:b/>
          <w:bCs/>
          <w:sz w:val="24"/>
        </w:rPr>
        <w:t>11.4.  磋商小组</w:t>
      </w:r>
      <w:bookmarkEnd w:id="35"/>
      <w:bookmarkEnd w:id="36"/>
      <w:bookmarkEnd w:id="37"/>
      <w:bookmarkEnd w:id="38"/>
      <w:bookmarkEnd w:id="39"/>
      <w:bookmarkEnd w:id="40"/>
      <w:bookmarkEnd w:id="41"/>
      <w:bookmarkEnd w:id="42"/>
    </w:p>
    <w:p w14:paraId="3B1152B7">
      <w:pPr>
        <w:spacing w:line="360" w:lineRule="auto"/>
        <w:ind w:firstLine="470" w:firstLineChars="196"/>
        <w:rPr>
          <w:rFonts w:ascii="宋体" w:hAnsi="宋体"/>
          <w:sz w:val="24"/>
        </w:rPr>
      </w:pPr>
      <w:r>
        <w:rPr>
          <w:rFonts w:hint="eastAsia" w:ascii="宋体" w:hAnsi="宋体"/>
          <w:sz w:val="24"/>
        </w:rPr>
        <w:t>11.4.1</w:t>
      </w:r>
      <w:r>
        <w:rPr>
          <w:rFonts w:ascii="宋体" w:hAnsi="宋体"/>
          <w:sz w:val="24"/>
        </w:rPr>
        <w:t>磋商小组由有关技术、经济方面的专家组成。磋商小组人数及技术、经济专家的确定方式见投标人须知前附表。</w:t>
      </w:r>
    </w:p>
    <w:p w14:paraId="6E67E121">
      <w:pPr>
        <w:spacing w:line="360" w:lineRule="auto"/>
        <w:ind w:firstLine="480" w:firstLineChars="200"/>
        <w:rPr>
          <w:rFonts w:ascii="宋体" w:hAnsi="宋体"/>
          <w:sz w:val="24"/>
        </w:rPr>
      </w:pPr>
      <w:r>
        <w:rPr>
          <w:rFonts w:hint="eastAsia" w:ascii="宋体" w:hAnsi="宋体"/>
          <w:sz w:val="24"/>
        </w:rPr>
        <w:t>11.4.2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679554E6">
      <w:pPr>
        <w:spacing w:line="360" w:lineRule="auto"/>
        <w:ind w:firstLine="480" w:firstLineChars="200"/>
        <w:rPr>
          <w:rFonts w:ascii="宋体" w:hAnsi="宋体" w:cs="宋体"/>
          <w:sz w:val="24"/>
        </w:rPr>
      </w:pPr>
      <w:r>
        <w:rPr>
          <w:rFonts w:hint="eastAsia" w:ascii="宋体" w:hAnsi="宋体" w:cs="宋体"/>
          <w:sz w:val="24"/>
        </w:rPr>
        <w:t>11.4.3磋商小组成员和评审工作有关人员不得干预或者影响正常评审工作，不得明示或者暗示其倾向性、引导性意见，不得修改磋商文件确定的评审程序、评审方法，不得征询招标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21B831EC">
      <w:pPr>
        <w:spacing w:line="360" w:lineRule="auto"/>
        <w:ind w:firstLine="480" w:firstLineChars="200"/>
        <w:rPr>
          <w:rFonts w:ascii="宋体" w:hAnsi="宋体" w:cs="宋体"/>
          <w:sz w:val="24"/>
        </w:rPr>
      </w:pPr>
      <w:r>
        <w:rPr>
          <w:rFonts w:hint="eastAsia" w:ascii="宋体" w:hAnsi="宋体" w:cs="宋体"/>
          <w:sz w:val="24"/>
        </w:rPr>
        <w:t>11.4.4磋商小组成员有下列情形之一的，应当回避：</w:t>
      </w:r>
    </w:p>
    <w:p w14:paraId="724C9C36">
      <w:pPr>
        <w:spacing w:line="360" w:lineRule="auto"/>
        <w:ind w:firstLine="480" w:firstLineChars="200"/>
        <w:rPr>
          <w:rFonts w:ascii="宋体" w:hAnsi="宋体" w:cs="宋体"/>
          <w:sz w:val="24"/>
        </w:rPr>
      </w:pPr>
      <w:r>
        <w:rPr>
          <w:rFonts w:hint="eastAsia" w:ascii="宋体" w:hAnsi="宋体" w:cs="宋体"/>
          <w:sz w:val="24"/>
        </w:rPr>
        <w:t>（1）投标人或投标人主要负责人的近亲属；</w:t>
      </w:r>
    </w:p>
    <w:p w14:paraId="6CFFCDAF">
      <w:pPr>
        <w:spacing w:line="360" w:lineRule="auto"/>
        <w:ind w:firstLine="480" w:firstLineChars="200"/>
        <w:rPr>
          <w:rFonts w:ascii="宋体" w:hAnsi="宋体" w:cs="宋体"/>
          <w:sz w:val="24"/>
        </w:rPr>
      </w:pPr>
      <w:r>
        <w:rPr>
          <w:rFonts w:hint="eastAsia" w:ascii="宋体" w:hAnsi="宋体" w:cs="宋体"/>
          <w:sz w:val="24"/>
        </w:rPr>
        <w:t>（2）项目主管部门或者行政监督部门的人员；</w:t>
      </w:r>
    </w:p>
    <w:p w14:paraId="63819D64">
      <w:pPr>
        <w:spacing w:line="360" w:lineRule="auto"/>
        <w:ind w:firstLine="480" w:firstLineChars="200"/>
        <w:rPr>
          <w:rFonts w:ascii="宋体" w:hAnsi="宋体" w:cs="宋体"/>
          <w:sz w:val="24"/>
        </w:rPr>
      </w:pPr>
      <w:r>
        <w:rPr>
          <w:rFonts w:hint="eastAsia" w:ascii="宋体" w:hAnsi="宋体" w:cs="宋体"/>
          <w:sz w:val="24"/>
        </w:rPr>
        <w:t>（3）与投标人有经济利益关系；</w:t>
      </w:r>
    </w:p>
    <w:p w14:paraId="3C0E6334">
      <w:pPr>
        <w:spacing w:line="360" w:lineRule="auto"/>
        <w:ind w:firstLine="480" w:firstLineChars="200"/>
        <w:rPr>
          <w:rFonts w:ascii="宋体" w:hAnsi="宋体" w:cs="宋体"/>
          <w:sz w:val="24"/>
        </w:rPr>
      </w:pPr>
      <w:r>
        <w:rPr>
          <w:rFonts w:hint="eastAsia" w:ascii="宋体" w:hAnsi="宋体" w:cs="宋体"/>
          <w:sz w:val="24"/>
        </w:rPr>
        <w:t>（4）曾因在招标、评标以及其他与招标投标有关活动中从事违法行为而受过行政处罚或刑事处罚的；</w:t>
      </w:r>
    </w:p>
    <w:p w14:paraId="3EB7CD4B">
      <w:pPr>
        <w:spacing w:line="360" w:lineRule="auto"/>
        <w:ind w:firstLine="480" w:firstLineChars="200"/>
        <w:rPr>
          <w:rFonts w:ascii="宋体" w:hAnsi="宋体" w:cs="宋体"/>
          <w:sz w:val="24"/>
        </w:rPr>
      </w:pPr>
      <w:r>
        <w:rPr>
          <w:rFonts w:hint="eastAsia" w:ascii="宋体" w:hAnsi="宋体" w:cs="宋体"/>
          <w:sz w:val="24"/>
        </w:rPr>
        <w:t>（5）与投标人有其他利害关系。</w:t>
      </w:r>
    </w:p>
    <w:p w14:paraId="07CF40BF">
      <w:pPr>
        <w:spacing w:line="360" w:lineRule="auto"/>
        <w:ind w:firstLine="472" w:firstLineChars="196"/>
        <w:rPr>
          <w:rFonts w:ascii="宋体" w:hAnsi="宋体" w:cs="宋体"/>
          <w:b/>
          <w:bCs/>
          <w:sz w:val="24"/>
        </w:rPr>
      </w:pPr>
      <w:r>
        <w:rPr>
          <w:rFonts w:hint="eastAsia" w:ascii="宋体" w:hAnsi="宋体" w:cs="宋体"/>
          <w:b/>
          <w:bCs/>
          <w:sz w:val="24"/>
        </w:rPr>
        <w:t>11.5磋商原则和方法</w:t>
      </w:r>
    </w:p>
    <w:p w14:paraId="3F39D391">
      <w:pPr>
        <w:spacing w:line="360" w:lineRule="auto"/>
        <w:ind w:firstLine="480" w:firstLineChars="200"/>
        <w:rPr>
          <w:rFonts w:ascii="宋体" w:hAnsi="宋体"/>
          <w:sz w:val="24"/>
        </w:rPr>
      </w:pPr>
      <w:r>
        <w:rPr>
          <w:rFonts w:hint="eastAsia" w:ascii="宋体" w:hAnsi="宋体"/>
          <w:sz w:val="24"/>
        </w:rPr>
        <w:t>11.5.1坚持公开、公平、公正的原则。</w:t>
      </w:r>
    </w:p>
    <w:p w14:paraId="2C1D4B35">
      <w:pPr>
        <w:spacing w:line="360" w:lineRule="auto"/>
        <w:ind w:firstLine="480" w:firstLineChars="200"/>
        <w:rPr>
          <w:rFonts w:ascii="宋体" w:hAnsi="宋体"/>
          <w:sz w:val="24"/>
        </w:rPr>
      </w:pPr>
      <w:r>
        <w:rPr>
          <w:rFonts w:hint="eastAsia" w:ascii="宋体" w:hAnsi="宋体"/>
          <w:sz w:val="24"/>
        </w:rPr>
        <w:t>11.5.2磋商在磋商小组应当集中与单一投标人分别进行磋商，磋商小组将遵照磋商原则，公正、平等地对待所有投标人。</w:t>
      </w:r>
    </w:p>
    <w:p w14:paraId="4524A8CB">
      <w:pPr>
        <w:spacing w:line="360" w:lineRule="auto"/>
        <w:ind w:firstLine="480" w:firstLineChars="200"/>
        <w:rPr>
          <w:rFonts w:ascii="宋体" w:hAnsi="宋体"/>
          <w:sz w:val="24"/>
        </w:rPr>
      </w:pPr>
      <w:r>
        <w:rPr>
          <w:rFonts w:hint="eastAsia" w:ascii="宋体" w:hAnsi="宋体"/>
          <w:sz w:val="24"/>
        </w:rPr>
        <w:t>11.5.3评审方法</w:t>
      </w:r>
    </w:p>
    <w:p w14:paraId="37240931">
      <w:pPr>
        <w:spacing w:line="360" w:lineRule="auto"/>
        <w:ind w:firstLine="480" w:firstLineChars="200"/>
        <w:rPr>
          <w:rFonts w:ascii="宋体" w:hAnsi="宋体"/>
          <w:sz w:val="24"/>
        </w:rPr>
      </w:pPr>
      <w:r>
        <w:rPr>
          <w:rFonts w:hint="eastAsia" w:ascii="宋体" w:hAnsi="宋体"/>
          <w:sz w:val="24"/>
        </w:rPr>
        <w:t>（1）初步评审（是否响应竞争性磋商文件的要求），确定合格的投标人。</w:t>
      </w:r>
    </w:p>
    <w:p w14:paraId="28E4E987">
      <w:pPr>
        <w:spacing w:line="360" w:lineRule="auto"/>
        <w:ind w:firstLine="480" w:firstLineChars="200"/>
        <w:rPr>
          <w:rFonts w:ascii="宋体" w:hAnsi="宋体"/>
          <w:sz w:val="24"/>
        </w:rPr>
      </w:pPr>
      <w:r>
        <w:rPr>
          <w:rFonts w:hint="eastAsia" w:ascii="宋体" w:hAnsi="宋体"/>
          <w:sz w:val="24"/>
        </w:rPr>
        <w:t>（2）磋商小组只对已判定为实质性响应且通过初步审查的磋商响应文件进行详细评价和比较。</w:t>
      </w:r>
    </w:p>
    <w:p w14:paraId="538F3650">
      <w:pPr>
        <w:spacing w:line="360" w:lineRule="auto"/>
        <w:ind w:firstLine="480" w:firstLineChars="200"/>
        <w:rPr>
          <w:rFonts w:ascii="宋体" w:hAnsi="宋体"/>
          <w:sz w:val="24"/>
        </w:rPr>
      </w:pPr>
      <w:r>
        <w:rPr>
          <w:rFonts w:hint="eastAsia" w:ascii="宋体" w:hAnsi="宋体"/>
          <w:sz w:val="24"/>
        </w:rPr>
        <w:t>（3）磋商小组所有成员应当集中与单一投标人分别进行磋商，并给予所有参加磋商的投标人平等的磋商机会。</w:t>
      </w:r>
    </w:p>
    <w:p w14:paraId="25DBDB0D">
      <w:pPr>
        <w:spacing w:line="360" w:lineRule="auto"/>
        <w:ind w:firstLine="480" w:firstLineChars="200"/>
        <w:rPr>
          <w:rFonts w:ascii="宋体" w:hAnsi="宋体"/>
          <w:sz w:val="24"/>
        </w:rPr>
      </w:pPr>
      <w:r>
        <w:rPr>
          <w:rFonts w:hint="eastAsia" w:ascii="宋体" w:hAnsi="宋体"/>
          <w:sz w:val="24"/>
        </w:rPr>
        <w:t>（4）磋商完成后，要求其在规定时间内提交最后报价，凡是</w:t>
      </w:r>
      <w:r>
        <w:rPr>
          <w:rFonts w:hint="eastAsia" w:ascii="宋体" w:hAnsi="宋体" w:cs="宋体"/>
          <w:sz w:val="24"/>
        </w:rPr>
        <w:t>二轮报价没提交的，其一轮报价视为二轮报价，</w:t>
      </w:r>
      <w:r>
        <w:rPr>
          <w:rFonts w:hint="eastAsia" w:ascii="宋体" w:hAnsi="宋体"/>
          <w:sz w:val="24"/>
        </w:rPr>
        <w:t>提交最后报价的投标人可以为两家。</w:t>
      </w:r>
    </w:p>
    <w:p w14:paraId="74B6C696">
      <w:pPr>
        <w:spacing w:line="360" w:lineRule="auto"/>
        <w:ind w:firstLine="480" w:firstLineChars="200"/>
        <w:rPr>
          <w:rFonts w:ascii="宋体" w:hAnsi="宋体"/>
          <w:sz w:val="24"/>
        </w:rPr>
      </w:pPr>
      <w:r>
        <w:rPr>
          <w:rFonts w:hint="eastAsia" w:ascii="宋体" w:hAnsi="宋体"/>
          <w:sz w:val="24"/>
        </w:rPr>
        <w:t xml:space="preserve">（5）经磋商确定最终工程需求和提交最后报价的投标人后，磋商小组采用综合评分法对提交最后报价的投标人的磋商响应文件和最后报价进行综合评分。  </w:t>
      </w:r>
    </w:p>
    <w:p w14:paraId="16064D87">
      <w:pPr>
        <w:spacing w:line="360" w:lineRule="auto"/>
        <w:ind w:firstLine="480" w:firstLineChars="200"/>
        <w:rPr>
          <w:rFonts w:ascii="宋体" w:hAnsi="宋体"/>
          <w:sz w:val="24"/>
        </w:rPr>
      </w:pPr>
      <w:r>
        <w:rPr>
          <w:rFonts w:hint="eastAsia" w:ascii="宋体" w:hAnsi="宋体"/>
          <w:sz w:val="24"/>
        </w:rPr>
        <w:t>（6）磋商小组采用综合评分法对提交最后报价的投标人的响应文件和最后报价进行综合评分。按评审得分</w:t>
      </w:r>
      <w:r>
        <w:rPr>
          <w:rFonts w:ascii="宋体" w:hAnsi="宋体"/>
          <w:sz w:val="24"/>
        </w:rPr>
        <w:t>由高到低的顺序推荐</w:t>
      </w:r>
      <w:r>
        <w:rPr>
          <w:rFonts w:hint="eastAsia" w:ascii="宋体" w:hAnsi="宋体"/>
          <w:sz w:val="24"/>
        </w:rPr>
        <w:t>1-3</w:t>
      </w:r>
      <w:r>
        <w:rPr>
          <w:rFonts w:ascii="宋体" w:hAnsi="宋体"/>
          <w:sz w:val="24"/>
        </w:rPr>
        <w:t>名中标候选人，并编写评审报告</w:t>
      </w:r>
      <w:r>
        <w:rPr>
          <w:rFonts w:hint="eastAsia" w:ascii="宋体" w:hAnsi="宋体"/>
          <w:sz w:val="24"/>
        </w:rPr>
        <w:t>，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F63BE0B">
      <w:pPr>
        <w:spacing w:line="360" w:lineRule="auto"/>
        <w:ind w:firstLine="480" w:firstLineChars="200"/>
        <w:rPr>
          <w:rFonts w:ascii="宋体" w:hAnsi="宋体"/>
          <w:sz w:val="24"/>
        </w:rPr>
      </w:pPr>
      <w:r>
        <w:rPr>
          <w:rFonts w:ascii="宋体" w:hAnsi="宋体"/>
          <w:sz w:val="24"/>
        </w:rPr>
        <w:t xml:space="preserve">评审得分相同的，按照最后报价由低到高的顺序推荐。 评审得分且最后报价相同的，按照技术指标优劣顺序推荐； </w:t>
      </w:r>
    </w:p>
    <w:p w14:paraId="5018AD4F">
      <w:pPr>
        <w:spacing w:line="360" w:lineRule="auto"/>
        <w:ind w:firstLine="480" w:firstLineChars="200"/>
        <w:rPr>
          <w:rFonts w:ascii="宋体" w:hAnsi="宋体"/>
          <w:sz w:val="24"/>
        </w:rPr>
      </w:pPr>
      <w:r>
        <w:rPr>
          <w:rFonts w:hint="eastAsia" w:ascii="宋体" w:hAnsi="宋体"/>
          <w:sz w:val="24"/>
        </w:rPr>
        <w:t>（7） 如果第一名投标人放弃成交资格或因不可抗力提出不能履行合同，将依序确定排名第二名的投标人为成交人，依次类推。当符合竞争性磋商文件实质性要求的投标人均因上述原因不能签订合同的，将依法重新磋商。</w:t>
      </w:r>
    </w:p>
    <w:p w14:paraId="5B5F515E">
      <w:pPr>
        <w:spacing w:line="360" w:lineRule="auto"/>
        <w:ind w:firstLine="472" w:firstLineChars="196"/>
        <w:rPr>
          <w:rFonts w:ascii="宋体" w:hAnsi="宋体" w:cs="宋体"/>
          <w:b/>
          <w:bCs/>
          <w:sz w:val="24"/>
        </w:rPr>
      </w:pPr>
      <w:r>
        <w:rPr>
          <w:rFonts w:hint="eastAsia" w:ascii="宋体" w:hAnsi="宋体" w:cs="宋体"/>
          <w:b/>
          <w:bCs/>
          <w:sz w:val="24"/>
        </w:rPr>
        <w:t>11.6</w:t>
      </w:r>
      <w:r>
        <w:rPr>
          <w:rFonts w:ascii="宋体" w:hAnsi="宋体" w:cs="宋体"/>
          <w:b/>
          <w:bCs/>
          <w:sz w:val="24"/>
        </w:rPr>
        <w:t>响应文件的澄清</w:t>
      </w:r>
    </w:p>
    <w:p w14:paraId="6DDC71FB">
      <w:pPr>
        <w:spacing w:line="360" w:lineRule="auto"/>
        <w:ind w:firstLine="480" w:firstLineChars="200"/>
        <w:rPr>
          <w:rFonts w:ascii="宋体" w:hAnsi="宋体"/>
          <w:sz w:val="24"/>
        </w:rPr>
      </w:pPr>
      <w:r>
        <w:rPr>
          <w:rFonts w:hint="eastAsia" w:ascii="宋体" w:hAnsi="宋体"/>
          <w:sz w:val="24"/>
        </w:rPr>
        <w:t>11.6.1</w:t>
      </w:r>
      <w:r>
        <w:rPr>
          <w:rFonts w:ascii="宋体" w:hAnsi="宋体"/>
          <w:sz w:val="24"/>
        </w:rPr>
        <w:t>磋商小组可以以书面形式要求投标人对其响应文件中含义不明确的内容作必要的澄清或说明。投标人应采用书面形式进行澄清和说明，但不得超出响应文件的范围或者改变响应文件实质性内容。凡属于磋商小组在磋商发现的计算错误并进行核实的修改不在此列。</w:t>
      </w:r>
    </w:p>
    <w:p w14:paraId="776D8394">
      <w:pPr>
        <w:spacing w:line="360" w:lineRule="auto"/>
        <w:ind w:firstLine="480" w:firstLineChars="200"/>
        <w:rPr>
          <w:rFonts w:ascii="宋体" w:hAnsi="宋体"/>
          <w:sz w:val="24"/>
        </w:rPr>
      </w:pPr>
      <w:r>
        <w:rPr>
          <w:rFonts w:hint="eastAsia" w:ascii="宋体" w:hAnsi="宋体"/>
          <w:sz w:val="24"/>
        </w:rPr>
        <w:t xml:space="preserve">11.6.2 </w:t>
      </w:r>
      <w:r>
        <w:rPr>
          <w:rFonts w:ascii="宋体" w:hAnsi="宋体"/>
          <w:sz w:val="24"/>
        </w:rPr>
        <w:t>在磋商过程中，磋商小组发现投标人的投标报价明显低于其他投标人的报价，并有可能低于其企业成本的，则磋商小组可以以书面形式要求该投标人作出书面说明并提供相关证明材料。投标人不能合理说明或不能提供相关证明材料的，磋商小组对其响应文件不再进行评审。</w:t>
      </w:r>
    </w:p>
    <w:p w14:paraId="67B6387C">
      <w:pPr>
        <w:spacing w:line="360" w:lineRule="auto"/>
        <w:ind w:firstLine="472" w:firstLineChars="196"/>
        <w:rPr>
          <w:rFonts w:ascii="宋体" w:hAnsi="宋体" w:cs="宋体"/>
          <w:b/>
          <w:bCs/>
          <w:sz w:val="24"/>
        </w:rPr>
      </w:pPr>
      <w:r>
        <w:rPr>
          <w:rFonts w:hint="eastAsia" w:ascii="宋体" w:hAnsi="宋体" w:cs="宋体"/>
          <w:b/>
          <w:bCs/>
          <w:sz w:val="24"/>
        </w:rPr>
        <w:t xml:space="preserve">11.7 </w:t>
      </w:r>
      <w:r>
        <w:rPr>
          <w:rFonts w:ascii="宋体" w:hAnsi="宋体" w:cs="宋体"/>
          <w:b/>
          <w:bCs/>
          <w:sz w:val="24"/>
        </w:rPr>
        <w:t>磋商过程的保密</w:t>
      </w:r>
    </w:p>
    <w:p w14:paraId="606BA28B">
      <w:pPr>
        <w:spacing w:line="360" w:lineRule="auto"/>
        <w:ind w:firstLine="480" w:firstLineChars="200"/>
        <w:rPr>
          <w:rFonts w:ascii="宋体" w:hAnsi="宋体"/>
          <w:sz w:val="24"/>
        </w:rPr>
      </w:pPr>
      <w:r>
        <w:rPr>
          <w:rFonts w:hint="eastAsia" w:ascii="宋体" w:hAnsi="宋体"/>
          <w:sz w:val="24"/>
        </w:rPr>
        <w:t>11.7.1</w:t>
      </w:r>
      <w:r>
        <w:rPr>
          <w:rFonts w:ascii="宋体" w:hAnsi="宋体"/>
          <w:sz w:val="24"/>
        </w:rPr>
        <w:t>响应文件的审查、澄清、评价和比较的有关资料以及中标候选人的推荐情况，与评标有关的其他任何情况均应严格保密。</w:t>
      </w:r>
    </w:p>
    <w:p w14:paraId="5D9D61BA">
      <w:pPr>
        <w:spacing w:line="360" w:lineRule="auto"/>
        <w:ind w:firstLine="480" w:firstLineChars="200"/>
        <w:rPr>
          <w:rFonts w:ascii="宋体" w:hAnsi="宋体"/>
          <w:sz w:val="24"/>
        </w:rPr>
      </w:pPr>
      <w:r>
        <w:rPr>
          <w:rFonts w:hint="eastAsia" w:ascii="宋体" w:hAnsi="宋体"/>
          <w:sz w:val="24"/>
        </w:rPr>
        <w:t>11.7.2</w:t>
      </w:r>
      <w:r>
        <w:rPr>
          <w:rFonts w:ascii="宋体" w:hAnsi="宋体"/>
          <w:sz w:val="24"/>
        </w:rPr>
        <w:t>在响应文件的评审和比较、中标候选人推荐以及授予合同的过程中，投标人向招标人和磋商小组施加影响的任何行为，都将会导致其投标被拒绝。</w:t>
      </w:r>
    </w:p>
    <w:p w14:paraId="6B1DF19A">
      <w:pPr>
        <w:spacing w:line="360" w:lineRule="auto"/>
        <w:ind w:firstLine="480" w:firstLineChars="200"/>
        <w:rPr>
          <w:rFonts w:ascii="宋体" w:hAnsi="宋体"/>
          <w:sz w:val="24"/>
        </w:rPr>
      </w:pPr>
      <w:r>
        <w:rPr>
          <w:rFonts w:hint="eastAsia" w:ascii="宋体" w:hAnsi="宋体"/>
          <w:sz w:val="24"/>
        </w:rPr>
        <w:t>11.7.3</w:t>
      </w:r>
      <w:r>
        <w:rPr>
          <w:rFonts w:ascii="宋体" w:hAnsi="宋体"/>
          <w:sz w:val="24"/>
        </w:rPr>
        <w:t>招标人不对未中标人就评标过程以及未能中标原因作出任何解释。未中标人不得向磋商小组成员和其他有关人员索问评标过程的情况和资料。</w:t>
      </w:r>
    </w:p>
    <w:p w14:paraId="2B10E199">
      <w:pPr>
        <w:spacing w:line="360" w:lineRule="auto"/>
        <w:ind w:firstLine="472" w:firstLineChars="196"/>
        <w:rPr>
          <w:rFonts w:ascii="宋体" w:hAnsi="宋体" w:cs="宋体"/>
          <w:b/>
          <w:bCs/>
          <w:sz w:val="24"/>
        </w:rPr>
      </w:pPr>
      <w:r>
        <w:rPr>
          <w:rFonts w:hint="eastAsia" w:ascii="宋体" w:hAnsi="宋体" w:cs="宋体"/>
          <w:b/>
          <w:bCs/>
          <w:sz w:val="24"/>
        </w:rPr>
        <w:t>12、合同授予</w:t>
      </w:r>
    </w:p>
    <w:p w14:paraId="27D701EA">
      <w:pPr>
        <w:spacing w:line="360" w:lineRule="auto"/>
        <w:ind w:firstLine="480" w:firstLineChars="200"/>
        <w:rPr>
          <w:rFonts w:ascii="宋体" w:hAnsi="宋体"/>
          <w:sz w:val="24"/>
        </w:rPr>
      </w:pPr>
      <w:bookmarkStart w:id="43" w:name="_Toc152042343"/>
      <w:bookmarkStart w:id="44" w:name="_Toc144974535"/>
      <w:bookmarkStart w:id="45" w:name="_Toc246996954"/>
      <w:bookmarkStart w:id="46" w:name="_Toc179632585"/>
      <w:bookmarkStart w:id="47" w:name="_Toc296602456"/>
      <w:bookmarkStart w:id="48" w:name="_Toc247085725"/>
      <w:bookmarkStart w:id="49" w:name="_Toc246996211"/>
      <w:bookmarkStart w:id="50" w:name="_Toc152045567"/>
      <w:r>
        <w:rPr>
          <w:rFonts w:hint="eastAsia" w:ascii="宋体" w:hAnsi="宋体"/>
          <w:sz w:val="24"/>
        </w:rPr>
        <w:t>12.1 定标方式</w:t>
      </w:r>
      <w:bookmarkEnd w:id="43"/>
      <w:bookmarkEnd w:id="44"/>
      <w:bookmarkEnd w:id="45"/>
      <w:bookmarkEnd w:id="46"/>
      <w:bookmarkEnd w:id="47"/>
      <w:bookmarkEnd w:id="48"/>
      <w:bookmarkEnd w:id="49"/>
      <w:bookmarkEnd w:id="50"/>
    </w:p>
    <w:p w14:paraId="5E3C3496">
      <w:pPr>
        <w:spacing w:line="360" w:lineRule="auto"/>
        <w:ind w:firstLine="480" w:firstLineChars="200"/>
        <w:rPr>
          <w:rFonts w:ascii="宋体" w:hAnsi="宋体"/>
          <w:sz w:val="24"/>
        </w:rPr>
      </w:pPr>
      <w:r>
        <w:rPr>
          <w:rFonts w:hint="eastAsia" w:ascii="宋体" w:hAnsi="宋体"/>
          <w:sz w:val="24"/>
        </w:rPr>
        <w:t>采购人依据磋商小组推荐的成交候选人确定成交人。</w:t>
      </w:r>
    </w:p>
    <w:p w14:paraId="45EFA43D">
      <w:pPr>
        <w:spacing w:line="360" w:lineRule="auto"/>
        <w:ind w:firstLine="480" w:firstLineChars="200"/>
        <w:rPr>
          <w:rFonts w:ascii="宋体" w:hAnsi="宋体"/>
          <w:sz w:val="24"/>
        </w:rPr>
      </w:pPr>
      <w:bookmarkStart w:id="51" w:name="_Toc296602457"/>
      <w:r>
        <w:rPr>
          <w:rFonts w:hint="eastAsia" w:ascii="宋体" w:hAnsi="宋体"/>
          <w:sz w:val="24"/>
        </w:rPr>
        <w:t>12.2 成交候选人公示</w:t>
      </w:r>
      <w:bookmarkEnd w:id="51"/>
    </w:p>
    <w:p w14:paraId="507EE864">
      <w:pPr>
        <w:spacing w:line="360" w:lineRule="auto"/>
        <w:ind w:firstLine="480" w:firstLineChars="200"/>
        <w:rPr>
          <w:rFonts w:ascii="宋体" w:hAnsi="宋体"/>
          <w:sz w:val="24"/>
        </w:rPr>
      </w:pPr>
      <w:r>
        <w:rPr>
          <w:rFonts w:hint="eastAsia" w:ascii="宋体" w:hAnsi="宋体"/>
          <w:sz w:val="24"/>
        </w:rPr>
        <w:t>采购人在投标人须知前附表规定的媒介公示成交候选人。</w:t>
      </w:r>
    </w:p>
    <w:p w14:paraId="0ACCF5E7">
      <w:pPr>
        <w:spacing w:line="360" w:lineRule="auto"/>
        <w:ind w:firstLine="480" w:firstLineChars="200"/>
        <w:rPr>
          <w:rFonts w:ascii="宋体" w:hAnsi="宋体"/>
          <w:sz w:val="24"/>
        </w:rPr>
      </w:pPr>
      <w:bookmarkStart w:id="52" w:name="_Toc152045568"/>
      <w:bookmarkStart w:id="53" w:name="_Toc144974536"/>
      <w:bookmarkStart w:id="54" w:name="_Toc246996212"/>
      <w:bookmarkStart w:id="55" w:name="_Toc247085726"/>
      <w:bookmarkStart w:id="56" w:name="_Toc179632586"/>
      <w:bookmarkStart w:id="57" w:name="_Toc296602458"/>
      <w:bookmarkStart w:id="58" w:name="_Toc246996955"/>
      <w:bookmarkStart w:id="59" w:name="_Toc152042344"/>
      <w:r>
        <w:rPr>
          <w:rFonts w:hint="eastAsia" w:ascii="宋体" w:hAnsi="宋体"/>
          <w:sz w:val="24"/>
        </w:rPr>
        <w:t>12.3 成交通知</w:t>
      </w:r>
      <w:bookmarkEnd w:id="52"/>
      <w:bookmarkEnd w:id="53"/>
      <w:bookmarkEnd w:id="54"/>
      <w:bookmarkEnd w:id="55"/>
      <w:bookmarkEnd w:id="56"/>
      <w:bookmarkEnd w:id="57"/>
      <w:bookmarkEnd w:id="58"/>
      <w:bookmarkEnd w:id="59"/>
    </w:p>
    <w:p w14:paraId="488D878D">
      <w:pPr>
        <w:spacing w:line="360" w:lineRule="auto"/>
        <w:ind w:firstLine="480" w:firstLineChars="200"/>
        <w:rPr>
          <w:rFonts w:ascii="宋体" w:hAnsi="宋体"/>
          <w:sz w:val="24"/>
        </w:rPr>
      </w:pPr>
      <w:r>
        <w:rPr>
          <w:rFonts w:hint="eastAsia" w:ascii="宋体" w:hAnsi="宋体"/>
          <w:sz w:val="24"/>
        </w:rPr>
        <w:t>在投标有效期内，采购人以书面形式向成交人发出成交通知书，同时将成交结果通知未成交的投标人。</w:t>
      </w:r>
    </w:p>
    <w:p w14:paraId="1E7AD328">
      <w:pPr>
        <w:spacing w:line="360" w:lineRule="auto"/>
        <w:ind w:firstLine="480" w:firstLineChars="200"/>
        <w:rPr>
          <w:rFonts w:ascii="宋体" w:hAnsi="宋体"/>
          <w:sz w:val="24"/>
        </w:rPr>
      </w:pPr>
      <w:bookmarkStart w:id="60" w:name="_Toc246996213"/>
      <w:bookmarkStart w:id="61" w:name="_Toc247085727"/>
      <w:bookmarkStart w:id="62" w:name="_Toc246996956"/>
      <w:bookmarkStart w:id="63" w:name="_Toc179632587"/>
      <w:bookmarkStart w:id="64" w:name="_Toc144974537"/>
      <w:bookmarkStart w:id="65" w:name="_Toc152045569"/>
      <w:bookmarkStart w:id="66" w:name="_Toc296602459"/>
      <w:bookmarkStart w:id="67" w:name="_Toc152042345"/>
      <w:r>
        <w:rPr>
          <w:rFonts w:hint="eastAsia" w:ascii="宋体" w:hAnsi="宋体"/>
          <w:sz w:val="24"/>
        </w:rPr>
        <w:t>12.4 履约、支付担保</w:t>
      </w:r>
      <w:bookmarkEnd w:id="60"/>
      <w:bookmarkEnd w:id="61"/>
      <w:bookmarkEnd w:id="62"/>
      <w:bookmarkEnd w:id="63"/>
      <w:bookmarkEnd w:id="64"/>
      <w:bookmarkEnd w:id="65"/>
      <w:bookmarkEnd w:id="66"/>
      <w:bookmarkEnd w:id="67"/>
    </w:p>
    <w:p w14:paraId="5CD58736">
      <w:pPr>
        <w:spacing w:line="360" w:lineRule="auto"/>
        <w:ind w:firstLine="480" w:firstLineChars="200"/>
        <w:rPr>
          <w:rFonts w:ascii="宋体" w:hAnsi="宋体"/>
          <w:sz w:val="24"/>
        </w:rPr>
      </w:pPr>
      <w:r>
        <w:rPr>
          <w:rFonts w:hint="eastAsia" w:ascii="宋体" w:hAnsi="宋体"/>
          <w:sz w:val="24"/>
        </w:rPr>
        <w:t>详见前附表</w:t>
      </w:r>
    </w:p>
    <w:p w14:paraId="419365B0">
      <w:pPr>
        <w:spacing w:line="360" w:lineRule="auto"/>
        <w:ind w:firstLine="480" w:firstLineChars="200"/>
        <w:rPr>
          <w:rFonts w:ascii="宋体" w:hAnsi="宋体"/>
          <w:sz w:val="24"/>
        </w:rPr>
      </w:pPr>
      <w:bookmarkStart w:id="68" w:name="_Toc246996957"/>
      <w:bookmarkStart w:id="69" w:name="_Toc152045570"/>
      <w:bookmarkStart w:id="70" w:name="_Toc144974538"/>
      <w:bookmarkStart w:id="71" w:name="_Toc296602460"/>
      <w:bookmarkStart w:id="72" w:name="_Toc246996214"/>
      <w:bookmarkStart w:id="73" w:name="_Toc152042346"/>
      <w:bookmarkStart w:id="74" w:name="_Toc179632588"/>
      <w:bookmarkStart w:id="75" w:name="_Toc247085728"/>
      <w:r>
        <w:rPr>
          <w:rFonts w:hint="eastAsia" w:ascii="宋体" w:hAnsi="宋体"/>
          <w:sz w:val="24"/>
        </w:rPr>
        <w:t>12.5 签订合同</w:t>
      </w:r>
      <w:bookmarkEnd w:id="68"/>
      <w:bookmarkEnd w:id="69"/>
      <w:bookmarkEnd w:id="70"/>
      <w:bookmarkEnd w:id="71"/>
      <w:bookmarkEnd w:id="72"/>
      <w:bookmarkEnd w:id="73"/>
      <w:bookmarkEnd w:id="74"/>
      <w:bookmarkEnd w:id="75"/>
    </w:p>
    <w:p w14:paraId="4D6CB1DE">
      <w:pPr>
        <w:spacing w:line="360" w:lineRule="auto"/>
        <w:ind w:firstLine="480" w:firstLineChars="200"/>
        <w:rPr>
          <w:rFonts w:ascii="宋体" w:hAnsi="宋体"/>
          <w:sz w:val="24"/>
        </w:rPr>
      </w:pPr>
      <w:r>
        <w:rPr>
          <w:rFonts w:hint="eastAsia" w:ascii="宋体" w:hAnsi="宋体"/>
          <w:sz w:val="24"/>
        </w:rPr>
        <w:t>12.5.1招标人和成交人应当自成交通知书发出之日起2天内，根据竞争性磋商文件和成交人的磋商响应文件订立书面合同。</w:t>
      </w:r>
    </w:p>
    <w:p w14:paraId="57ABF854">
      <w:pPr>
        <w:spacing w:line="360" w:lineRule="auto"/>
        <w:ind w:firstLine="480" w:firstLineChars="200"/>
        <w:rPr>
          <w:rFonts w:ascii="宋体" w:hAnsi="宋体"/>
          <w:sz w:val="24"/>
        </w:rPr>
      </w:pPr>
      <w:r>
        <w:rPr>
          <w:rFonts w:hint="eastAsia" w:ascii="宋体" w:hAnsi="宋体"/>
          <w:sz w:val="24"/>
        </w:rPr>
        <w:t>12.5.2成交供应商如未能按竞争性磋商文件要求，在规定限期内与采购人签订合同，无论何种原因招标方将取消其成交资格、撤销其成交通知书。在此情况下，采购人可将合同授予排名次髙的供应商。</w:t>
      </w:r>
    </w:p>
    <w:p w14:paraId="2C180072">
      <w:pPr>
        <w:spacing w:line="360" w:lineRule="auto"/>
        <w:ind w:firstLine="480" w:firstLineChars="200"/>
        <w:rPr>
          <w:rFonts w:ascii="宋体" w:hAnsi="宋体"/>
          <w:sz w:val="24"/>
        </w:rPr>
      </w:pPr>
      <w:r>
        <w:rPr>
          <w:rFonts w:hint="eastAsia" w:ascii="宋体" w:hAnsi="宋体"/>
          <w:sz w:val="24"/>
        </w:rPr>
        <w:t>12.5.3在签订合同过程中，如发现成交供应商以他人名义磋商或者以其他方式弄虚作假，骗取成交的，采购人有权取消其成交资格。</w:t>
      </w:r>
    </w:p>
    <w:p w14:paraId="52E94A0B">
      <w:pPr>
        <w:spacing w:line="360" w:lineRule="auto"/>
        <w:ind w:firstLine="472" w:firstLineChars="196"/>
        <w:rPr>
          <w:rFonts w:ascii="宋体" w:hAnsi="宋体" w:cs="宋体"/>
          <w:b/>
          <w:bCs/>
          <w:sz w:val="24"/>
        </w:rPr>
      </w:pPr>
      <w:bookmarkStart w:id="76" w:name="_Toc296602461"/>
      <w:r>
        <w:rPr>
          <w:rFonts w:hint="eastAsia" w:ascii="宋体" w:hAnsi="宋体" w:cs="宋体"/>
          <w:b/>
          <w:bCs/>
          <w:sz w:val="24"/>
        </w:rPr>
        <w:t>13、纪律和监督</w:t>
      </w:r>
      <w:bookmarkEnd w:id="76"/>
    </w:p>
    <w:p w14:paraId="6E216E05">
      <w:pPr>
        <w:spacing w:line="360" w:lineRule="auto"/>
        <w:ind w:firstLine="480" w:firstLineChars="200"/>
        <w:rPr>
          <w:rFonts w:ascii="宋体" w:hAnsi="宋体"/>
          <w:kern w:val="0"/>
          <w:sz w:val="24"/>
          <w:szCs w:val="20"/>
        </w:rPr>
      </w:pPr>
      <w:bookmarkStart w:id="77" w:name="_Toc296602462"/>
      <w:bookmarkStart w:id="78" w:name="_Toc246996962"/>
      <w:bookmarkStart w:id="79" w:name="_Toc152042351"/>
      <w:bookmarkStart w:id="80" w:name="_Toc296590983"/>
      <w:bookmarkStart w:id="81" w:name="_Toc144974543"/>
      <w:bookmarkStart w:id="82" w:name="_Toc179632593"/>
      <w:bookmarkStart w:id="83" w:name="_Toc246996219"/>
      <w:bookmarkStart w:id="84" w:name="_Toc152045575"/>
      <w:bookmarkStart w:id="85" w:name="_Toc247085733"/>
      <w:r>
        <w:rPr>
          <w:rFonts w:hint="eastAsia" w:ascii="宋体" w:hAnsi="宋体"/>
          <w:kern w:val="0"/>
          <w:sz w:val="24"/>
          <w:szCs w:val="20"/>
        </w:rPr>
        <w:t>13.1 对招标人的纪律要求</w:t>
      </w:r>
      <w:bookmarkEnd w:id="77"/>
      <w:bookmarkEnd w:id="78"/>
      <w:bookmarkEnd w:id="79"/>
      <w:bookmarkEnd w:id="80"/>
      <w:bookmarkEnd w:id="81"/>
      <w:bookmarkEnd w:id="82"/>
      <w:bookmarkEnd w:id="83"/>
      <w:bookmarkEnd w:id="84"/>
      <w:bookmarkEnd w:id="85"/>
    </w:p>
    <w:p w14:paraId="17ED528B">
      <w:pPr>
        <w:spacing w:line="360" w:lineRule="auto"/>
        <w:ind w:firstLine="480" w:firstLineChars="200"/>
        <w:rPr>
          <w:rFonts w:ascii="宋体" w:hAnsi="宋体"/>
          <w:kern w:val="0"/>
          <w:sz w:val="24"/>
          <w:szCs w:val="20"/>
        </w:rPr>
      </w:pPr>
      <w:r>
        <w:rPr>
          <w:rFonts w:hint="eastAsia" w:ascii="宋体" w:hAnsi="宋体"/>
          <w:kern w:val="0"/>
          <w:sz w:val="24"/>
          <w:szCs w:val="20"/>
        </w:rPr>
        <w:t>招标人不得泄漏招标投标活动中应当保密的情况和资料，不得与投标人串通损害国家利益、社会公共利益或者他人合法权益。</w:t>
      </w:r>
    </w:p>
    <w:p w14:paraId="20945F75">
      <w:pPr>
        <w:spacing w:line="360" w:lineRule="auto"/>
        <w:ind w:firstLine="480" w:firstLineChars="200"/>
        <w:rPr>
          <w:rFonts w:ascii="宋体" w:hAnsi="宋体"/>
          <w:kern w:val="0"/>
          <w:sz w:val="24"/>
          <w:szCs w:val="20"/>
        </w:rPr>
      </w:pPr>
      <w:bookmarkStart w:id="86" w:name="_Toc296602463"/>
      <w:bookmarkStart w:id="87" w:name="_Toc152042352"/>
      <w:bookmarkStart w:id="88" w:name="_Toc144974544"/>
      <w:bookmarkStart w:id="89" w:name="_Toc247085734"/>
      <w:bookmarkStart w:id="90" w:name="_Toc246996220"/>
      <w:bookmarkStart w:id="91" w:name="_Toc152045576"/>
      <w:bookmarkStart w:id="92" w:name="_Toc246996963"/>
      <w:bookmarkStart w:id="93" w:name="_Toc179632594"/>
      <w:r>
        <w:rPr>
          <w:rFonts w:hint="eastAsia" w:ascii="宋体" w:hAnsi="宋体"/>
          <w:kern w:val="0"/>
          <w:sz w:val="24"/>
          <w:szCs w:val="20"/>
        </w:rPr>
        <w:t>13.2 对投标人的纪律要求</w:t>
      </w:r>
      <w:bookmarkEnd w:id="86"/>
      <w:bookmarkEnd w:id="87"/>
      <w:bookmarkEnd w:id="88"/>
      <w:bookmarkEnd w:id="89"/>
      <w:bookmarkEnd w:id="90"/>
      <w:bookmarkEnd w:id="91"/>
      <w:bookmarkEnd w:id="92"/>
      <w:bookmarkEnd w:id="93"/>
    </w:p>
    <w:p w14:paraId="0052FFFC">
      <w:pPr>
        <w:spacing w:line="360" w:lineRule="auto"/>
        <w:ind w:firstLine="480" w:firstLineChars="200"/>
        <w:rPr>
          <w:rFonts w:ascii="宋体" w:hAnsi="宋体"/>
          <w:kern w:val="0"/>
          <w:sz w:val="24"/>
          <w:szCs w:val="20"/>
        </w:rPr>
      </w:pPr>
      <w:r>
        <w:rPr>
          <w:rFonts w:hint="eastAsia" w:ascii="宋体" w:hAnsi="宋体"/>
          <w:kern w:val="0"/>
          <w:sz w:val="24"/>
          <w:szCs w:val="20"/>
        </w:rPr>
        <w:t>投标人不得相互串通投标或者与招标人串通投标，不得向招标人或者磋商小组成员行贿谋取成交，不得以他人名义投标或者以其他方式弄虚作假骗取成交；投标人不得以任何方式干扰、影响评标工作。</w:t>
      </w:r>
    </w:p>
    <w:p w14:paraId="2501F8D8">
      <w:pPr>
        <w:spacing w:line="360" w:lineRule="auto"/>
        <w:ind w:firstLine="480" w:firstLineChars="200"/>
        <w:rPr>
          <w:rFonts w:ascii="宋体" w:hAnsi="宋体"/>
          <w:kern w:val="0"/>
          <w:sz w:val="24"/>
          <w:szCs w:val="20"/>
        </w:rPr>
      </w:pPr>
      <w:bookmarkStart w:id="94" w:name="_Toc179632595"/>
      <w:bookmarkStart w:id="95" w:name="_Toc247085735"/>
      <w:bookmarkStart w:id="96" w:name="_Toc246996221"/>
      <w:bookmarkStart w:id="97" w:name="_Toc152045577"/>
      <w:bookmarkStart w:id="98" w:name="_Toc144974545"/>
      <w:bookmarkStart w:id="99" w:name="_Toc152042353"/>
      <w:bookmarkStart w:id="100" w:name="_Toc246996964"/>
      <w:bookmarkStart w:id="101" w:name="_Toc296602464"/>
      <w:r>
        <w:rPr>
          <w:rFonts w:hint="eastAsia" w:ascii="宋体" w:hAnsi="宋体"/>
          <w:kern w:val="0"/>
          <w:sz w:val="24"/>
          <w:szCs w:val="20"/>
        </w:rPr>
        <w:t>13.3 对磋商小组成员的纪律要求</w:t>
      </w:r>
      <w:bookmarkEnd w:id="94"/>
      <w:bookmarkEnd w:id="95"/>
      <w:bookmarkEnd w:id="96"/>
      <w:bookmarkEnd w:id="97"/>
      <w:bookmarkEnd w:id="98"/>
      <w:bookmarkEnd w:id="99"/>
      <w:bookmarkEnd w:id="100"/>
      <w:bookmarkEnd w:id="101"/>
    </w:p>
    <w:p w14:paraId="461ACB28">
      <w:pPr>
        <w:spacing w:line="360" w:lineRule="auto"/>
        <w:ind w:firstLine="480" w:firstLineChars="200"/>
        <w:rPr>
          <w:rFonts w:ascii="宋体" w:hAnsi="宋体"/>
          <w:kern w:val="0"/>
          <w:sz w:val="24"/>
          <w:szCs w:val="20"/>
        </w:rPr>
      </w:pPr>
      <w:r>
        <w:rPr>
          <w:rFonts w:hint="eastAsia" w:ascii="宋体" w:hAnsi="宋体"/>
          <w:kern w:val="0"/>
          <w:sz w:val="24"/>
          <w:szCs w:val="20"/>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标办法”没有规定的评审因素和标准进行评标。</w:t>
      </w:r>
    </w:p>
    <w:p w14:paraId="30D2BEBE">
      <w:pPr>
        <w:spacing w:line="360" w:lineRule="auto"/>
        <w:ind w:firstLine="480" w:firstLineChars="200"/>
        <w:rPr>
          <w:rFonts w:ascii="宋体" w:hAnsi="宋体"/>
          <w:kern w:val="0"/>
          <w:sz w:val="24"/>
          <w:szCs w:val="20"/>
        </w:rPr>
      </w:pPr>
      <w:bookmarkStart w:id="102" w:name="_Toc179632596"/>
      <w:bookmarkStart w:id="103" w:name="_Toc246996222"/>
      <w:bookmarkStart w:id="104" w:name="_Toc246996965"/>
      <w:bookmarkStart w:id="105" w:name="_Toc296602465"/>
      <w:bookmarkStart w:id="106" w:name="_Toc152042354"/>
      <w:bookmarkStart w:id="107" w:name="_Toc247085736"/>
      <w:bookmarkStart w:id="108" w:name="_Toc152045578"/>
      <w:bookmarkStart w:id="109" w:name="_Toc144974546"/>
      <w:r>
        <w:rPr>
          <w:rFonts w:hint="eastAsia" w:ascii="宋体" w:hAnsi="宋体"/>
          <w:kern w:val="0"/>
          <w:sz w:val="24"/>
          <w:szCs w:val="20"/>
        </w:rPr>
        <w:t>13.4 对与评标活动有关的工作人员的纪律要求</w:t>
      </w:r>
      <w:bookmarkEnd w:id="102"/>
      <w:bookmarkEnd w:id="103"/>
      <w:bookmarkEnd w:id="104"/>
      <w:bookmarkEnd w:id="105"/>
      <w:bookmarkEnd w:id="106"/>
      <w:bookmarkEnd w:id="107"/>
      <w:bookmarkEnd w:id="108"/>
    </w:p>
    <w:p w14:paraId="3268F4EF">
      <w:pPr>
        <w:spacing w:line="360" w:lineRule="auto"/>
        <w:ind w:firstLine="480" w:firstLineChars="200"/>
        <w:rPr>
          <w:rFonts w:ascii="宋体" w:hAnsi="宋体"/>
          <w:kern w:val="0"/>
          <w:sz w:val="24"/>
          <w:szCs w:val="20"/>
        </w:rPr>
      </w:pPr>
      <w:bookmarkStart w:id="110" w:name="_Toc152042355"/>
      <w:r>
        <w:rPr>
          <w:rFonts w:hint="eastAsia" w:ascii="宋体" w:hAnsi="宋体"/>
          <w:kern w:val="0"/>
          <w:sz w:val="24"/>
          <w:szCs w:val="20"/>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110"/>
    </w:p>
    <w:p w14:paraId="19711AB0">
      <w:pPr>
        <w:spacing w:line="360" w:lineRule="auto"/>
        <w:ind w:firstLine="480" w:firstLineChars="200"/>
        <w:rPr>
          <w:rFonts w:ascii="宋体" w:hAnsi="宋体"/>
          <w:kern w:val="0"/>
          <w:sz w:val="24"/>
          <w:szCs w:val="20"/>
        </w:rPr>
      </w:pPr>
      <w:bookmarkStart w:id="111" w:name="_Toc246996966"/>
      <w:bookmarkStart w:id="112" w:name="_Toc247085737"/>
      <w:bookmarkStart w:id="113" w:name="_Toc152042356"/>
      <w:bookmarkStart w:id="114" w:name="_Toc179632597"/>
      <w:bookmarkStart w:id="115" w:name="_Toc246996223"/>
      <w:bookmarkStart w:id="116" w:name="_Toc152045579"/>
      <w:bookmarkStart w:id="117" w:name="_Toc296602466"/>
      <w:r>
        <w:rPr>
          <w:rFonts w:hint="eastAsia" w:ascii="宋体" w:hAnsi="宋体"/>
          <w:kern w:val="0"/>
          <w:sz w:val="24"/>
          <w:szCs w:val="20"/>
        </w:rPr>
        <w:t>13.5 投诉</w:t>
      </w:r>
      <w:bookmarkEnd w:id="109"/>
      <w:bookmarkEnd w:id="111"/>
      <w:bookmarkEnd w:id="112"/>
      <w:bookmarkEnd w:id="113"/>
      <w:bookmarkEnd w:id="114"/>
      <w:bookmarkEnd w:id="115"/>
      <w:bookmarkEnd w:id="116"/>
      <w:bookmarkEnd w:id="117"/>
    </w:p>
    <w:p w14:paraId="52F10D0F">
      <w:pPr>
        <w:spacing w:line="360" w:lineRule="auto"/>
        <w:ind w:firstLine="480" w:firstLineChars="200"/>
        <w:rPr>
          <w:rFonts w:ascii="宋体" w:hAnsi="宋体"/>
          <w:kern w:val="0"/>
          <w:sz w:val="24"/>
          <w:szCs w:val="20"/>
        </w:rPr>
      </w:pPr>
      <w:r>
        <w:rPr>
          <w:rFonts w:hint="eastAsia" w:ascii="宋体" w:hAnsi="宋体"/>
          <w:kern w:val="0"/>
          <w:sz w:val="24"/>
          <w:szCs w:val="20"/>
        </w:rPr>
        <w:t>投标人和其他利害关系人认为本次招标活动违反法律、法规和规章规定的，有权向有关行政监督部门投诉。</w:t>
      </w:r>
    </w:p>
    <w:p w14:paraId="1FC2A063">
      <w:pPr>
        <w:widowControl/>
        <w:jc w:val="left"/>
        <w:rPr>
          <w:rFonts w:ascii="宋体" w:hAnsi="宋体"/>
        </w:rPr>
      </w:pPr>
    </w:p>
    <w:bookmarkEnd w:id="27"/>
    <w:bookmarkEnd w:id="28"/>
    <w:bookmarkEnd w:id="29"/>
    <w:bookmarkEnd w:id="30"/>
    <w:bookmarkEnd w:id="31"/>
    <w:bookmarkEnd w:id="32"/>
    <w:bookmarkEnd w:id="33"/>
    <w:bookmarkEnd w:id="34"/>
    <w:p w14:paraId="19E5FB4B">
      <w:pPr>
        <w:spacing w:line="360" w:lineRule="auto"/>
        <w:ind w:firstLine="600" w:firstLineChars="250"/>
        <w:rPr>
          <w:rFonts w:ascii="宋体" w:hAnsi="宋体" w:cs="宋体"/>
          <w:sz w:val="24"/>
        </w:rPr>
      </w:pPr>
    </w:p>
    <w:p w14:paraId="28B48982">
      <w:pPr>
        <w:jc w:val="center"/>
        <w:outlineLvl w:val="0"/>
        <w:rPr>
          <w:rFonts w:ascii="宋体" w:hAnsi="宋体"/>
        </w:rPr>
      </w:pPr>
      <w:bookmarkStart w:id="118" w:name="_Toc508179884"/>
    </w:p>
    <w:p w14:paraId="5C5133EA">
      <w:pPr>
        <w:jc w:val="center"/>
        <w:outlineLvl w:val="0"/>
        <w:rPr>
          <w:rFonts w:ascii="宋体" w:hAnsi="宋体"/>
        </w:rPr>
      </w:pPr>
    </w:p>
    <w:p w14:paraId="1F813C29">
      <w:pPr>
        <w:outlineLvl w:val="0"/>
        <w:rPr>
          <w:rFonts w:ascii="宋体" w:hAnsi="宋体"/>
        </w:rPr>
        <w:sectPr>
          <w:headerReference r:id="rId5" w:type="first"/>
          <w:footerReference r:id="rId8" w:type="first"/>
          <w:headerReference r:id="rId3" w:type="default"/>
          <w:footerReference r:id="rId6" w:type="default"/>
          <w:headerReference r:id="rId4" w:type="even"/>
          <w:footerReference r:id="rId7" w:type="even"/>
          <w:pgSz w:w="11906" w:h="16838"/>
          <w:pgMar w:top="1304" w:right="1134" w:bottom="1134" w:left="1134" w:header="851" w:footer="907" w:gutter="0"/>
          <w:pgNumType w:start="1"/>
          <w:cols w:space="720" w:num="1"/>
          <w:titlePg/>
          <w:docGrid w:type="lines" w:linePitch="312" w:charSpace="0"/>
        </w:sectPr>
      </w:pPr>
    </w:p>
    <w:bookmarkEnd w:id="118"/>
    <w:p w14:paraId="01372BF2">
      <w:pPr>
        <w:jc w:val="center"/>
        <w:outlineLvl w:val="0"/>
        <w:rPr>
          <w:rFonts w:ascii="宋体" w:hAnsi="宋体"/>
          <w:b/>
          <w:bCs/>
          <w:sz w:val="32"/>
          <w:szCs w:val="32"/>
        </w:rPr>
      </w:pPr>
      <w:bookmarkStart w:id="119" w:name="_Toc495647412"/>
      <w:bookmarkStart w:id="120" w:name="_Toc16520166"/>
      <w:bookmarkStart w:id="121" w:name="_Toc171013995"/>
      <w:bookmarkStart w:id="122" w:name="_Toc16520678"/>
      <w:bookmarkStart w:id="123" w:name="_Toc508179885"/>
      <w:bookmarkStart w:id="124" w:name="_Toc523220934"/>
      <w:r>
        <w:rPr>
          <w:rFonts w:hint="eastAsia" w:ascii="宋体" w:hAnsi="宋体"/>
          <w:b/>
          <w:bCs/>
          <w:sz w:val="32"/>
          <w:szCs w:val="32"/>
        </w:rPr>
        <w:t>第三章  评审办法</w:t>
      </w:r>
      <w:bookmarkEnd w:id="119"/>
      <w:bookmarkEnd w:id="120"/>
      <w:bookmarkEnd w:id="121"/>
      <w:bookmarkEnd w:id="122"/>
    </w:p>
    <w:p w14:paraId="2E2A021F">
      <w:pPr>
        <w:spacing w:line="360" w:lineRule="auto"/>
        <w:ind w:firstLine="482" w:firstLineChars="200"/>
        <w:rPr>
          <w:rFonts w:ascii="宋体" w:hAnsi="宋体"/>
          <w:b/>
          <w:color w:val="000000"/>
          <w:sz w:val="24"/>
        </w:rPr>
      </w:pPr>
      <w:r>
        <w:rPr>
          <w:rFonts w:hint="eastAsia" w:ascii="宋体" w:hAnsi="宋体"/>
          <w:b/>
          <w:color w:val="000000"/>
          <w:sz w:val="24"/>
        </w:rPr>
        <w:t>一、评标方法</w:t>
      </w:r>
    </w:p>
    <w:p w14:paraId="231E5D37">
      <w:pPr>
        <w:spacing w:line="360" w:lineRule="auto"/>
        <w:ind w:firstLine="480" w:firstLineChars="200"/>
        <w:rPr>
          <w:rFonts w:ascii="宋体" w:hAnsi="宋体"/>
          <w:color w:val="000000"/>
          <w:sz w:val="24"/>
        </w:rPr>
      </w:pPr>
      <w:r>
        <w:rPr>
          <w:rFonts w:hint="eastAsia" w:ascii="宋体" w:hAnsi="宋体"/>
          <w:color w:val="000000"/>
          <w:sz w:val="24"/>
        </w:rPr>
        <w:t>本次评标采用综合评估法。磋商小组对满足磋商文件实质性要求的磋商文件，按照本章规定的评分标准进行打分，并按得分由高到低顺序推荐1-3名中标候选人。综合评分相等时，按投标报价由低到高顺序排列；投标报价也相等时，按技术得分由高到低顺序排列。排名第一的的供应商为第一中标候选人,排名第二的供应商为第二中标候选人，排名第三的供应商为第三中标候选人。</w:t>
      </w:r>
    </w:p>
    <w:p w14:paraId="2A0276E3">
      <w:pPr>
        <w:spacing w:line="360" w:lineRule="auto"/>
        <w:ind w:firstLine="482" w:firstLineChars="200"/>
        <w:rPr>
          <w:rFonts w:ascii="宋体" w:hAnsi="宋体"/>
          <w:b/>
          <w:color w:val="000000"/>
          <w:sz w:val="24"/>
        </w:rPr>
      </w:pPr>
      <w:r>
        <w:rPr>
          <w:rFonts w:hint="eastAsia" w:ascii="宋体" w:hAnsi="宋体"/>
          <w:b/>
          <w:color w:val="000000"/>
          <w:sz w:val="24"/>
        </w:rPr>
        <w:t>二、评标程序</w:t>
      </w:r>
    </w:p>
    <w:p w14:paraId="70D00CA1">
      <w:pPr>
        <w:spacing w:line="360" w:lineRule="auto"/>
        <w:ind w:firstLine="480" w:firstLineChars="200"/>
        <w:rPr>
          <w:rFonts w:ascii="宋体" w:hAnsi="宋体"/>
          <w:color w:val="000000"/>
          <w:sz w:val="24"/>
        </w:rPr>
      </w:pPr>
      <w:r>
        <w:rPr>
          <w:rFonts w:hint="eastAsia" w:ascii="宋体" w:hAnsi="宋体"/>
          <w:color w:val="000000"/>
          <w:sz w:val="24"/>
        </w:rPr>
        <w:t>2.1、资格审查</w:t>
      </w:r>
    </w:p>
    <w:p w14:paraId="27E07A70">
      <w:pPr>
        <w:spacing w:line="360" w:lineRule="auto"/>
        <w:ind w:firstLine="480" w:firstLineChars="200"/>
        <w:rPr>
          <w:rFonts w:ascii="宋体" w:hAnsi="宋体"/>
          <w:color w:val="000000"/>
          <w:sz w:val="24"/>
        </w:rPr>
      </w:pPr>
      <w:r>
        <w:rPr>
          <w:rFonts w:hint="eastAsia" w:ascii="宋体" w:hAnsi="宋体"/>
          <w:color w:val="000000"/>
          <w:sz w:val="24"/>
        </w:rPr>
        <w:t>磋商响应性文件不能满足下列情形之一的，由磋商小组初审后将不进入下一轮评审。</w:t>
      </w:r>
    </w:p>
    <w:tbl>
      <w:tblPr>
        <w:tblStyle w:val="11"/>
        <w:tblW w:w="9569" w:type="dxa"/>
        <w:jc w:val="center"/>
        <w:tblLayout w:type="fixed"/>
        <w:tblCellMar>
          <w:top w:w="0" w:type="dxa"/>
          <w:left w:w="108" w:type="dxa"/>
          <w:bottom w:w="0" w:type="dxa"/>
          <w:right w:w="108" w:type="dxa"/>
        </w:tblCellMar>
      </w:tblPr>
      <w:tblGrid>
        <w:gridCol w:w="724"/>
        <w:gridCol w:w="3386"/>
        <w:gridCol w:w="5459"/>
      </w:tblGrid>
      <w:tr w14:paraId="51B00248">
        <w:tblPrEx>
          <w:tblCellMar>
            <w:top w:w="0" w:type="dxa"/>
            <w:left w:w="108" w:type="dxa"/>
            <w:bottom w:w="0" w:type="dxa"/>
            <w:right w:w="108" w:type="dxa"/>
          </w:tblCellMar>
        </w:tblPrEx>
        <w:trPr>
          <w:trHeight w:val="823" w:hRule="exac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1457DDD2">
            <w:pPr>
              <w:widowControl/>
              <w:spacing w:line="480" w:lineRule="exact"/>
              <w:jc w:val="center"/>
              <w:rPr>
                <w:rFonts w:ascii="宋体" w:hAnsi="宋体" w:cs="宋体"/>
                <w:b/>
                <w:bCs/>
                <w:kern w:val="0"/>
                <w:sz w:val="24"/>
              </w:rPr>
            </w:pPr>
            <w:r>
              <w:rPr>
                <w:rFonts w:hint="eastAsia" w:ascii="宋体" w:hAnsi="宋体" w:cs="宋体"/>
                <w:b/>
                <w:bCs/>
                <w:kern w:val="0"/>
                <w:sz w:val="24"/>
              </w:rPr>
              <w:t>序号</w:t>
            </w:r>
          </w:p>
        </w:tc>
        <w:tc>
          <w:tcPr>
            <w:tcW w:w="3386" w:type="dxa"/>
            <w:tcBorders>
              <w:top w:val="single" w:color="auto" w:sz="4" w:space="0"/>
              <w:left w:val="single" w:color="auto" w:sz="4" w:space="0"/>
              <w:bottom w:val="single" w:color="auto" w:sz="4" w:space="0"/>
              <w:right w:val="single" w:color="auto" w:sz="4" w:space="0"/>
            </w:tcBorders>
            <w:noWrap/>
            <w:vAlign w:val="center"/>
          </w:tcPr>
          <w:p w14:paraId="2710C59A">
            <w:pPr>
              <w:widowControl/>
              <w:spacing w:line="480" w:lineRule="exact"/>
              <w:jc w:val="center"/>
              <w:rPr>
                <w:rFonts w:ascii="宋体" w:hAnsi="宋体" w:cs="宋体"/>
                <w:b/>
                <w:bCs/>
                <w:kern w:val="0"/>
                <w:sz w:val="24"/>
              </w:rPr>
            </w:pPr>
            <w:r>
              <w:rPr>
                <w:rFonts w:ascii="宋体" w:hAnsi="宋体" w:cs="宋体"/>
                <w:b/>
                <w:bCs/>
                <w:kern w:val="0"/>
                <w:sz w:val="24"/>
              </w:rPr>
              <w:t>审查项</w:t>
            </w:r>
          </w:p>
        </w:tc>
        <w:tc>
          <w:tcPr>
            <w:tcW w:w="5459" w:type="dxa"/>
            <w:tcBorders>
              <w:top w:val="single" w:color="auto" w:sz="4" w:space="0"/>
              <w:left w:val="nil"/>
              <w:bottom w:val="single" w:color="auto" w:sz="4" w:space="0"/>
              <w:right w:val="single" w:color="auto" w:sz="4" w:space="0"/>
            </w:tcBorders>
            <w:noWrap/>
            <w:vAlign w:val="center"/>
          </w:tcPr>
          <w:p w14:paraId="16D7D748">
            <w:pPr>
              <w:widowControl/>
              <w:spacing w:line="480" w:lineRule="exact"/>
              <w:jc w:val="center"/>
              <w:rPr>
                <w:rFonts w:ascii="宋体" w:hAnsi="宋体" w:cs="宋体"/>
                <w:b/>
                <w:bCs/>
                <w:kern w:val="0"/>
                <w:sz w:val="24"/>
              </w:rPr>
            </w:pPr>
            <w:r>
              <w:rPr>
                <w:rFonts w:hint="eastAsia" w:ascii="宋体" w:hAnsi="宋体" w:cs="宋体"/>
                <w:b/>
                <w:bCs/>
                <w:kern w:val="0"/>
                <w:sz w:val="24"/>
              </w:rPr>
              <w:t>审查标准</w:t>
            </w:r>
          </w:p>
        </w:tc>
      </w:tr>
      <w:tr w14:paraId="454B20DE">
        <w:tblPrEx>
          <w:tblCellMar>
            <w:top w:w="0" w:type="dxa"/>
            <w:left w:w="108" w:type="dxa"/>
            <w:bottom w:w="0" w:type="dxa"/>
            <w:right w:w="108" w:type="dxa"/>
          </w:tblCellMar>
        </w:tblPrEx>
        <w:trPr>
          <w:trHeight w:val="1125" w:hRule="atLeast"/>
          <w:jc w:val="center"/>
        </w:trPr>
        <w:tc>
          <w:tcPr>
            <w:tcW w:w="724" w:type="dxa"/>
            <w:tcBorders>
              <w:top w:val="nil"/>
              <w:left w:val="single" w:color="auto" w:sz="4" w:space="0"/>
              <w:bottom w:val="single" w:color="auto" w:sz="4" w:space="0"/>
              <w:right w:val="single" w:color="auto" w:sz="4" w:space="0"/>
            </w:tcBorders>
            <w:noWrap/>
            <w:vAlign w:val="center"/>
          </w:tcPr>
          <w:p w14:paraId="72348A2D">
            <w:pPr>
              <w:widowControl/>
              <w:spacing w:line="480" w:lineRule="exact"/>
              <w:jc w:val="center"/>
              <w:rPr>
                <w:rFonts w:ascii="宋体" w:hAnsi="宋体" w:cs="宋体"/>
                <w:kern w:val="0"/>
                <w:sz w:val="24"/>
              </w:rPr>
            </w:pPr>
            <w:r>
              <w:rPr>
                <w:rFonts w:hint="eastAsia" w:ascii="宋体" w:hAnsi="宋体" w:cs="宋体"/>
                <w:kern w:val="0"/>
                <w:sz w:val="24"/>
              </w:rPr>
              <w:t>1</w:t>
            </w:r>
          </w:p>
        </w:tc>
        <w:tc>
          <w:tcPr>
            <w:tcW w:w="3386" w:type="dxa"/>
            <w:tcBorders>
              <w:top w:val="nil"/>
              <w:left w:val="single" w:color="auto" w:sz="4" w:space="0"/>
              <w:bottom w:val="single" w:color="auto" w:sz="4" w:space="0"/>
              <w:right w:val="single" w:color="auto" w:sz="4" w:space="0"/>
            </w:tcBorders>
            <w:noWrap/>
            <w:vAlign w:val="center"/>
          </w:tcPr>
          <w:p w14:paraId="4D5BCFF6">
            <w:pPr>
              <w:widowControl/>
              <w:spacing w:line="480" w:lineRule="exact"/>
              <w:jc w:val="center"/>
              <w:rPr>
                <w:rFonts w:ascii="宋体" w:hAnsi="宋体" w:cs="宋体"/>
                <w:kern w:val="0"/>
                <w:sz w:val="24"/>
              </w:rPr>
            </w:pPr>
            <w:r>
              <w:rPr>
                <w:rFonts w:ascii="宋体" w:hAnsi="宋体" w:cs="宋体"/>
                <w:kern w:val="0"/>
                <w:sz w:val="24"/>
              </w:rPr>
              <w:t>营业执照</w:t>
            </w:r>
          </w:p>
        </w:tc>
        <w:tc>
          <w:tcPr>
            <w:tcW w:w="5459" w:type="dxa"/>
            <w:tcBorders>
              <w:top w:val="nil"/>
              <w:left w:val="nil"/>
              <w:bottom w:val="single" w:color="auto" w:sz="4" w:space="0"/>
              <w:right w:val="single" w:color="auto" w:sz="4" w:space="0"/>
            </w:tcBorders>
            <w:noWrap/>
            <w:vAlign w:val="center"/>
          </w:tcPr>
          <w:p w14:paraId="47BD48D8">
            <w:pPr>
              <w:widowControl/>
              <w:spacing w:line="480" w:lineRule="exact"/>
              <w:jc w:val="left"/>
              <w:rPr>
                <w:rFonts w:ascii="宋体" w:hAnsi="宋体" w:cs="宋体"/>
                <w:kern w:val="0"/>
                <w:sz w:val="24"/>
              </w:rPr>
            </w:pPr>
            <w:r>
              <w:rPr>
                <w:rFonts w:ascii="宋体" w:hAnsi="宋体" w:cs="宋体"/>
                <w:kern w:val="0"/>
                <w:sz w:val="24"/>
              </w:rPr>
              <w:t>营业执照；税务登记证；组织机构代码证（或三证合一的营业执照）</w:t>
            </w:r>
          </w:p>
        </w:tc>
      </w:tr>
      <w:tr w14:paraId="44A436C3">
        <w:tblPrEx>
          <w:tblCellMar>
            <w:top w:w="0" w:type="dxa"/>
            <w:left w:w="108" w:type="dxa"/>
            <w:bottom w:w="0" w:type="dxa"/>
            <w:right w:w="108" w:type="dxa"/>
          </w:tblCellMar>
        </w:tblPrEx>
        <w:trPr>
          <w:trHeight w:val="1158" w:hRule="exact"/>
          <w:jc w:val="center"/>
        </w:trPr>
        <w:tc>
          <w:tcPr>
            <w:tcW w:w="724" w:type="dxa"/>
            <w:tcBorders>
              <w:top w:val="nil"/>
              <w:left w:val="single" w:color="auto" w:sz="4" w:space="0"/>
              <w:bottom w:val="single" w:color="auto" w:sz="4" w:space="0"/>
              <w:right w:val="single" w:color="auto" w:sz="4" w:space="0"/>
            </w:tcBorders>
            <w:noWrap/>
            <w:vAlign w:val="center"/>
          </w:tcPr>
          <w:p w14:paraId="3F39B54C">
            <w:pPr>
              <w:widowControl/>
              <w:spacing w:line="480" w:lineRule="exact"/>
              <w:jc w:val="center"/>
              <w:rPr>
                <w:rFonts w:ascii="宋体" w:hAnsi="宋体" w:cs="宋体"/>
                <w:kern w:val="0"/>
                <w:sz w:val="24"/>
              </w:rPr>
            </w:pPr>
            <w:r>
              <w:rPr>
                <w:rFonts w:hint="eastAsia" w:ascii="宋体" w:hAnsi="宋体" w:cs="宋体"/>
                <w:kern w:val="0"/>
                <w:sz w:val="24"/>
              </w:rPr>
              <w:t>2</w:t>
            </w:r>
          </w:p>
        </w:tc>
        <w:tc>
          <w:tcPr>
            <w:tcW w:w="3386" w:type="dxa"/>
            <w:tcBorders>
              <w:top w:val="nil"/>
              <w:left w:val="single" w:color="auto" w:sz="4" w:space="0"/>
              <w:bottom w:val="single" w:color="auto" w:sz="4" w:space="0"/>
              <w:right w:val="single" w:color="auto" w:sz="4" w:space="0"/>
            </w:tcBorders>
            <w:noWrap/>
            <w:vAlign w:val="center"/>
          </w:tcPr>
          <w:p w14:paraId="72BD539E">
            <w:pPr>
              <w:spacing w:line="480" w:lineRule="exact"/>
              <w:jc w:val="center"/>
              <w:rPr>
                <w:rFonts w:ascii="宋体" w:hAnsi="宋体" w:cs="宋体"/>
                <w:kern w:val="0"/>
                <w:sz w:val="24"/>
              </w:rPr>
            </w:pPr>
            <w:r>
              <w:rPr>
                <w:rFonts w:hint="eastAsia" w:ascii="宋体" w:hAnsi="宋体" w:cs="宋体"/>
                <w:kern w:val="0"/>
                <w:sz w:val="24"/>
              </w:rPr>
              <w:t>资质等级</w:t>
            </w:r>
          </w:p>
        </w:tc>
        <w:tc>
          <w:tcPr>
            <w:tcW w:w="5459" w:type="dxa"/>
            <w:tcBorders>
              <w:top w:val="nil"/>
              <w:left w:val="nil"/>
              <w:bottom w:val="single" w:color="auto" w:sz="4" w:space="0"/>
              <w:right w:val="single" w:color="auto" w:sz="4" w:space="0"/>
            </w:tcBorders>
            <w:noWrap/>
            <w:vAlign w:val="center"/>
          </w:tcPr>
          <w:p w14:paraId="5E16BCB9">
            <w:pPr>
              <w:widowControl/>
              <w:spacing w:line="360" w:lineRule="auto"/>
              <w:jc w:val="left"/>
              <w:rPr>
                <w:rFonts w:ascii="宋体" w:hAnsi="宋体"/>
                <w:sz w:val="24"/>
              </w:rPr>
            </w:pPr>
            <w:r>
              <w:rPr>
                <w:rFonts w:hint="eastAsia" w:ascii="宋体" w:hAnsi="宋体"/>
                <w:color w:val="000000"/>
                <w:sz w:val="24"/>
              </w:rPr>
              <w:t>具有公路工程施工总承包叁级（含叁级）及以上资质</w:t>
            </w:r>
          </w:p>
        </w:tc>
      </w:tr>
      <w:tr w14:paraId="395BB149">
        <w:tblPrEx>
          <w:tblCellMar>
            <w:top w:w="0" w:type="dxa"/>
            <w:left w:w="108" w:type="dxa"/>
            <w:bottom w:w="0" w:type="dxa"/>
            <w:right w:w="108" w:type="dxa"/>
          </w:tblCellMar>
        </w:tblPrEx>
        <w:trPr>
          <w:trHeight w:val="839" w:hRule="atLeast"/>
          <w:jc w:val="center"/>
        </w:trPr>
        <w:tc>
          <w:tcPr>
            <w:tcW w:w="724" w:type="dxa"/>
            <w:tcBorders>
              <w:top w:val="nil"/>
              <w:left w:val="single" w:color="auto" w:sz="4" w:space="0"/>
              <w:bottom w:val="single" w:color="auto" w:sz="4" w:space="0"/>
              <w:right w:val="single" w:color="auto" w:sz="4" w:space="0"/>
            </w:tcBorders>
            <w:noWrap/>
            <w:vAlign w:val="center"/>
          </w:tcPr>
          <w:p w14:paraId="0160D20F">
            <w:pPr>
              <w:widowControl/>
              <w:spacing w:line="480" w:lineRule="exact"/>
              <w:jc w:val="center"/>
              <w:rPr>
                <w:rFonts w:ascii="宋体" w:hAnsi="宋体" w:cs="宋体"/>
                <w:kern w:val="0"/>
                <w:sz w:val="24"/>
              </w:rPr>
            </w:pPr>
            <w:r>
              <w:rPr>
                <w:rFonts w:hint="eastAsia" w:ascii="宋体" w:hAnsi="宋体" w:cs="宋体"/>
                <w:kern w:val="0"/>
                <w:sz w:val="24"/>
              </w:rPr>
              <w:t>3</w:t>
            </w:r>
          </w:p>
        </w:tc>
        <w:tc>
          <w:tcPr>
            <w:tcW w:w="3386" w:type="dxa"/>
            <w:tcBorders>
              <w:top w:val="nil"/>
              <w:left w:val="single" w:color="auto" w:sz="4" w:space="0"/>
              <w:bottom w:val="single" w:color="auto" w:sz="4" w:space="0"/>
              <w:right w:val="single" w:color="auto" w:sz="4" w:space="0"/>
            </w:tcBorders>
            <w:noWrap/>
            <w:vAlign w:val="center"/>
          </w:tcPr>
          <w:p w14:paraId="19AD0E6D">
            <w:pPr>
              <w:widowControl/>
              <w:spacing w:line="480" w:lineRule="exact"/>
              <w:jc w:val="center"/>
              <w:rPr>
                <w:rFonts w:ascii="宋体" w:hAnsi="宋体" w:cs="宋体"/>
                <w:kern w:val="10"/>
                <w:sz w:val="24"/>
              </w:rPr>
            </w:pPr>
            <w:r>
              <w:rPr>
                <w:rFonts w:hint="eastAsia" w:ascii="宋体" w:hAnsi="宋体" w:cs="宋体"/>
                <w:kern w:val="0"/>
                <w:sz w:val="24"/>
              </w:rPr>
              <w:t>安全生产许可证</w:t>
            </w:r>
          </w:p>
        </w:tc>
        <w:tc>
          <w:tcPr>
            <w:tcW w:w="5459" w:type="dxa"/>
            <w:tcBorders>
              <w:top w:val="nil"/>
              <w:left w:val="nil"/>
              <w:bottom w:val="single" w:color="auto" w:sz="4" w:space="0"/>
              <w:right w:val="single" w:color="auto" w:sz="4" w:space="0"/>
            </w:tcBorders>
            <w:noWrap/>
            <w:vAlign w:val="center"/>
          </w:tcPr>
          <w:p w14:paraId="442CFF3E">
            <w:pPr>
              <w:spacing w:line="560" w:lineRule="exact"/>
              <w:jc w:val="left"/>
              <w:rPr>
                <w:rFonts w:ascii="宋体" w:hAnsi="宋体" w:cs="宋体"/>
                <w:kern w:val="10"/>
                <w:sz w:val="24"/>
              </w:rPr>
            </w:pPr>
            <w:r>
              <w:rPr>
                <w:rFonts w:hint="eastAsia" w:ascii="宋体" w:hAnsi="宋体" w:cs="宋体"/>
                <w:kern w:val="0"/>
                <w:sz w:val="24"/>
              </w:rPr>
              <w:t>具备有效的安全生产许可证</w:t>
            </w:r>
          </w:p>
        </w:tc>
      </w:tr>
      <w:tr w14:paraId="532D1247">
        <w:tblPrEx>
          <w:tblCellMar>
            <w:top w:w="0" w:type="dxa"/>
            <w:left w:w="108" w:type="dxa"/>
            <w:bottom w:w="0" w:type="dxa"/>
            <w:right w:w="108" w:type="dxa"/>
          </w:tblCellMar>
        </w:tblPrEx>
        <w:trPr>
          <w:trHeight w:val="2110" w:hRule="atLeast"/>
          <w:jc w:val="center"/>
        </w:trPr>
        <w:tc>
          <w:tcPr>
            <w:tcW w:w="724" w:type="dxa"/>
            <w:tcBorders>
              <w:top w:val="nil"/>
              <w:left w:val="single" w:color="auto" w:sz="4" w:space="0"/>
              <w:bottom w:val="single" w:color="auto" w:sz="4" w:space="0"/>
              <w:right w:val="single" w:color="auto" w:sz="4" w:space="0"/>
            </w:tcBorders>
            <w:noWrap/>
            <w:vAlign w:val="center"/>
          </w:tcPr>
          <w:p w14:paraId="46519EA1">
            <w:pPr>
              <w:widowControl/>
              <w:spacing w:line="480" w:lineRule="exact"/>
              <w:jc w:val="center"/>
              <w:rPr>
                <w:rFonts w:ascii="宋体" w:hAnsi="宋体" w:cs="宋体"/>
                <w:kern w:val="0"/>
                <w:sz w:val="24"/>
              </w:rPr>
            </w:pPr>
            <w:r>
              <w:rPr>
                <w:rFonts w:hint="eastAsia" w:ascii="宋体" w:hAnsi="宋体" w:cs="宋体"/>
                <w:kern w:val="0"/>
                <w:sz w:val="24"/>
              </w:rPr>
              <w:t>4</w:t>
            </w:r>
          </w:p>
        </w:tc>
        <w:tc>
          <w:tcPr>
            <w:tcW w:w="3386" w:type="dxa"/>
            <w:tcBorders>
              <w:top w:val="nil"/>
              <w:left w:val="single" w:color="auto" w:sz="4" w:space="0"/>
              <w:bottom w:val="single" w:color="auto" w:sz="4" w:space="0"/>
              <w:right w:val="single" w:color="auto" w:sz="4" w:space="0"/>
            </w:tcBorders>
            <w:noWrap/>
            <w:vAlign w:val="center"/>
          </w:tcPr>
          <w:p w14:paraId="012BE97B">
            <w:pPr>
              <w:widowControl/>
              <w:spacing w:line="480" w:lineRule="exact"/>
              <w:jc w:val="center"/>
              <w:rPr>
                <w:rFonts w:ascii="宋体" w:hAnsi="宋体" w:cs="宋体"/>
                <w:kern w:val="0"/>
                <w:sz w:val="24"/>
              </w:rPr>
            </w:pPr>
            <w:r>
              <w:rPr>
                <w:rFonts w:hint="eastAsia" w:ascii="宋体" w:hAnsi="宋体" w:cs="宋体"/>
                <w:kern w:val="0"/>
                <w:sz w:val="24"/>
              </w:rPr>
              <w:t>项目经理资格</w:t>
            </w:r>
          </w:p>
        </w:tc>
        <w:tc>
          <w:tcPr>
            <w:tcW w:w="5459" w:type="dxa"/>
            <w:tcBorders>
              <w:top w:val="nil"/>
              <w:left w:val="nil"/>
              <w:bottom w:val="single" w:color="auto" w:sz="4" w:space="0"/>
              <w:right w:val="single" w:color="auto" w:sz="4" w:space="0"/>
            </w:tcBorders>
            <w:noWrap/>
            <w:vAlign w:val="center"/>
          </w:tcPr>
          <w:p w14:paraId="7A9178EE">
            <w:pPr>
              <w:widowControl/>
              <w:spacing w:line="360" w:lineRule="auto"/>
              <w:jc w:val="left"/>
              <w:rPr>
                <w:rFonts w:ascii="宋体" w:hAnsi="宋体"/>
                <w:sz w:val="24"/>
              </w:rPr>
            </w:pPr>
            <w:r>
              <w:rPr>
                <w:rFonts w:hint="eastAsia" w:ascii="宋体" w:hAnsi="宋体"/>
                <w:sz w:val="24"/>
              </w:rPr>
              <w:t>具备公路工程专业贰级（含贰级）及以上注册建造师资格、具备有效的安全生产考核合格证书（建安B证或交安B证），未在其它在建工程项目中担任项目经理，并提供本单位劳动合同和缴费的社保证明；</w:t>
            </w:r>
          </w:p>
        </w:tc>
      </w:tr>
      <w:tr w14:paraId="62D4A5E0">
        <w:tblPrEx>
          <w:tblCellMar>
            <w:top w:w="0" w:type="dxa"/>
            <w:left w:w="108" w:type="dxa"/>
            <w:bottom w:w="0" w:type="dxa"/>
            <w:right w:w="108" w:type="dxa"/>
          </w:tblCellMar>
        </w:tblPrEx>
        <w:trPr>
          <w:trHeight w:val="1088"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56506C0F">
            <w:pPr>
              <w:spacing w:line="480" w:lineRule="exact"/>
              <w:jc w:val="center"/>
              <w:rPr>
                <w:rFonts w:ascii="宋体" w:hAnsi="宋体" w:cs="宋体"/>
                <w:kern w:val="0"/>
                <w:sz w:val="24"/>
              </w:rPr>
            </w:pPr>
            <w:r>
              <w:rPr>
                <w:rFonts w:hint="eastAsia" w:ascii="宋体" w:hAnsi="宋体" w:cs="宋体"/>
                <w:kern w:val="0"/>
                <w:sz w:val="24"/>
              </w:rPr>
              <w:t>5</w:t>
            </w:r>
          </w:p>
        </w:tc>
        <w:tc>
          <w:tcPr>
            <w:tcW w:w="3386" w:type="dxa"/>
            <w:tcBorders>
              <w:top w:val="single" w:color="auto" w:sz="4" w:space="0"/>
              <w:left w:val="single" w:color="auto" w:sz="4" w:space="0"/>
              <w:bottom w:val="single" w:color="auto" w:sz="4" w:space="0"/>
              <w:right w:val="single" w:color="auto" w:sz="4" w:space="0"/>
            </w:tcBorders>
            <w:noWrap/>
            <w:vAlign w:val="center"/>
          </w:tcPr>
          <w:p w14:paraId="65524865">
            <w:pPr>
              <w:spacing w:line="480" w:lineRule="exact"/>
              <w:jc w:val="center"/>
              <w:rPr>
                <w:rFonts w:ascii="宋体" w:hAnsi="宋体" w:cs="宋体"/>
                <w:color w:val="FF0000"/>
                <w:kern w:val="0"/>
                <w:sz w:val="24"/>
              </w:rPr>
            </w:pPr>
            <w:r>
              <w:rPr>
                <w:rFonts w:hint="eastAsia" w:ascii="宋体" w:hAnsi="宋体" w:cs="宋体"/>
                <w:kern w:val="0"/>
                <w:sz w:val="24"/>
                <w:szCs w:val="22"/>
              </w:rPr>
              <w:t>无商业贿赂及无不正当竞争行为的承诺书</w:t>
            </w:r>
          </w:p>
        </w:tc>
        <w:tc>
          <w:tcPr>
            <w:tcW w:w="5459" w:type="dxa"/>
            <w:tcBorders>
              <w:top w:val="single" w:color="auto" w:sz="4" w:space="0"/>
              <w:left w:val="nil"/>
              <w:bottom w:val="single" w:color="auto" w:sz="4" w:space="0"/>
              <w:right w:val="single" w:color="auto" w:sz="4" w:space="0"/>
            </w:tcBorders>
            <w:noWrap/>
            <w:vAlign w:val="center"/>
          </w:tcPr>
          <w:p w14:paraId="12EBD760">
            <w:pPr>
              <w:widowControl/>
              <w:spacing w:line="360" w:lineRule="auto"/>
              <w:jc w:val="left"/>
              <w:rPr>
                <w:rFonts w:ascii="宋体" w:hAnsi="宋体" w:cs="宋体"/>
                <w:kern w:val="0"/>
                <w:sz w:val="24"/>
              </w:rPr>
            </w:pPr>
            <w:r>
              <w:rPr>
                <w:rFonts w:hint="eastAsia" w:ascii="宋体" w:hAnsi="宋体"/>
                <w:sz w:val="24"/>
              </w:rPr>
              <w:t xml:space="preserve">投标人自行出具本企业近三年无商业贿赂及无不正当竞争行为的承诺书 </w:t>
            </w:r>
          </w:p>
        </w:tc>
      </w:tr>
      <w:tr w14:paraId="3B306896">
        <w:tblPrEx>
          <w:tblCellMar>
            <w:top w:w="0" w:type="dxa"/>
            <w:left w:w="108" w:type="dxa"/>
            <w:bottom w:w="0" w:type="dxa"/>
            <w:right w:w="108" w:type="dxa"/>
          </w:tblCellMar>
        </w:tblPrEx>
        <w:trPr>
          <w:trHeight w:val="1260"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5BDBF33C">
            <w:pPr>
              <w:spacing w:line="480" w:lineRule="exact"/>
              <w:jc w:val="center"/>
              <w:rPr>
                <w:rFonts w:ascii="宋体" w:hAnsi="宋体" w:cs="宋体"/>
                <w:kern w:val="0"/>
                <w:sz w:val="24"/>
              </w:rPr>
            </w:pPr>
            <w:r>
              <w:rPr>
                <w:rFonts w:hint="eastAsia" w:ascii="宋体" w:hAnsi="宋体" w:cs="宋体"/>
                <w:kern w:val="0"/>
                <w:sz w:val="24"/>
              </w:rPr>
              <w:t>6</w:t>
            </w:r>
          </w:p>
        </w:tc>
        <w:tc>
          <w:tcPr>
            <w:tcW w:w="3386" w:type="dxa"/>
            <w:tcBorders>
              <w:top w:val="single" w:color="auto" w:sz="4" w:space="0"/>
              <w:left w:val="single" w:color="auto" w:sz="4" w:space="0"/>
              <w:bottom w:val="single" w:color="auto" w:sz="4" w:space="0"/>
              <w:right w:val="single" w:color="auto" w:sz="4" w:space="0"/>
            </w:tcBorders>
            <w:noWrap/>
            <w:vAlign w:val="center"/>
          </w:tcPr>
          <w:p w14:paraId="3E825626">
            <w:pPr>
              <w:spacing w:line="480" w:lineRule="exact"/>
              <w:jc w:val="center"/>
              <w:rPr>
                <w:rFonts w:ascii="宋体" w:hAnsi="宋体" w:cs="宋体"/>
                <w:kern w:val="0"/>
                <w:sz w:val="24"/>
                <w:szCs w:val="22"/>
              </w:rPr>
            </w:pPr>
            <w:r>
              <w:rPr>
                <w:rFonts w:hint="eastAsia" w:ascii="宋体" w:hAnsi="宋体" w:cs="宋体"/>
                <w:kern w:val="0"/>
                <w:sz w:val="24"/>
                <w:szCs w:val="22"/>
              </w:rPr>
              <w:t>没有重大违法记录的书面声明</w:t>
            </w:r>
          </w:p>
        </w:tc>
        <w:tc>
          <w:tcPr>
            <w:tcW w:w="5459" w:type="dxa"/>
            <w:tcBorders>
              <w:top w:val="single" w:color="auto" w:sz="4" w:space="0"/>
              <w:left w:val="nil"/>
              <w:bottom w:val="single" w:color="auto" w:sz="4" w:space="0"/>
              <w:right w:val="single" w:color="auto" w:sz="4" w:space="0"/>
            </w:tcBorders>
            <w:noWrap/>
            <w:vAlign w:val="center"/>
          </w:tcPr>
          <w:p w14:paraId="6B61F3AA">
            <w:pPr>
              <w:widowControl/>
              <w:spacing w:line="360" w:lineRule="auto"/>
              <w:jc w:val="left"/>
              <w:rPr>
                <w:rFonts w:ascii="宋体" w:hAnsi="宋体"/>
                <w:sz w:val="24"/>
              </w:rPr>
            </w:pPr>
            <w:r>
              <w:rPr>
                <w:rFonts w:hint="eastAsia" w:ascii="宋体" w:hAnsi="宋体" w:cs="宋体"/>
                <w:kern w:val="0"/>
                <w:sz w:val="24"/>
                <w:szCs w:val="22"/>
              </w:rPr>
              <w:t>参加政府采购活动前三年内，在经营活动中没有重大违法记录的承诺书</w:t>
            </w:r>
          </w:p>
        </w:tc>
      </w:tr>
      <w:tr w14:paraId="600AF297">
        <w:tblPrEx>
          <w:tblCellMar>
            <w:top w:w="0" w:type="dxa"/>
            <w:left w:w="108" w:type="dxa"/>
            <w:bottom w:w="0" w:type="dxa"/>
            <w:right w:w="108" w:type="dxa"/>
          </w:tblCellMar>
        </w:tblPrEx>
        <w:trPr>
          <w:trHeight w:val="2637"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5BB3D4F1">
            <w:pPr>
              <w:spacing w:line="480" w:lineRule="exact"/>
              <w:jc w:val="center"/>
              <w:rPr>
                <w:rFonts w:ascii="宋体" w:hAnsi="宋体" w:cs="宋体"/>
                <w:kern w:val="0"/>
                <w:sz w:val="24"/>
              </w:rPr>
            </w:pPr>
            <w:r>
              <w:rPr>
                <w:rFonts w:hint="eastAsia" w:ascii="宋体" w:hAnsi="宋体" w:cs="宋体"/>
                <w:kern w:val="0"/>
                <w:sz w:val="24"/>
              </w:rPr>
              <w:t>7</w:t>
            </w:r>
          </w:p>
        </w:tc>
        <w:tc>
          <w:tcPr>
            <w:tcW w:w="3386" w:type="dxa"/>
            <w:tcBorders>
              <w:top w:val="single" w:color="auto" w:sz="4" w:space="0"/>
              <w:left w:val="single" w:color="auto" w:sz="4" w:space="0"/>
              <w:bottom w:val="single" w:color="auto" w:sz="4" w:space="0"/>
              <w:right w:val="single" w:color="auto" w:sz="4" w:space="0"/>
            </w:tcBorders>
            <w:noWrap/>
            <w:vAlign w:val="center"/>
          </w:tcPr>
          <w:p w14:paraId="4E40DF26">
            <w:pPr>
              <w:spacing w:line="480" w:lineRule="exact"/>
              <w:jc w:val="center"/>
              <w:rPr>
                <w:rFonts w:ascii="宋体" w:hAnsi="宋体" w:cs="Calibri"/>
                <w:sz w:val="24"/>
              </w:rPr>
            </w:pPr>
            <w:r>
              <w:rPr>
                <w:rFonts w:hint="eastAsia" w:ascii="宋体" w:hAnsi="宋体" w:cs="宋体"/>
                <w:kern w:val="0"/>
                <w:sz w:val="24"/>
                <w:szCs w:val="22"/>
              </w:rPr>
              <w:t>信誉要求</w:t>
            </w:r>
          </w:p>
        </w:tc>
        <w:tc>
          <w:tcPr>
            <w:tcW w:w="5459" w:type="dxa"/>
            <w:tcBorders>
              <w:top w:val="single" w:color="auto" w:sz="4" w:space="0"/>
              <w:left w:val="nil"/>
              <w:bottom w:val="single" w:color="auto" w:sz="4" w:space="0"/>
              <w:right w:val="single" w:color="auto" w:sz="4" w:space="0"/>
            </w:tcBorders>
            <w:noWrap/>
            <w:vAlign w:val="center"/>
          </w:tcPr>
          <w:p w14:paraId="7008D4FD">
            <w:pPr>
              <w:widowControl/>
              <w:spacing w:line="360" w:lineRule="auto"/>
              <w:jc w:val="left"/>
              <w:rPr>
                <w:rFonts w:ascii="宋体" w:hAnsi="宋体" w:cs="宋体"/>
                <w:kern w:val="0"/>
                <w:sz w:val="24"/>
                <w:szCs w:val="22"/>
              </w:rPr>
            </w:pPr>
            <w:r>
              <w:rPr>
                <w:rFonts w:hint="eastAsia" w:ascii="宋体" w:hAnsi="宋体"/>
                <w:sz w:val="24"/>
              </w:rPr>
              <w:t>根据《关于在政府采购活动中查询及使用信用记录有关问题的通知》(财库[2016]125号)和豫财购【2016】15号的规定，企业没有被列入“中国执行信息公开网”网站的“失信被执行人”、“信用中国”网站的“重大税收违法失信主体”及“中国政府采购网”网站的“政府采购严重违法失信行为记录名单”，提供网站的查询信息截图（查询时间自公告发布之日起，开标时间前截止）；</w:t>
            </w:r>
          </w:p>
        </w:tc>
      </w:tr>
      <w:tr w14:paraId="3B2A8642">
        <w:tblPrEx>
          <w:tblCellMar>
            <w:top w:w="0" w:type="dxa"/>
            <w:left w:w="108" w:type="dxa"/>
            <w:bottom w:w="0" w:type="dxa"/>
            <w:right w:w="108" w:type="dxa"/>
          </w:tblCellMar>
        </w:tblPrEx>
        <w:trPr>
          <w:trHeight w:val="820"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5F31CDB0">
            <w:pPr>
              <w:spacing w:line="480" w:lineRule="exact"/>
              <w:jc w:val="center"/>
              <w:rPr>
                <w:rFonts w:ascii="宋体" w:hAnsi="宋体" w:cs="宋体"/>
                <w:kern w:val="0"/>
                <w:sz w:val="24"/>
              </w:rPr>
            </w:pPr>
            <w:r>
              <w:rPr>
                <w:rFonts w:hint="eastAsia" w:ascii="宋体" w:hAnsi="宋体" w:cs="宋体"/>
                <w:kern w:val="0"/>
                <w:sz w:val="24"/>
              </w:rPr>
              <w:t>8</w:t>
            </w:r>
          </w:p>
        </w:tc>
        <w:tc>
          <w:tcPr>
            <w:tcW w:w="3386" w:type="dxa"/>
            <w:tcBorders>
              <w:top w:val="single" w:color="auto" w:sz="4" w:space="0"/>
              <w:left w:val="single" w:color="auto" w:sz="4" w:space="0"/>
              <w:bottom w:val="single" w:color="auto" w:sz="4" w:space="0"/>
              <w:right w:val="single" w:color="auto" w:sz="4" w:space="0"/>
            </w:tcBorders>
            <w:noWrap/>
            <w:vAlign w:val="center"/>
          </w:tcPr>
          <w:p w14:paraId="60982B74">
            <w:pPr>
              <w:spacing w:line="480" w:lineRule="exact"/>
              <w:jc w:val="center"/>
              <w:rPr>
                <w:rFonts w:ascii="宋体" w:hAnsi="宋体" w:cs="宋体"/>
                <w:kern w:val="0"/>
                <w:sz w:val="24"/>
                <w:szCs w:val="22"/>
              </w:rPr>
            </w:pPr>
            <w:r>
              <w:rPr>
                <w:rFonts w:hint="eastAsia" w:ascii="宋体" w:hAnsi="宋体"/>
                <w:sz w:val="24"/>
              </w:rPr>
              <w:t>良好商业信誉的承诺书</w:t>
            </w:r>
          </w:p>
        </w:tc>
        <w:tc>
          <w:tcPr>
            <w:tcW w:w="5459" w:type="dxa"/>
            <w:tcBorders>
              <w:top w:val="single" w:color="auto" w:sz="4" w:space="0"/>
              <w:left w:val="nil"/>
              <w:bottom w:val="single" w:color="auto" w:sz="4" w:space="0"/>
              <w:right w:val="single" w:color="auto" w:sz="4" w:space="0"/>
            </w:tcBorders>
            <w:noWrap/>
            <w:vAlign w:val="center"/>
          </w:tcPr>
          <w:p w14:paraId="2B2CBBA0">
            <w:pPr>
              <w:spacing w:line="420" w:lineRule="exact"/>
              <w:rPr>
                <w:rFonts w:ascii="宋体" w:hAnsi="宋体"/>
                <w:sz w:val="24"/>
              </w:rPr>
            </w:pPr>
            <w:r>
              <w:rPr>
                <w:rFonts w:hint="eastAsia" w:ascii="宋体" w:hAnsi="宋体"/>
                <w:sz w:val="24"/>
              </w:rPr>
              <w:t>投标人自行出具本企业具有良好商业信誉的承诺书</w:t>
            </w:r>
          </w:p>
        </w:tc>
      </w:tr>
      <w:tr w14:paraId="41032C6F">
        <w:tblPrEx>
          <w:tblCellMar>
            <w:top w:w="0" w:type="dxa"/>
            <w:left w:w="108" w:type="dxa"/>
            <w:bottom w:w="0" w:type="dxa"/>
            <w:right w:w="108" w:type="dxa"/>
          </w:tblCellMar>
        </w:tblPrEx>
        <w:trPr>
          <w:trHeight w:val="820"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13743E48">
            <w:pPr>
              <w:spacing w:line="480" w:lineRule="exact"/>
              <w:jc w:val="center"/>
              <w:rPr>
                <w:rFonts w:ascii="宋体" w:hAnsi="宋体" w:cs="宋体"/>
                <w:kern w:val="0"/>
                <w:sz w:val="24"/>
              </w:rPr>
            </w:pPr>
            <w:r>
              <w:rPr>
                <w:rFonts w:hint="eastAsia" w:ascii="宋体" w:hAnsi="宋体" w:cs="宋体"/>
                <w:kern w:val="0"/>
                <w:sz w:val="24"/>
              </w:rPr>
              <w:t>9</w:t>
            </w:r>
          </w:p>
        </w:tc>
        <w:tc>
          <w:tcPr>
            <w:tcW w:w="3386" w:type="dxa"/>
            <w:tcBorders>
              <w:top w:val="single" w:color="auto" w:sz="4" w:space="0"/>
              <w:left w:val="single" w:color="auto" w:sz="4" w:space="0"/>
              <w:bottom w:val="single" w:color="auto" w:sz="4" w:space="0"/>
              <w:right w:val="single" w:color="auto" w:sz="4" w:space="0"/>
            </w:tcBorders>
            <w:noWrap/>
            <w:vAlign w:val="center"/>
          </w:tcPr>
          <w:p w14:paraId="63E57A08">
            <w:pPr>
              <w:spacing w:line="480" w:lineRule="exact"/>
              <w:jc w:val="center"/>
              <w:rPr>
                <w:rFonts w:ascii="宋体" w:hAnsi="宋体" w:cs="宋体"/>
                <w:kern w:val="0"/>
                <w:sz w:val="24"/>
                <w:szCs w:val="22"/>
              </w:rPr>
            </w:pPr>
            <w:r>
              <w:rPr>
                <w:rFonts w:hint="eastAsia" w:ascii="宋体" w:hAnsi="宋体" w:cs="宋体"/>
                <w:kern w:val="0"/>
                <w:sz w:val="24"/>
                <w:szCs w:val="22"/>
              </w:rPr>
              <w:t>控股关系</w:t>
            </w:r>
          </w:p>
        </w:tc>
        <w:tc>
          <w:tcPr>
            <w:tcW w:w="5459" w:type="dxa"/>
            <w:tcBorders>
              <w:top w:val="single" w:color="auto" w:sz="4" w:space="0"/>
              <w:left w:val="nil"/>
              <w:bottom w:val="single" w:color="auto" w:sz="4" w:space="0"/>
              <w:right w:val="single" w:color="auto" w:sz="4" w:space="0"/>
            </w:tcBorders>
            <w:noWrap/>
            <w:vAlign w:val="center"/>
          </w:tcPr>
          <w:p w14:paraId="7D26A329">
            <w:pPr>
              <w:spacing w:line="420" w:lineRule="exact"/>
              <w:rPr>
                <w:rFonts w:ascii="宋体" w:hAnsi="宋体"/>
                <w:sz w:val="24"/>
              </w:rPr>
            </w:pPr>
            <w:r>
              <w:rPr>
                <w:rFonts w:hint="eastAsia" w:ascii="宋体" w:hAnsi="宋体"/>
                <w:sz w:val="24"/>
              </w:rPr>
              <w:t>单位负责人为同一人或者存在直接控股、管理关系的不同供应商，不得参加同一合同项下的采购活动；（提供“国家企业信用信息公示系统”中查询打印的相关信息并加盖公章（查询信息需包含公司基本信息、股东信息及股权变更信息等相关信息，查询日期为本项目公告发布之后）</w:t>
            </w:r>
          </w:p>
        </w:tc>
      </w:tr>
      <w:tr w14:paraId="7AD14AB9">
        <w:tblPrEx>
          <w:tblCellMar>
            <w:top w:w="0" w:type="dxa"/>
            <w:left w:w="108" w:type="dxa"/>
            <w:bottom w:w="0" w:type="dxa"/>
            <w:right w:w="108" w:type="dxa"/>
          </w:tblCellMar>
        </w:tblPrEx>
        <w:trPr>
          <w:trHeight w:val="820"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14:paraId="1C07142D">
            <w:pPr>
              <w:spacing w:line="480" w:lineRule="exact"/>
              <w:jc w:val="center"/>
              <w:rPr>
                <w:rFonts w:ascii="宋体" w:hAnsi="宋体" w:cs="宋体"/>
                <w:kern w:val="0"/>
                <w:sz w:val="24"/>
              </w:rPr>
            </w:pPr>
            <w:r>
              <w:rPr>
                <w:rFonts w:hint="eastAsia" w:ascii="宋体" w:hAnsi="宋体" w:cs="宋体"/>
                <w:kern w:val="0"/>
                <w:sz w:val="24"/>
              </w:rPr>
              <w:t>10</w:t>
            </w:r>
          </w:p>
        </w:tc>
        <w:tc>
          <w:tcPr>
            <w:tcW w:w="3386" w:type="dxa"/>
            <w:tcBorders>
              <w:top w:val="single" w:color="auto" w:sz="4" w:space="0"/>
              <w:left w:val="single" w:color="auto" w:sz="4" w:space="0"/>
              <w:bottom w:val="single" w:color="auto" w:sz="4" w:space="0"/>
              <w:right w:val="single" w:color="auto" w:sz="4" w:space="0"/>
            </w:tcBorders>
            <w:noWrap/>
            <w:vAlign w:val="center"/>
          </w:tcPr>
          <w:p w14:paraId="2D8C57E8">
            <w:pPr>
              <w:spacing w:line="480" w:lineRule="exact"/>
              <w:jc w:val="center"/>
              <w:rPr>
                <w:rFonts w:ascii="宋体" w:hAnsi="宋体"/>
                <w:sz w:val="24"/>
              </w:rPr>
            </w:pPr>
            <w:r>
              <w:rPr>
                <w:rFonts w:hint="eastAsia" w:ascii="宋体" w:hAnsi="宋体"/>
                <w:sz w:val="24"/>
              </w:rPr>
              <w:t>行政或经济关联</w:t>
            </w:r>
          </w:p>
        </w:tc>
        <w:tc>
          <w:tcPr>
            <w:tcW w:w="5459" w:type="dxa"/>
            <w:tcBorders>
              <w:top w:val="single" w:color="auto" w:sz="4" w:space="0"/>
              <w:left w:val="nil"/>
              <w:bottom w:val="single" w:color="auto" w:sz="4" w:space="0"/>
              <w:right w:val="single" w:color="auto" w:sz="4" w:space="0"/>
            </w:tcBorders>
            <w:noWrap/>
            <w:vAlign w:val="center"/>
          </w:tcPr>
          <w:p w14:paraId="28D3812B">
            <w:pPr>
              <w:spacing w:line="420" w:lineRule="exact"/>
              <w:rPr>
                <w:rFonts w:ascii="宋体" w:hAnsi="宋体"/>
                <w:sz w:val="24"/>
              </w:rPr>
            </w:pPr>
            <w:r>
              <w:rPr>
                <w:rFonts w:hint="eastAsia" w:ascii="宋体" w:hAnsi="宋体"/>
                <w:sz w:val="24"/>
              </w:rPr>
              <w:t>供应商与采购人、招标代理机构及其附属机构没有行政或经济关联</w:t>
            </w:r>
          </w:p>
        </w:tc>
      </w:tr>
    </w:tbl>
    <w:p w14:paraId="077067A8">
      <w:pPr>
        <w:spacing w:line="360" w:lineRule="auto"/>
        <w:rPr>
          <w:rFonts w:ascii="宋体" w:hAnsi="宋体" w:cs="宋体"/>
          <w:b/>
          <w:sz w:val="24"/>
        </w:rPr>
      </w:pPr>
      <w:r>
        <w:rPr>
          <w:rFonts w:hint="eastAsia" w:ascii="宋体" w:hAnsi="宋体" w:cs="宋体"/>
          <w:b/>
          <w:bCs/>
          <w:sz w:val="24"/>
        </w:rPr>
        <w:t>（备注：</w:t>
      </w:r>
      <w:r>
        <w:rPr>
          <w:rFonts w:hint="eastAsia" w:ascii="宋体" w:hAnsi="宋体" w:cs="宋体"/>
          <w:b/>
          <w:sz w:val="24"/>
        </w:rPr>
        <w:t>资格评审以响应文件为准，其上传资料真实性由供应商自行承担，同时，供应商要完善主体库。</w:t>
      </w:r>
      <w:r>
        <w:rPr>
          <w:rFonts w:hint="eastAsia" w:ascii="宋体" w:hAnsi="宋体" w:cs="宋体"/>
          <w:b/>
          <w:bCs/>
          <w:sz w:val="24"/>
        </w:rPr>
        <w:t>）</w:t>
      </w:r>
    </w:p>
    <w:p w14:paraId="474793AB">
      <w:pPr>
        <w:spacing w:line="360" w:lineRule="auto"/>
        <w:ind w:firstLine="480" w:firstLineChars="200"/>
        <w:rPr>
          <w:rFonts w:ascii="宋体" w:hAnsi="宋体"/>
          <w:color w:val="000000"/>
          <w:sz w:val="24"/>
        </w:rPr>
      </w:pPr>
      <w:r>
        <w:rPr>
          <w:rFonts w:hint="eastAsia" w:ascii="宋体" w:hAnsi="宋体"/>
          <w:color w:val="000000"/>
          <w:sz w:val="24"/>
        </w:rPr>
        <w:t>2.2形式性评审</w:t>
      </w:r>
    </w:p>
    <w:p w14:paraId="59DDAA2D">
      <w:pPr>
        <w:spacing w:line="480" w:lineRule="exact"/>
        <w:ind w:firstLine="480" w:firstLineChars="200"/>
        <w:rPr>
          <w:rFonts w:ascii="宋体" w:hAnsi="宋体"/>
          <w:sz w:val="24"/>
        </w:rPr>
      </w:pPr>
      <w:r>
        <w:rPr>
          <w:rFonts w:hint="eastAsia" w:ascii="宋体" w:hAnsi="宋体"/>
          <w:sz w:val="24"/>
        </w:rPr>
        <w:t>投标文件不能满足下列情形之一的，由评标委员会初审后不进入下一轮评审：</w:t>
      </w:r>
    </w:p>
    <w:tbl>
      <w:tblPr>
        <w:tblStyle w:val="11"/>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2030"/>
        <w:gridCol w:w="5772"/>
      </w:tblGrid>
      <w:tr w14:paraId="4B65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7" w:type="dxa"/>
            <w:vMerge w:val="restart"/>
            <w:noWrap/>
            <w:vAlign w:val="center"/>
          </w:tcPr>
          <w:p w14:paraId="38A3F6ED">
            <w:pPr>
              <w:spacing w:line="480" w:lineRule="exact"/>
              <w:jc w:val="center"/>
              <w:rPr>
                <w:rFonts w:ascii="宋体" w:hAnsi="宋体"/>
                <w:sz w:val="24"/>
              </w:rPr>
            </w:pPr>
            <w:r>
              <w:rPr>
                <w:rFonts w:hint="eastAsia" w:ascii="宋体" w:hAnsi="宋体"/>
                <w:sz w:val="24"/>
              </w:rPr>
              <w:t>符合性评审</w:t>
            </w:r>
          </w:p>
        </w:tc>
        <w:tc>
          <w:tcPr>
            <w:tcW w:w="2030" w:type="dxa"/>
            <w:noWrap/>
            <w:vAlign w:val="center"/>
          </w:tcPr>
          <w:p w14:paraId="21655FE5">
            <w:pPr>
              <w:spacing w:line="480" w:lineRule="exact"/>
              <w:jc w:val="center"/>
              <w:rPr>
                <w:rFonts w:ascii="宋体" w:hAnsi="宋体"/>
                <w:sz w:val="24"/>
              </w:rPr>
            </w:pPr>
            <w:r>
              <w:rPr>
                <w:rFonts w:hint="eastAsia" w:ascii="宋体" w:hAnsi="宋体"/>
                <w:sz w:val="24"/>
              </w:rPr>
              <w:t>评审因素</w:t>
            </w:r>
          </w:p>
        </w:tc>
        <w:tc>
          <w:tcPr>
            <w:tcW w:w="5772" w:type="dxa"/>
            <w:noWrap/>
            <w:vAlign w:val="center"/>
          </w:tcPr>
          <w:p w14:paraId="1481890D">
            <w:pPr>
              <w:spacing w:line="480" w:lineRule="exact"/>
              <w:jc w:val="center"/>
              <w:rPr>
                <w:rFonts w:ascii="宋体" w:hAnsi="宋体"/>
                <w:sz w:val="24"/>
              </w:rPr>
            </w:pPr>
            <w:r>
              <w:rPr>
                <w:rFonts w:hint="eastAsia" w:ascii="宋体" w:hAnsi="宋体"/>
                <w:sz w:val="24"/>
              </w:rPr>
              <w:t>评审标准</w:t>
            </w:r>
          </w:p>
        </w:tc>
      </w:tr>
      <w:tr w14:paraId="164C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3744FA78">
            <w:pPr>
              <w:spacing w:line="480" w:lineRule="exact"/>
              <w:jc w:val="center"/>
              <w:rPr>
                <w:rFonts w:ascii="宋体" w:hAnsi="宋体"/>
                <w:sz w:val="24"/>
              </w:rPr>
            </w:pPr>
          </w:p>
        </w:tc>
        <w:tc>
          <w:tcPr>
            <w:tcW w:w="2030" w:type="dxa"/>
            <w:noWrap/>
            <w:vAlign w:val="center"/>
          </w:tcPr>
          <w:p w14:paraId="38BEDFE3">
            <w:pPr>
              <w:spacing w:line="480" w:lineRule="exact"/>
              <w:jc w:val="center"/>
              <w:rPr>
                <w:rFonts w:ascii="宋体" w:hAnsi="宋体"/>
                <w:sz w:val="24"/>
              </w:rPr>
            </w:pPr>
            <w:r>
              <w:rPr>
                <w:rFonts w:hint="eastAsia" w:ascii="宋体" w:hAnsi="宋体"/>
                <w:kern w:val="1"/>
                <w:sz w:val="24"/>
              </w:rPr>
              <w:t>供应商名称</w:t>
            </w:r>
          </w:p>
        </w:tc>
        <w:tc>
          <w:tcPr>
            <w:tcW w:w="5772" w:type="dxa"/>
            <w:noWrap/>
            <w:vAlign w:val="center"/>
          </w:tcPr>
          <w:p w14:paraId="71B6F91E">
            <w:pPr>
              <w:spacing w:line="480" w:lineRule="exact"/>
              <w:jc w:val="center"/>
              <w:rPr>
                <w:rFonts w:ascii="宋体" w:hAnsi="宋体"/>
                <w:sz w:val="24"/>
              </w:rPr>
            </w:pPr>
            <w:r>
              <w:rPr>
                <w:rFonts w:hint="eastAsia" w:ascii="宋体" w:hAnsi="宋体"/>
                <w:kern w:val="1"/>
                <w:sz w:val="24"/>
              </w:rPr>
              <w:t>与营业执照一致</w:t>
            </w:r>
          </w:p>
        </w:tc>
      </w:tr>
      <w:tr w14:paraId="6FD8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3B5FE3DE">
            <w:pPr>
              <w:spacing w:line="480" w:lineRule="exact"/>
              <w:jc w:val="center"/>
              <w:rPr>
                <w:rFonts w:ascii="宋体" w:hAnsi="宋体"/>
                <w:sz w:val="24"/>
              </w:rPr>
            </w:pPr>
          </w:p>
        </w:tc>
        <w:tc>
          <w:tcPr>
            <w:tcW w:w="2030" w:type="dxa"/>
            <w:noWrap/>
            <w:vAlign w:val="center"/>
          </w:tcPr>
          <w:p w14:paraId="1E2FDB5F">
            <w:pPr>
              <w:spacing w:line="480" w:lineRule="exact"/>
              <w:jc w:val="center"/>
              <w:rPr>
                <w:rFonts w:ascii="宋体" w:hAnsi="宋体"/>
                <w:sz w:val="24"/>
              </w:rPr>
            </w:pPr>
            <w:r>
              <w:rPr>
                <w:rFonts w:hint="eastAsia" w:ascii="宋体" w:hAnsi="宋体"/>
                <w:sz w:val="24"/>
              </w:rPr>
              <w:t>电子签章</w:t>
            </w:r>
          </w:p>
        </w:tc>
        <w:tc>
          <w:tcPr>
            <w:tcW w:w="5772" w:type="dxa"/>
            <w:noWrap/>
            <w:vAlign w:val="center"/>
          </w:tcPr>
          <w:p w14:paraId="0CA024BC">
            <w:pPr>
              <w:spacing w:line="480" w:lineRule="exact"/>
              <w:jc w:val="center"/>
              <w:rPr>
                <w:rFonts w:ascii="宋体" w:hAnsi="宋体"/>
                <w:sz w:val="24"/>
              </w:rPr>
            </w:pPr>
            <w:r>
              <w:rPr>
                <w:rFonts w:hint="eastAsia" w:ascii="宋体" w:hAnsi="宋体"/>
                <w:sz w:val="24"/>
              </w:rPr>
              <w:t>符合</w:t>
            </w:r>
            <w:r>
              <w:rPr>
                <w:rFonts w:hint="eastAsia" w:ascii="宋体" w:hAnsi="宋体"/>
                <w:color w:val="000000"/>
                <w:sz w:val="24"/>
              </w:rPr>
              <w:t>磋商文件</w:t>
            </w:r>
            <w:r>
              <w:rPr>
                <w:rFonts w:hint="eastAsia" w:ascii="宋体" w:hAnsi="宋体"/>
                <w:sz w:val="24"/>
              </w:rPr>
              <w:t>要求的电子签章</w:t>
            </w:r>
          </w:p>
        </w:tc>
      </w:tr>
      <w:tr w14:paraId="0508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17" w:type="dxa"/>
            <w:vMerge w:val="continue"/>
            <w:noWrap/>
            <w:vAlign w:val="center"/>
          </w:tcPr>
          <w:p w14:paraId="0CCD28CF">
            <w:pPr>
              <w:spacing w:line="480" w:lineRule="exact"/>
              <w:jc w:val="center"/>
              <w:rPr>
                <w:rFonts w:ascii="宋体" w:hAnsi="宋体"/>
                <w:sz w:val="24"/>
              </w:rPr>
            </w:pPr>
          </w:p>
        </w:tc>
        <w:tc>
          <w:tcPr>
            <w:tcW w:w="2030" w:type="dxa"/>
            <w:noWrap/>
            <w:vAlign w:val="center"/>
          </w:tcPr>
          <w:p w14:paraId="278C9638">
            <w:pPr>
              <w:spacing w:line="360" w:lineRule="auto"/>
              <w:jc w:val="center"/>
              <w:rPr>
                <w:rFonts w:ascii="宋体" w:hAnsi="宋体" w:cs="宋体"/>
                <w:sz w:val="24"/>
              </w:rPr>
            </w:pPr>
            <w:r>
              <w:rPr>
                <w:rFonts w:hint="eastAsia" w:ascii="宋体" w:hAnsi="宋体" w:cs="宋体"/>
                <w:sz w:val="24"/>
              </w:rPr>
              <w:t>报价唯一</w:t>
            </w:r>
          </w:p>
        </w:tc>
        <w:tc>
          <w:tcPr>
            <w:tcW w:w="5772" w:type="dxa"/>
            <w:noWrap/>
            <w:vAlign w:val="center"/>
          </w:tcPr>
          <w:p w14:paraId="32EEFDA0">
            <w:pPr>
              <w:spacing w:line="360" w:lineRule="auto"/>
              <w:jc w:val="center"/>
              <w:rPr>
                <w:rFonts w:ascii="宋体" w:hAnsi="宋体" w:cs="宋体"/>
                <w:sz w:val="24"/>
              </w:rPr>
            </w:pPr>
            <w:r>
              <w:rPr>
                <w:rFonts w:hint="eastAsia" w:ascii="宋体" w:hAnsi="宋体" w:cs="宋体"/>
                <w:sz w:val="24"/>
              </w:rPr>
              <w:t>只能有一个有效报价</w:t>
            </w:r>
          </w:p>
        </w:tc>
      </w:tr>
    </w:tbl>
    <w:p w14:paraId="2BC54A7B">
      <w:pPr>
        <w:spacing w:line="480" w:lineRule="exact"/>
        <w:ind w:firstLine="480" w:firstLineChars="200"/>
        <w:rPr>
          <w:rFonts w:ascii="宋体" w:hAnsi="宋体"/>
          <w:sz w:val="24"/>
        </w:rPr>
      </w:pPr>
      <w:r>
        <w:rPr>
          <w:rFonts w:hint="eastAsia" w:ascii="宋体" w:hAnsi="宋体"/>
          <w:sz w:val="24"/>
        </w:rPr>
        <w:t>2.3 实质性评审</w:t>
      </w:r>
    </w:p>
    <w:tbl>
      <w:tblPr>
        <w:tblStyle w:val="11"/>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2066"/>
        <w:gridCol w:w="5877"/>
      </w:tblGrid>
      <w:tr w14:paraId="41CF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5" w:type="dxa"/>
            <w:vMerge w:val="restart"/>
            <w:noWrap/>
            <w:vAlign w:val="center"/>
          </w:tcPr>
          <w:p w14:paraId="6FEB26FF">
            <w:pPr>
              <w:spacing w:line="480" w:lineRule="exact"/>
              <w:jc w:val="center"/>
              <w:rPr>
                <w:rFonts w:ascii="宋体" w:hAnsi="宋体"/>
                <w:sz w:val="24"/>
              </w:rPr>
            </w:pPr>
            <w:r>
              <w:rPr>
                <w:rFonts w:hint="eastAsia" w:ascii="宋体" w:hAnsi="宋体"/>
                <w:sz w:val="24"/>
              </w:rPr>
              <w:t>实质性评审</w:t>
            </w:r>
          </w:p>
        </w:tc>
        <w:tc>
          <w:tcPr>
            <w:tcW w:w="2066" w:type="dxa"/>
            <w:noWrap/>
            <w:vAlign w:val="center"/>
          </w:tcPr>
          <w:p w14:paraId="7E952BCF">
            <w:pPr>
              <w:spacing w:line="480" w:lineRule="exact"/>
              <w:jc w:val="center"/>
              <w:rPr>
                <w:rFonts w:ascii="宋体" w:hAnsi="宋体"/>
                <w:sz w:val="24"/>
              </w:rPr>
            </w:pPr>
            <w:r>
              <w:rPr>
                <w:rFonts w:hint="eastAsia" w:ascii="宋体" w:hAnsi="宋体"/>
                <w:sz w:val="24"/>
              </w:rPr>
              <w:t>评审因素</w:t>
            </w:r>
          </w:p>
        </w:tc>
        <w:tc>
          <w:tcPr>
            <w:tcW w:w="5877" w:type="dxa"/>
            <w:noWrap/>
            <w:vAlign w:val="center"/>
          </w:tcPr>
          <w:p w14:paraId="6F3F39BD">
            <w:pPr>
              <w:spacing w:line="480" w:lineRule="exact"/>
              <w:jc w:val="center"/>
              <w:rPr>
                <w:rFonts w:ascii="宋体" w:hAnsi="宋体"/>
                <w:sz w:val="24"/>
              </w:rPr>
            </w:pPr>
            <w:r>
              <w:rPr>
                <w:rFonts w:hint="eastAsia" w:ascii="宋体" w:hAnsi="宋体"/>
                <w:sz w:val="24"/>
              </w:rPr>
              <w:t>评审标准</w:t>
            </w:r>
          </w:p>
        </w:tc>
      </w:tr>
      <w:tr w14:paraId="0C19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35" w:type="dxa"/>
            <w:vMerge w:val="continue"/>
            <w:noWrap/>
            <w:vAlign w:val="center"/>
          </w:tcPr>
          <w:p w14:paraId="4396ACCE">
            <w:pPr>
              <w:spacing w:line="480" w:lineRule="exact"/>
              <w:jc w:val="center"/>
              <w:rPr>
                <w:rFonts w:ascii="宋体" w:hAnsi="宋体"/>
                <w:sz w:val="24"/>
              </w:rPr>
            </w:pPr>
          </w:p>
        </w:tc>
        <w:tc>
          <w:tcPr>
            <w:tcW w:w="2066" w:type="dxa"/>
            <w:noWrap/>
            <w:vAlign w:val="center"/>
          </w:tcPr>
          <w:p w14:paraId="7DF74ED9">
            <w:pPr>
              <w:spacing w:line="480" w:lineRule="exact"/>
              <w:jc w:val="center"/>
              <w:rPr>
                <w:rFonts w:ascii="宋体" w:hAnsi="宋体"/>
                <w:sz w:val="24"/>
              </w:rPr>
            </w:pPr>
            <w:r>
              <w:rPr>
                <w:rFonts w:hint="eastAsia" w:ascii="宋体" w:hAnsi="宋体"/>
                <w:sz w:val="24"/>
              </w:rPr>
              <w:t>工期</w:t>
            </w:r>
          </w:p>
        </w:tc>
        <w:tc>
          <w:tcPr>
            <w:tcW w:w="5877" w:type="dxa"/>
            <w:noWrap/>
            <w:vAlign w:val="center"/>
          </w:tcPr>
          <w:p w14:paraId="2D317C21">
            <w:pPr>
              <w:spacing w:line="480" w:lineRule="exact"/>
              <w:jc w:val="center"/>
              <w:rPr>
                <w:rFonts w:ascii="宋体" w:hAnsi="宋体"/>
                <w:sz w:val="24"/>
              </w:rPr>
            </w:pPr>
            <w:r>
              <w:rPr>
                <w:rFonts w:hint="eastAsia" w:ascii="宋体" w:hAnsi="宋体"/>
                <w:color w:val="000000"/>
                <w:sz w:val="24"/>
              </w:rPr>
              <w:t>符合</w:t>
            </w:r>
            <w:r>
              <w:rPr>
                <w:rFonts w:hint="eastAsia" w:ascii="宋体" w:hAnsi="宋体"/>
                <w:sz w:val="24"/>
              </w:rPr>
              <w:t>或优于</w:t>
            </w:r>
            <w:r>
              <w:rPr>
                <w:rFonts w:hint="eastAsia" w:ascii="宋体" w:hAnsi="宋体"/>
                <w:color w:val="000000"/>
                <w:sz w:val="24"/>
              </w:rPr>
              <w:t>“磋商文件要求”</w:t>
            </w:r>
          </w:p>
        </w:tc>
      </w:tr>
      <w:tr w14:paraId="19BA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35" w:type="dxa"/>
            <w:vMerge w:val="continue"/>
            <w:noWrap/>
            <w:vAlign w:val="center"/>
          </w:tcPr>
          <w:p w14:paraId="23174CBA">
            <w:pPr>
              <w:spacing w:line="480" w:lineRule="exact"/>
              <w:jc w:val="center"/>
              <w:rPr>
                <w:rFonts w:ascii="宋体" w:hAnsi="宋体"/>
                <w:sz w:val="24"/>
              </w:rPr>
            </w:pPr>
          </w:p>
        </w:tc>
        <w:tc>
          <w:tcPr>
            <w:tcW w:w="2066" w:type="dxa"/>
            <w:noWrap/>
            <w:vAlign w:val="center"/>
          </w:tcPr>
          <w:p w14:paraId="42FE008E">
            <w:pPr>
              <w:spacing w:line="480" w:lineRule="exact"/>
              <w:jc w:val="center"/>
              <w:rPr>
                <w:rFonts w:ascii="宋体" w:hAnsi="宋体"/>
                <w:sz w:val="24"/>
              </w:rPr>
            </w:pPr>
            <w:r>
              <w:rPr>
                <w:rFonts w:hint="eastAsia" w:ascii="宋体" w:hAnsi="宋体"/>
                <w:sz w:val="24"/>
              </w:rPr>
              <w:t>质量要求</w:t>
            </w:r>
          </w:p>
        </w:tc>
        <w:tc>
          <w:tcPr>
            <w:tcW w:w="5877" w:type="dxa"/>
            <w:noWrap/>
            <w:vAlign w:val="center"/>
          </w:tcPr>
          <w:p w14:paraId="3AC04118">
            <w:pPr>
              <w:spacing w:line="480" w:lineRule="exact"/>
              <w:jc w:val="center"/>
              <w:rPr>
                <w:rFonts w:ascii="宋体" w:hAnsi="宋体"/>
                <w:sz w:val="24"/>
              </w:rPr>
            </w:pPr>
            <w:r>
              <w:rPr>
                <w:rFonts w:hint="eastAsia" w:ascii="宋体" w:hAnsi="宋体"/>
                <w:sz w:val="24"/>
              </w:rPr>
              <w:t>符合或优于</w:t>
            </w:r>
            <w:r>
              <w:rPr>
                <w:rFonts w:hint="eastAsia" w:ascii="宋体" w:hAnsi="宋体"/>
                <w:color w:val="000000"/>
                <w:sz w:val="24"/>
              </w:rPr>
              <w:t>磋商文件</w:t>
            </w:r>
            <w:r>
              <w:rPr>
                <w:rFonts w:hint="eastAsia" w:ascii="宋体" w:hAnsi="宋体"/>
                <w:sz w:val="24"/>
              </w:rPr>
              <w:t>要求</w:t>
            </w:r>
          </w:p>
        </w:tc>
      </w:tr>
      <w:tr w14:paraId="2776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35" w:type="dxa"/>
            <w:vMerge w:val="continue"/>
            <w:noWrap/>
            <w:vAlign w:val="center"/>
          </w:tcPr>
          <w:p w14:paraId="45E556B9">
            <w:pPr>
              <w:spacing w:line="480" w:lineRule="exact"/>
              <w:jc w:val="center"/>
              <w:rPr>
                <w:rFonts w:ascii="宋体" w:hAnsi="宋体"/>
                <w:sz w:val="24"/>
              </w:rPr>
            </w:pPr>
          </w:p>
        </w:tc>
        <w:tc>
          <w:tcPr>
            <w:tcW w:w="2066" w:type="dxa"/>
            <w:noWrap/>
            <w:vAlign w:val="center"/>
          </w:tcPr>
          <w:p w14:paraId="02E1E186">
            <w:pPr>
              <w:spacing w:line="480" w:lineRule="exact"/>
              <w:jc w:val="center"/>
              <w:rPr>
                <w:rFonts w:ascii="宋体" w:hAnsi="宋体"/>
                <w:sz w:val="24"/>
              </w:rPr>
            </w:pPr>
            <w:r>
              <w:rPr>
                <w:rFonts w:hint="eastAsia" w:ascii="宋体" w:hAnsi="宋体"/>
                <w:sz w:val="24"/>
              </w:rPr>
              <w:t>投标有效期</w:t>
            </w:r>
          </w:p>
        </w:tc>
        <w:tc>
          <w:tcPr>
            <w:tcW w:w="5877" w:type="dxa"/>
            <w:noWrap/>
            <w:vAlign w:val="center"/>
          </w:tcPr>
          <w:p w14:paraId="334BB50E">
            <w:pPr>
              <w:spacing w:line="480" w:lineRule="exact"/>
              <w:jc w:val="center"/>
              <w:rPr>
                <w:rFonts w:ascii="宋体" w:hAnsi="宋体"/>
                <w:sz w:val="24"/>
              </w:rPr>
            </w:pPr>
            <w:r>
              <w:rPr>
                <w:rFonts w:hint="eastAsia" w:ascii="宋体" w:hAnsi="宋体"/>
                <w:color w:val="000000"/>
                <w:sz w:val="24"/>
              </w:rPr>
              <w:t>符合“磋商文件要求”</w:t>
            </w:r>
          </w:p>
        </w:tc>
      </w:tr>
      <w:tr w14:paraId="2D96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035" w:type="dxa"/>
            <w:vMerge w:val="continue"/>
            <w:noWrap/>
            <w:vAlign w:val="center"/>
          </w:tcPr>
          <w:p w14:paraId="0D4A9BD9">
            <w:pPr>
              <w:spacing w:line="480" w:lineRule="exact"/>
              <w:jc w:val="center"/>
              <w:rPr>
                <w:rFonts w:ascii="宋体" w:hAnsi="宋体"/>
                <w:sz w:val="24"/>
              </w:rPr>
            </w:pPr>
          </w:p>
        </w:tc>
        <w:tc>
          <w:tcPr>
            <w:tcW w:w="2066" w:type="dxa"/>
            <w:noWrap/>
            <w:vAlign w:val="center"/>
          </w:tcPr>
          <w:p w14:paraId="4C1E9731">
            <w:pPr>
              <w:spacing w:line="480" w:lineRule="exact"/>
              <w:jc w:val="center"/>
              <w:rPr>
                <w:rFonts w:ascii="宋体" w:hAnsi="宋体"/>
                <w:sz w:val="24"/>
              </w:rPr>
            </w:pPr>
            <w:r>
              <w:rPr>
                <w:rFonts w:hint="eastAsia" w:ascii="宋体" w:hAnsi="宋体"/>
                <w:sz w:val="24"/>
              </w:rPr>
              <w:t>投标报价</w:t>
            </w:r>
          </w:p>
        </w:tc>
        <w:tc>
          <w:tcPr>
            <w:tcW w:w="5877" w:type="dxa"/>
            <w:noWrap/>
            <w:vAlign w:val="center"/>
          </w:tcPr>
          <w:p w14:paraId="68543D33">
            <w:pPr>
              <w:spacing w:line="480" w:lineRule="exact"/>
              <w:jc w:val="center"/>
              <w:rPr>
                <w:rFonts w:ascii="宋体" w:hAnsi="宋体"/>
                <w:sz w:val="24"/>
              </w:rPr>
            </w:pPr>
            <w:r>
              <w:rPr>
                <w:rFonts w:hint="eastAsia" w:ascii="宋体" w:hAnsi="宋体"/>
                <w:sz w:val="24"/>
              </w:rPr>
              <w:t>低于（含等于）预算金额</w:t>
            </w:r>
          </w:p>
        </w:tc>
      </w:tr>
    </w:tbl>
    <w:p w14:paraId="0F491E6F">
      <w:pPr>
        <w:widowControl/>
        <w:jc w:val="left"/>
        <w:rPr>
          <w:rFonts w:ascii="宋体" w:hAnsi="宋体"/>
        </w:rPr>
      </w:pPr>
    </w:p>
    <w:p w14:paraId="12A01F81">
      <w:pPr>
        <w:spacing w:line="360" w:lineRule="auto"/>
        <w:ind w:firstLine="480" w:firstLineChars="200"/>
        <w:rPr>
          <w:rFonts w:ascii="宋体" w:hAnsi="宋体"/>
          <w:color w:val="000000"/>
          <w:sz w:val="24"/>
        </w:rPr>
      </w:pPr>
      <w:r>
        <w:rPr>
          <w:rFonts w:hint="eastAsia" w:ascii="宋体" w:hAnsi="宋体"/>
          <w:color w:val="000000"/>
          <w:sz w:val="24"/>
        </w:rPr>
        <w:t>2.4、投标报价有算术错误的，磋商小组按以下原则对投标报价进行修正，修正的价格经供应商书面确认后具有约束力。供应商不接受修正价格的，其投标作废标处理。</w:t>
      </w:r>
    </w:p>
    <w:p w14:paraId="0040219E">
      <w:pPr>
        <w:spacing w:line="360" w:lineRule="auto"/>
        <w:ind w:firstLine="480" w:firstLineChars="200"/>
        <w:rPr>
          <w:rFonts w:ascii="宋体" w:hAnsi="宋体"/>
          <w:color w:val="000000"/>
          <w:sz w:val="24"/>
        </w:rPr>
      </w:pPr>
      <w:r>
        <w:rPr>
          <w:rFonts w:hint="eastAsia" w:ascii="宋体" w:hAnsi="宋体"/>
          <w:color w:val="000000"/>
          <w:sz w:val="24"/>
        </w:rPr>
        <w:t>(1）磋商文件中的大写金额与小写金额不一致的，以大写金额为准；</w:t>
      </w:r>
    </w:p>
    <w:p w14:paraId="44B565EE">
      <w:pPr>
        <w:spacing w:line="360" w:lineRule="auto"/>
        <w:ind w:firstLine="480" w:firstLineChars="200"/>
        <w:rPr>
          <w:rFonts w:ascii="宋体" w:hAnsi="宋体"/>
          <w:color w:val="000000"/>
          <w:sz w:val="24"/>
        </w:rPr>
      </w:pPr>
      <w:r>
        <w:rPr>
          <w:rFonts w:hint="eastAsia" w:ascii="宋体" w:hAnsi="宋体"/>
          <w:color w:val="000000"/>
          <w:sz w:val="24"/>
        </w:rPr>
        <w:t>(2）总价金额与依据单价计算出的结果不一致的，以单价金额为准修正总价，但单价金额小数点有明显错误的除外。</w:t>
      </w:r>
    </w:p>
    <w:p w14:paraId="258D51F0">
      <w:pPr>
        <w:spacing w:line="360" w:lineRule="auto"/>
        <w:ind w:firstLine="480" w:firstLineChars="200"/>
        <w:rPr>
          <w:rFonts w:ascii="宋体" w:hAnsi="宋体"/>
          <w:color w:val="000000"/>
          <w:sz w:val="24"/>
        </w:rPr>
      </w:pPr>
      <w:r>
        <w:rPr>
          <w:rFonts w:hint="eastAsia" w:ascii="宋体" w:hAnsi="宋体"/>
          <w:color w:val="000000"/>
          <w:sz w:val="24"/>
        </w:rPr>
        <w:t>2.5、 详细评审</w:t>
      </w:r>
    </w:p>
    <w:p w14:paraId="7BF43DC4">
      <w:pPr>
        <w:spacing w:line="360" w:lineRule="auto"/>
        <w:ind w:firstLine="480" w:firstLineChars="200"/>
        <w:rPr>
          <w:rFonts w:ascii="宋体" w:hAnsi="宋体"/>
          <w:color w:val="000000"/>
          <w:sz w:val="24"/>
        </w:rPr>
      </w:pPr>
      <w:r>
        <w:rPr>
          <w:rFonts w:hint="eastAsia" w:ascii="宋体" w:hAnsi="宋体"/>
          <w:color w:val="000000"/>
          <w:sz w:val="24"/>
        </w:rPr>
        <w:t>2.5.1  对通过初步评审的磋商文件，磋商小组按本规定的量化因素和分值进行打分，并计算出综合评估得分。每个供应商最终得分为各评委打分的算术平均值。</w:t>
      </w:r>
    </w:p>
    <w:p w14:paraId="034531D6">
      <w:pPr>
        <w:spacing w:line="360" w:lineRule="auto"/>
        <w:ind w:firstLine="480" w:firstLineChars="200"/>
        <w:rPr>
          <w:rFonts w:ascii="宋体" w:hAnsi="宋体"/>
          <w:color w:val="000000"/>
          <w:sz w:val="24"/>
        </w:rPr>
      </w:pPr>
      <w:r>
        <w:rPr>
          <w:rFonts w:hint="eastAsia" w:ascii="宋体" w:hAnsi="宋体"/>
          <w:color w:val="000000"/>
          <w:sz w:val="24"/>
        </w:rPr>
        <w:t>2.5.2  评标计分必须填计分卡，评委应签自已的姓名。</w:t>
      </w:r>
    </w:p>
    <w:p w14:paraId="0000F4EB">
      <w:pPr>
        <w:spacing w:line="360" w:lineRule="auto"/>
        <w:ind w:firstLine="480" w:firstLineChars="200"/>
        <w:rPr>
          <w:rFonts w:ascii="宋体" w:hAnsi="宋体"/>
          <w:color w:val="000000"/>
          <w:sz w:val="24"/>
        </w:rPr>
      </w:pPr>
      <w:r>
        <w:rPr>
          <w:rFonts w:hint="eastAsia" w:ascii="宋体" w:hAnsi="宋体"/>
          <w:color w:val="000000"/>
          <w:sz w:val="24"/>
        </w:rPr>
        <w:t>2.5.3  评分计算均保留两位小数，两位小数后四舍五入。</w:t>
      </w:r>
    </w:p>
    <w:p w14:paraId="5156CC1E">
      <w:pPr>
        <w:spacing w:line="360" w:lineRule="auto"/>
        <w:ind w:firstLine="480" w:firstLineChars="200"/>
        <w:rPr>
          <w:rFonts w:ascii="宋体" w:hAnsi="宋体"/>
          <w:color w:val="000000"/>
          <w:sz w:val="24"/>
        </w:rPr>
      </w:pPr>
      <w:r>
        <w:rPr>
          <w:rFonts w:hint="eastAsia" w:ascii="宋体" w:hAnsi="宋体"/>
          <w:color w:val="000000"/>
          <w:sz w:val="24"/>
        </w:rPr>
        <w:t>2.5.4  有下列情况之一者，为无效分：</w:t>
      </w:r>
    </w:p>
    <w:p w14:paraId="5C1BA792">
      <w:pPr>
        <w:spacing w:line="360" w:lineRule="auto"/>
        <w:ind w:firstLine="480" w:firstLineChars="200"/>
        <w:rPr>
          <w:rFonts w:ascii="宋体" w:hAnsi="宋体"/>
          <w:color w:val="000000"/>
          <w:sz w:val="24"/>
        </w:rPr>
      </w:pPr>
      <w:r>
        <w:rPr>
          <w:rFonts w:hint="eastAsia" w:ascii="宋体" w:hAnsi="宋体"/>
          <w:color w:val="000000"/>
          <w:sz w:val="24"/>
        </w:rPr>
        <w:t>（1）计分高出规定最高或最低分的，计分明显不合理的；</w:t>
      </w:r>
    </w:p>
    <w:p w14:paraId="6EFF2DCC">
      <w:pPr>
        <w:spacing w:line="360" w:lineRule="auto"/>
        <w:ind w:firstLine="480" w:firstLineChars="200"/>
        <w:rPr>
          <w:rFonts w:ascii="宋体" w:hAnsi="宋体"/>
          <w:color w:val="000000"/>
          <w:sz w:val="24"/>
        </w:rPr>
      </w:pPr>
      <w:r>
        <w:rPr>
          <w:rFonts w:hint="eastAsia" w:ascii="宋体" w:hAnsi="宋体"/>
          <w:color w:val="000000"/>
          <w:sz w:val="24"/>
        </w:rPr>
        <w:t>（2）一个计分内容出现两个或两个以上计分的；</w:t>
      </w:r>
    </w:p>
    <w:p w14:paraId="1FAB6A0B">
      <w:pPr>
        <w:spacing w:line="360" w:lineRule="auto"/>
        <w:ind w:firstLine="480" w:firstLineChars="200"/>
        <w:rPr>
          <w:rFonts w:ascii="宋体" w:hAnsi="宋体"/>
          <w:color w:val="000000"/>
          <w:sz w:val="24"/>
        </w:rPr>
      </w:pPr>
      <w:r>
        <w:rPr>
          <w:rFonts w:hint="eastAsia" w:ascii="宋体" w:hAnsi="宋体"/>
          <w:color w:val="000000"/>
          <w:sz w:val="24"/>
        </w:rPr>
        <w:t>（3）计分卡没有签编号或姓名的；</w:t>
      </w:r>
    </w:p>
    <w:p w14:paraId="3CF7FF74">
      <w:pPr>
        <w:spacing w:line="360" w:lineRule="auto"/>
        <w:ind w:firstLine="480" w:firstLineChars="200"/>
        <w:rPr>
          <w:rFonts w:ascii="宋体" w:hAnsi="宋体"/>
          <w:color w:val="000000"/>
          <w:sz w:val="24"/>
        </w:rPr>
      </w:pPr>
      <w:r>
        <w:rPr>
          <w:rFonts w:hint="eastAsia" w:ascii="宋体" w:hAnsi="宋体"/>
          <w:color w:val="000000"/>
          <w:sz w:val="24"/>
        </w:rPr>
        <w:t>（4）其它未按本规定要求计分的。</w:t>
      </w:r>
    </w:p>
    <w:p w14:paraId="5EB7B5F1">
      <w:pPr>
        <w:spacing w:line="360" w:lineRule="auto"/>
        <w:ind w:firstLine="482" w:firstLineChars="200"/>
        <w:rPr>
          <w:rFonts w:ascii="宋体" w:hAnsi="宋体"/>
          <w:b/>
          <w:color w:val="000000"/>
          <w:sz w:val="24"/>
        </w:rPr>
      </w:pPr>
    </w:p>
    <w:p w14:paraId="6EAB7A2D">
      <w:pPr>
        <w:widowControl/>
        <w:jc w:val="left"/>
        <w:rPr>
          <w:rFonts w:ascii="宋体" w:hAnsi="宋体"/>
        </w:rPr>
      </w:pPr>
    </w:p>
    <w:p w14:paraId="0D3103B2">
      <w:pPr>
        <w:widowControl/>
        <w:jc w:val="left"/>
        <w:rPr>
          <w:rFonts w:ascii="宋体" w:hAnsi="宋体"/>
        </w:rPr>
      </w:pPr>
    </w:p>
    <w:p w14:paraId="0D8D637E">
      <w:pPr>
        <w:widowControl/>
        <w:jc w:val="left"/>
        <w:rPr>
          <w:rFonts w:ascii="宋体" w:hAnsi="宋体"/>
        </w:rPr>
      </w:pPr>
    </w:p>
    <w:p w14:paraId="7841F346">
      <w:pPr>
        <w:widowControl/>
        <w:jc w:val="left"/>
        <w:rPr>
          <w:rFonts w:ascii="宋体" w:hAnsi="宋体"/>
        </w:rPr>
      </w:pPr>
    </w:p>
    <w:p w14:paraId="7808B33F">
      <w:pPr>
        <w:widowControl/>
        <w:jc w:val="left"/>
        <w:rPr>
          <w:rFonts w:ascii="宋体" w:hAnsi="宋体"/>
        </w:rPr>
      </w:pPr>
    </w:p>
    <w:p w14:paraId="3E82EF1C">
      <w:pPr>
        <w:widowControl/>
        <w:jc w:val="left"/>
        <w:rPr>
          <w:rFonts w:ascii="宋体" w:hAnsi="宋体"/>
        </w:rPr>
      </w:pPr>
    </w:p>
    <w:p w14:paraId="2682A37A">
      <w:pPr>
        <w:widowControl/>
        <w:jc w:val="left"/>
        <w:rPr>
          <w:rFonts w:ascii="宋体" w:hAnsi="宋体"/>
        </w:rPr>
      </w:pPr>
    </w:p>
    <w:p w14:paraId="2CC1AFCF">
      <w:pPr>
        <w:widowControl/>
        <w:jc w:val="left"/>
        <w:rPr>
          <w:rFonts w:ascii="宋体" w:hAnsi="宋体"/>
        </w:rPr>
      </w:pPr>
    </w:p>
    <w:p w14:paraId="6D3E996F">
      <w:pPr>
        <w:widowControl/>
        <w:jc w:val="left"/>
        <w:rPr>
          <w:rFonts w:ascii="宋体" w:hAnsi="宋体"/>
        </w:rPr>
      </w:pPr>
    </w:p>
    <w:p w14:paraId="10213A05">
      <w:pPr>
        <w:spacing w:line="360" w:lineRule="auto"/>
        <w:ind w:firstLine="482" w:firstLineChars="200"/>
        <w:rPr>
          <w:rFonts w:ascii="宋体" w:hAnsi="宋体"/>
          <w:b/>
          <w:color w:val="000000"/>
          <w:sz w:val="24"/>
        </w:rPr>
      </w:pPr>
    </w:p>
    <w:p w14:paraId="4CB86A6D">
      <w:pPr>
        <w:spacing w:line="360" w:lineRule="auto"/>
        <w:ind w:firstLine="482" w:firstLineChars="200"/>
        <w:rPr>
          <w:rFonts w:ascii="宋体" w:hAnsi="宋体"/>
          <w:b/>
          <w:color w:val="000000"/>
          <w:sz w:val="24"/>
        </w:rPr>
      </w:pPr>
    </w:p>
    <w:p w14:paraId="3F86D98D">
      <w:pPr>
        <w:spacing w:line="360" w:lineRule="auto"/>
        <w:ind w:firstLine="482" w:firstLineChars="200"/>
        <w:rPr>
          <w:rFonts w:ascii="宋体" w:hAnsi="宋体"/>
          <w:b/>
          <w:color w:val="000000"/>
          <w:sz w:val="24"/>
        </w:rPr>
      </w:pPr>
    </w:p>
    <w:p w14:paraId="769F7CAB">
      <w:pPr>
        <w:spacing w:line="360" w:lineRule="auto"/>
        <w:ind w:firstLine="482" w:firstLineChars="200"/>
        <w:rPr>
          <w:rFonts w:ascii="宋体" w:hAnsi="宋体"/>
          <w:b/>
          <w:color w:val="000000"/>
          <w:sz w:val="24"/>
        </w:rPr>
      </w:pPr>
      <w:r>
        <w:rPr>
          <w:rFonts w:hint="eastAsia" w:ascii="宋体" w:hAnsi="宋体"/>
          <w:b/>
          <w:color w:val="000000"/>
          <w:sz w:val="24"/>
        </w:rPr>
        <w:t>附：评分计分标准，供应商评标得分为下表所列所有项的合计得分。</w:t>
      </w:r>
    </w:p>
    <w:tbl>
      <w:tblPr>
        <w:tblStyle w:val="11"/>
        <w:tblW w:w="9657" w:type="dxa"/>
        <w:jc w:val="center"/>
        <w:tblLayout w:type="fixed"/>
        <w:tblCellMar>
          <w:top w:w="0" w:type="dxa"/>
          <w:left w:w="108" w:type="dxa"/>
          <w:bottom w:w="0" w:type="dxa"/>
          <w:right w:w="108" w:type="dxa"/>
        </w:tblCellMar>
      </w:tblPr>
      <w:tblGrid>
        <w:gridCol w:w="1059"/>
        <w:gridCol w:w="1720"/>
        <w:gridCol w:w="6007"/>
        <w:gridCol w:w="69"/>
        <w:gridCol w:w="802"/>
      </w:tblGrid>
      <w:tr w14:paraId="0A2D602B">
        <w:tblPrEx>
          <w:tblCellMar>
            <w:top w:w="0" w:type="dxa"/>
            <w:left w:w="108" w:type="dxa"/>
            <w:bottom w:w="0" w:type="dxa"/>
            <w:right w:w="108" w:type="dxa"/>
          </w:tblCellMar>
        </w:tblPrEx>
        <w:trPr>
          <w:trHeight w:val="518" w:hRule="atLeast"/>
          <w:jc w:val="center"/>
        </w:trPr>
        <w:tc>
          <w:tcPr>
            <w:tcW w:w="9657" w:type="dxa"/>
            <w:gridSpan w:val="5"/>
            <w:tcBorders>
              <w:top w:val="single" w:color="000000" w:sz="6" w:space="0"/>
              <w:left w:val="single" w:color="000000" w:sz="12" w:space="0"/>
              <w:bottom w:val="single" w:color="000000" w:sz="6" w:space="0"/>
              <w:right w:val="single" w:color="000000" w:sz="12" w:space="0"/>
            </w:tcBorders>
            <w:noWrap/>
            <w:vAlign w:val="center"/>
          </w:tcPr>
          <w:p w14:paraId="2479D87C">
            <w:pPr>
              <w:rPr>
                <w:rFonts w:ascii="宋体" w:hAnsi="宋体"/>
                <w:sz w:val="24"/>
              </w:rPr>
            </w:pPr>
            <w:r>
              <w:rPr>
                <w:rFonts w:ascii="宋体" w:hAnsi="宋体"/>
                <w:sz w:val="24"/>
              </w:rPr>
              <w:t>综合评分部分（满分100分）</w:t>
            </w:r>
          </w:p>
        </w:tc>
      </w:tr>
      <w:tr w14:paraId="649AF5A5">
        <w:tblPrEx>
          <w:tblCellMar>
            <w:top w:w="0" w:type="dxa"/>
            <w:left w:w="108" w:type="dxa"/>
            <w:bottom w:w="0" w:type="dxa"/>
            <w:right w:w="108" w:type="dxa"/>
          </w:tblCellMar>
        </w:tblPrEx>
        <w:trPr>
          <w:trHeight w:val="691" w:hRule="atLeast"/>
          <w:jc w:val="center"/>
        </w:trPr>
        <w:tc>
          <w:tcPr>
            <w:tcW w:w="2779" w:type="dxa"/>
            <w:gridSpan w:val="2"/>
            <w:tcBorders>
              <w:top w:val="single" w:color="000000" w:sz="6" w:space="0"/>
              <w:left w:val="single" w:color="000000" w:sz="6" w:space="0"/>
              <w:bottom w:val="single" w:color="000000" w:sz="6" w:space="0"/>
              <w:right w:val="single" w:color="000000" w:sz="6" w:space="0"/>
            </w:tcBorders>
            <w:noWrap/>
            <w:vAlign w:val="center"/>
          </w:tcPr>
          <w:p w14:paraId="47C66036">
            <w:pPr>
              <w:jc w:val="center"/>
              <w:rPr>
                <w:rFonts w:ascii="宋体" w:hAnsi="宋体"/>
                <w:sz w:val="24"/>
              </w:rPr>
            </w:pPr>
            <w:r>
              <w:rPr>
                <w:rFonts w:ascii="宋体" w:hAnsi="宋体"/>
                <w:sz w:val="24"/>
              </w:rPr>
              <w:t>分值构成</w:t>
            </w:r>
          </w:p>
          <w:p w14:paraId="011DF19A">
            <w:pPr>
              <w:jc w:val="center"/>
              <w:rPr>
                <w:rFonts w:ascii="宋体" w:hAnsi="宋体"/>
                <w:sz w:val="24"/>
              </w:rPr>
            </w:pPr>
            <w:r>
              <w:rPr>
                <w:rFonts w:ascii="宋体" w:hAnsi="宋体"/>
                <w:sz w:val="24"/>
              </w:rPr>
              <w:t>(总分100分)</w:t>
            </w:r>
          </w:p>
        </w:tc>
        <w:tc>
          <w:tcPr>
            <w:tcW w:w="6878" w:type="dxa"/>
            <w:gridSpan w:val="3"/>
            <w:tcBorders>
              <w:top w:val="single" w:color="000000" w:sz="6" w:space="0"/>
              <w:left w:val="single" w:color="000000" w:sz="6" w:space="0"/>
              <w:bottom w:val="single" w:color="000000" w:sz="6" w:space="0"/>
              <w:right w:val="single" w:color="000000" w:sz="12" w:space="0"/>
            </w:tcBorders>
            <w:noWrap/>
            <w:vAlign w:val="center"/>
          </w:tcPr>
          <w:p w14:paraId="1862A7F6">
            <w:pPr>
              <w:rPr>
                <w:rFonts w:ascii="宋体" w:hAnsi="宋体"/>
                <w:sz w:val="24"/>
              </w:rPr>
            </w:pPr>
            <w:r>
              <w:rPr>
                <w:rFonts w:hint="eastAsia" w:ascii="宋体" w:hAnsi="宋体"/>
                <w:sz w:val="24"/>
              </w:rPr>
              <w:t>商务标</w:t>
            </w:r>
            <w:r>
              <w:rPr>
                <w:rFonts w:ascii="宋体" w:hAnsi="宋体"/>
                <w:sz w:val="24"/>
              </w:rPr>
              <w:t>：</w:t>
            </w:r>
            <w:r>
              <w:rPr>
                <w:rFonts w:hint="eastAsia" w:ascii="宋体" w:hAnsi="宋体"/>
                <w:sz w:val="24"/>
                <w:u w:val="single"/>
              </w:rPr>
              <w:t>30</w:t>
            </w:r>
            <w:r>
              <w:rPr>
                <w:rFonts w:ascii="宋体" w:hAnsi="宋体"/>
                <w:sz w:val="24"/>
              </w:rPr>
              <w:t>分</w:t>
            </w:r>
          </w:p>
          <w:p w14:paraId="25C542A1">
            <w:pPr>
              <w:rPr>
                <w:rFonts w:ascii="宋体" w:hAnsi="宋体"/>
                <w:sz w:val="24"/>
              </w:rPr>
            </w:pPr>
            <w:r>
              <w:rPr>
                <w:rFonts w:ascii="宋体" w:hAnsi="宋体"/>
                <w:sz w:val="24"/>
              </w:rPr>
              <w:t>技术标：</w:t>
            </w:r>
            <w:r>
              <w:rPr>
                <w:rFonts w:hint="eastAsia" w:ascii="宋体" w:hAnsi="宋体"/>
                <w:sz w:val="24"/>
                <w:u w:val="single"/>
              </w:rPr>
              <w:t>50</w:t>
            </w:r>
            <w:r>
              <w:rPr>
                <w:rFonts w:ascii="宋体" w:hAnsi="宋体"/>
                <w:sz w:val="24"/>
              </w:rPr>
              <w:t>分</w:t>
            </w:r>
          </w:p>
          <w:p w14:paraId="08F7C453">
            <w:pPr>
              <w:rPr>
                <w:rFonts w:ascii="宋体" w:hAnsi="宋体"/>
                <w:sz w:val="24"/>
              </w:rPr>
            </w:pPr>
            <w:r>
              <w:rPr>
                <w:rFonts w:ascii="宋体" w:hAnsi="宋体"/>
                <w:sz w:val="24"/>
              </w:rPr>
              <w:t>综合标：</w:t>
            </w:r>
            <w:r>
              <w:rPr>
                <w:rFonts w:hint="eastAsia" w:ascii="宋体" w:hAnsi="宋体"/>
                <w:sz w:val="24"/>
                <w:u w:val="single"/>
              </w:rPr>
              <w:t>20</w:t>
            </w:r>
            <w:r>
              <w:rPr>
                <w:rFonts w:ascii="宋体" w:hAnsi="宋体"/>
                <w:sz w:val="24"/>
              </w:rPr>
              <w:t>分</w:t>
            </w:r>
          </w:p>
        </w:tc>
      </w:tr>
      <w:tr w14:paraId="482B8EEE">
        <w:tblPrEx>
          <w:tblCellMar>
            <w:top w:w="0" w:type="dxa"/>
            <w:left w:w="108" w:type="dxa"/>
            <w:bottom w:w="0" w:type="dxa"/>
            <w:right w:w="108" w:type="dxa"/>
          </w:tblCellMar>
        </w:tblPrEx>
        <w:trPr>
          <w:trHeight w:val="558" w:hRule="atLeast"/>
          <w:jc w:val="center"/>
        </w:trPr>
        <w:tc>
          <w:tcPr>
            <w:tcW w:w="2779" w:type="dxa"/>
            <w:gridSpan w:val="2"/>
            <w:tcBorders>
              <w:top w:val="single" w:color="000000" w:sz="6" w:space="0"/>
              <w:left w:val="single" w:color="000000" w:sz="6" w:space="0"/>
              <w:bottom w:val="single" w:color="000000" w:sz="6" w:space="0"/>
              <w:right w:val="single" w:color="000000" w:sz="6" w:space="0"/>
            </w:tcBorders>
            <w:noWrap/>
            <w:vAlign w:val="center"/>
          </w:tcPr>
          <w:p w14:paraId="279BBA19">
            <w:pPr>
              <w:jc w:val="center"/>
              <w:rPr>
                <w:rFonts w:ascii="宋体" w:hAnsi="宋体"/>
                <w:sz w:val="24"/>
              </w:rPr>
            </w:pPr>
            <w:r>
              <w:rPr>
                <w:rFonts w:ascii="宋体" w:hAnsi="宋体"/>
                <w:sz w:val="24"/>
              </w:rPr>
              <w:t>评分因素</w:t>
            </w:r>
          </w:p>
        </w:tc>
        <w:tc>
          <w:tcPr>
            <w:tcW w:w="6878" w:type="dxa"/>
            <w:gridSpan w:val="3"/>
            <w:tcBorders>
              <w:top w:val="single" w:color="000000" w:sz="6" w:space="0"/>
              <w:left w:val="single" w:color="000000" w:sz="6" w:space="0"/>
              <w:bottom w:val="single" w:color="000000" w:sz="6" w:space="0"/>
              <w:right w:val="single" w:color="000000" w:sz="12" w:space="0"/>
            </w:tcBorders>
            <w:noWrap/>
            <w:vAlign w:val="center"/>
          </w:tcPr>
          <w:p w14:paraId="33F5E49D">
            <w:pPr>
              <w:jc w:val="center"/>
              <w:rPr>
                <w:rFonts w:ascii="宋体" w:hAnsi="宋体"/>
                <w:sz w:val="24"/>
              </w:rPr>
            </w:pPr>
            <w:r>
              <w:rPr>
                <w:rFonts w:ascii="宋体" w:hAnsi="宋体"/>
                <w:sz w:val="24"/>
              </w:rPr>
              <w:t>评分标准</w:t>
            </w:r>
          </w:p>
        </w:tc>
      </w:tr>
      <w:tr w14:paraId="78CC4930">
        <w:tblPrEx>
          <w:tblCellMar>
            <w:top w:w="0" w:type="dxa"/>
            <w:left w:w="108" w:type="dxa"/>
            <w:bottom w:w="0" w:type="dxa"/>
            <w:right w:w="108" w:type="dxa"/>
          </w:tblCellMar>
        </w:tblPrEx>
        <w:trPr>
          <w:trHeight w:val="5228" w:hRule="atLeast"/>
          <w:jc w:val="center"/>
        </w:trPr>
        <w:tc>
          <w:tcPr>
            <w:tcW w:w="1059" w:type="dxa"/>
            <w:tcBorders>
              <w:top w:val="single" w:color="000000" w:sz="6" w:space="0"/>
              <w:left w:val="single" w:color="000000" w:sz="4" w:space="0"/>
              <w:bottom w:val="single" w:color="000000" w:sz="6" w:space="0"/>
              <w:right w:val="single" w:color="000000" w:sz="6" w:space="0"/>
            </w:tcBorders>
            <w:noWrap/>
            <w:vAlign w:val="center"/>
          </w:tcPr>
          <w:p w14:paraId="51778517">
            <w:pPr>
              <w:jc w:val="center"/>
              <w:rPr>
                <w:rFonts w:ascii="宋体" w:hAnsi="宋体"/>
                <w:sz w:val="24"/>
              </w:rPr>
            </w:pPr>
            <w:r>
              <w:rPr>
                <w:rFonts w:hint="eastAsia" w:ascii="宋体" w:hAnsi="宋体"/>
                <w:sz w:val="24"/>
              </w:rPr>
              <w:t>商务标评分标准</w:t>
            </w:r>
          </w:p>
          <w:p w14:paraId="58402DE0">
            <w:pPr>
              <w:jc w:val="center"/>
              <w:rPr>
                <w:rFonts w:ascii="宋体" w:hAnsi="宋体"/>
                <w:sz w:val="24"/>
              </w:rPr>
            </w:pPr>
            <w:r>
              <w:rPr>
                <w:rFonts w:hint="eastAsia" w:ascii="宋体" w:hAnsi="宋体"/>
                <w:sz w:val="24"/>
              </w:rPr>
              <w:t>30</w:t>
            </w:r>
            <w:r>
              <w:rPr>
                <w:rFonts w:ascii="宋体" w:hAnsi="宋体"/>
                <w:sz w:val="24"/>
              </w:rPr>
              <w:t>分</w:t>
            </w:r>
          </w:p>
        </w:tc>
        <w:tc>
          <w:tcPr>
            <w:tcW w:w="1720" w:type="dxa"/>
            <w:tcBorders>
              <w:top w:val="single" w:color="000000" w:sz="6" w:space="0"/>
              <w:left w:val="single" w:color="000000" w:sz="4" w:space="0"/>
              <w:bottom w:val="single" w:color="000000" w:sz="6" w:space="0"/>
              <w:right w:val="single" w:color="000000" w:sz="6" w:space="0"/>
            </w:tcBorders>
            <w:noWrap/>
            <w:vAlign w:val="center"/>
          </w:tcPr>
          <w:p w14:paraId="25AEA8F8">
            <w:pPr>
              <w:rPr>
                <w:rFonts w:ascii="宋体" w:hAnsi="宋体"/>
                <w:sz w:val="24"/>
              </w:rPr>
            </w:pPr>
            <w:r>
              <w:rPr>
                <w:rFonts w:hint="eastAsia" w:ascii="宋体" w:hAnsi="宋体"/>
                <w:sz w:val="24"/>
              </w:rPr>
              <w:t>磋商报价</w:t>
            </w:r>
          </w:p>
        </w:tc>
        <w:tc>
          <w:tcPr>
            <w:tcW w:w="6878" w:type="dxa"/>
            <w:gridSpan w:val="3"/>
            <w:tcBorders>
              <w:top w:val="single" w:color="000000" w:sz="6" w:space="0"/>
              <w:left w:val="single" w:color="000000" w:sz="6" w:space="0"/>
              <w:bottom w:val="single" w:color="000000" w:sz="6" w:space="0"/>
              <w:right w:val="single" w:color="000000" w:sz="12" w:space="0"/>
            </w:tcBorders>
            <w:noWrap/>
            <w:vAlign w:val="center"/>
          </w:tcPr>
          <w:p w14:paraId="0948EC77">
            <w:pPr>
              <w:spacing w:line="360" w:lineRule="auto"/>
              <w:jc w:val="left"/>
              <w:rPr>
                <w:rFonts w:ascii="宋体" w:hAnsi="宋体"/>
                <w:color w:val="000000"/>
                <w:sz w:val="24"/>
              </w:rPr>
            </w:pPr>
            <w:r>
              <w:rPr>
                <w:rFonts w:hint="eastAsia" w:ascii="宋体" w:hAnsi="宋体"/>
                <w:color w:val="000000"/>
                <w:sz w:val="24"/>
              </w:rPr>
              <w:t>1、本项目进行2轮报价，每轮报价高于前一轮报价的均按无效报价处理。</w:t>
            </w:r>
          </w:p>
          <w:p w14:paraId="1F29A5C7">
            <w:pPr>
              <w:spacing w:line="360" w:lineRule="auto"/>
              <w:jc w:val="left"/>
              <w:rPr>
                <w:rFonts w:ascii="宋体" w:hAnsi="宋体"/>
                <w:color w:val="000000"/>
                <w:sz w:val="24"/>
              </w:rPr>
            </w:pPr>
            <w:r>
              <w:rPr>
                <w:rFonts w:hint="eastAsia" w:ascii="宋体" w:hAnsi="宋体"/>
                <w:color w:val="000000"/>
                <w:sz w:val="24"/>
              </w:rPr>
              <w:t>2、价格分采用低价优先法计算，即满足磋商文件要求且最后报价最低的供应商的价格为磋商基准价，其价格分为满分，其他供应商的价格分统一按照下列公式计算：</w:t>
            </w:r>
          </w:p>
          <w:p w14:paraId="42040EB2">
            <w:pPr>
              <w:spacing w:line="360" w:lineRule="auto"/>
              <w:jc w:val="left"/>
              <w:rPr>
                <w:rFonts w:ascii="宋体" w:hAnsi="宋体"/>
                <w:color w:val="000000"/>
                <w:sz w:val="24"/>
              </w:rPr>
            </w:pPr>
            <w:r>
              <w:rPr>
                <w:rFonts w:hint="eastAsia" w:ascii="宋体" w:hAnsi="宋体"/>
                <w:color w:val="000000"/>
                <w:sz w:val="24"/>
              </w:rPr>
              <w:t>价格分=（磋商基准价/最后磋商报价）×30</w:t>
            </w:r>
          </w:p>
          <w:p w14:paraId="011A573F">
            <w:pPr>
              <w:spacing w:line="360" w:lineRule="auto"/>
              <w:ind w:firstLine="480" w:firstLineChars="200"/>
              <w:jc w:val="left"/>
              <w:rPr>
                <w:rFonts w:ascii="宋体" w:hAnsi="宋体"/>
                <w:color w:val="000000"/>
                <w:sz w:val="24"/>
              </w:rPr>
            </w:pPr>
            <w:r>
              <w:rPr>
                <w:rFonts w:hint="eastAsia" w:ascii="宋体" w:hAnsi="宋体"/>
                <w:color w:val="000000"/>
                <w:sz w:val="24"/>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04B2C4A7">
            <w:pPr>
              <w:widowControl/>
              <w:spacing w:line="480" w:lineRule="exact"/>
              <w:jc w:val="left"/>
              <w:rPr>
                <w:rFonts w:ascii="宋体" w:hAnsi="宋体" w:cs="宋体"/>
                <w:b/>
                <w:bCs/>
                <w:kern w:val="0"/>
                <w:sz w:val="24"/>
              </w:rPr>
            </w:pPr>
            <w:r>
              <w:rPr>
                <w:rFonts w:hint="eastAsia" w:ascii="宋体" w:hAnsi="宋体" w:cs="宋体"/>
                <w:b/>
                <w:bCs/>
                <w:kern w:val="0"/>
                <w:sz w:val="24"/>
              </w:rPr>
              <w:t>根据财库【2020】46号对小型、微型企业、监狱企业及残疾人福利性单位价格给予3%的扣除，用扣除后的价格参与评审；参加投标活动的中小企业应当提供《政府采购促进中小企业发展暂行办法》规定的《中小企业声明函（工程）》，未填写中小企业声明函的在评标过程中不予认可。若提供的声明与实际情况不符，招标人有权取消该中标供应商的中标资格，并对因其造成的损失进行追责。</w:t>
            </w:r>
          </w:p>
          <w:p w14:paraId="798E0EAA">
            <w:pPr>
              <w:spacing w:line="360" w:lineRule="auto"/>
              <w:jc w:val="left"/>
              <w:rPr>
                <w:rFonts w:ascii="宋体" w:hAnsi="宋体"/>
                <w:color w:val="000000"/>
                <w:sz w:val="24"/>
              </w:rPr>
            </w:pPr>
            <w:r>
              <w:rPr>
                <w:rFonts w:hint="eastAsia" w:ascii="宋体" w:hAnsi="宋体"/>
                <w:color w:val="000000"/>
                <w:sz w:val="24"/>
              </w:rPr>
              <w:t>2.评标小组认为投标人的报价明显低于其他通过审查的投标人的报价，有可能影响服务质量或者不能诚信履约的，应当要求其在评标现场合理的时间内提供书面说明，必要时提交相关证明材料；投标人不能证明其报价合理性的，评标小组应当将其作为无效投标处理</w:t>
            </w:r>
          </w:p>
          <w:p w14:paraId="4FDCE82A">
            <w:pPr>
              <w:spacing w:line="360" w:lineRule="auto"/>
              <w:jc w:val="left"/>
              <w:rPr>
                <w:rFonts w:ascii="宋体" w:hAnsi="宋体"/>
                <w:color w:val="000000"/>
                <w:sz w:val="24"/>
              </w:rPr>
            </w:pPr>
            <w:r>
              <w:rPr>
                <w:rFonts w:hint="eastAsia" w:ascii="宋体" w:hAnsi="宋体"/>
                <w:color w:val="000000"/>
                <w:sz w:val="24"/>
              </w:rPr>
              <w:t>3. 投标报价得分四舍五入至小数点后两位。</w:t>
            </w:r>
          </w:p>
        </w:tc>
      </w:tr>
      <w:tr w14:paraId="5D7246BD">
        <w:tblPrEx>
          <w:tblCellMar>
            <w:top w:w="0" w:type="dxa"/>
            <w:left w:w="108" w:type="dxa"/>
            <w:bottom w:w="0" w:type="dxa"/>
            <w:right w:w="108" w:type="dxa"/>
          </w:tblCellMar>
        </w:tblPrEx>
        <w:trPr>
          <w:trHeight w:val="1546" w:hRule="atLeast"/>
          <w:jc w:val="center"/>
        </w:trPr>
        <w:tc>
          <w:tcPr>
            <w:tcW w:w="1059" w:type="dxa"/>
            <w:vMerge w:val="restart"/>
            <w:tcBorders>
              <w:top w:val="single" w:color="000000" w:sz="6" w:space="0"/>
              <w:left w:val="single" w:color="000000" w:sz="6" w:space="0"/>
              <w:right w:val="single" w:color="auto" w:sz="4" w:space="0"/>
            </w:tcBorders>
            <w:noWrap/>
            <w:vAlign w:val="center"/>
          </w:tcPr>
          <w:p w14:paraId="5E21C076">
            <w:pPr>
              <w:jc w:val="center"/>
              <w:rPr>
                <w:rFonts w:ascii="宋体" w:hAnsi="宋体"/>
                <w:sz w:val="24"/>
              </w:rPr>
            </w:pPr>
            <w:r>
              <w:rPr>
                <w:rFonts w:hint="eastAsia" w:ascii="宋体" w:hAnsi="宋体"/>
                <w:sz w:val="24"/>
              </w:rPr>
              <w:t>技术标</w:t>
            </w:r>
          </w:p>
          <w:p w14:paraId="19FDFAA7">
            <w:pPr>
              <w:jc w:val="center"/>
              <w:rPr>
                <w:rFonts w:ascii="宋体" w:hAnsi="宋体"/>
                <w:sz w:val="24"/>
              </w:rPr>
            </w:pPr>
            <w:r>
              <w:rPr>
                <w:rFonts w:hint="eastAsia" w:ascii="宋体" w:hAnsi="宋体"/>
                <w:sz w:val="24"/>
              </w:rPr>
              <w:t>52</w:t>
            </w:r>
            <w:r>
              <w:rPr>
                <w:rFonts w:ascii="宋体" w:hAnsi="宋体"/>
                <w:sz w:val="24"/>
              </w:rPr>
              <w:t>分</w:t>
            </w:r>
          </w:p>
          <w:p w14:paraId="20A89BCA">
            <w:pPr>
              <w:jc w:val="center"/>
              <w:rPr>
                <w:rFonts w:ascii="宋体" w:hAnsi="宋体"/>
                <w:sz w:val="24"/>
              </w:rPr>
            </w:pPr>
          </w:p>
          <w:p w14:paraId="3FB882A1">
            <w:pPr>
              <w:jc w:val="center"/>
              <w:rPr>
                <w:rFonts w:ascii="宋体" w:hAnsi="宋体"/>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6DF1BB1F">
            <w:pPr>
              <w:spacing w:line="360" w:lineRule="auto"/>
              <w:jc w:val="left"/>
              <w:rPr>
                <w:rFonts w:ascii="宋体" w:hAnsi="宋体"/>
                <w:color w:val="000000"/>
                <w:sz w:val="24"/>
              </w:rPr>
            </w:pPr>
            <w:r>
              <w:rPr>
                <w:rFonts w:hint="eastAsia" w:ascii="宋体" w:hAnsi="宋体"/>
                <w:color w:val="000000"/>
                <w:sz w:val="24"/>
              </w:rPr>
              <w:t>内容完整性和编制水平</w:t>
            </w:r>
          </w:p>
        </w:tc>
        <w:tc>
          <w:tcPr>
            <w:tcW w:w="6076" w:type="dxa"/>
            <w:gridSpan w:val="2"/>
            <w:tcBorders>
              <w:top w:val="single" w:color="000000" w:sz="6" w:space="0"/>
              <w:left w:val="single" w:color="auto" w:sz="4" w:space="0"/>
              <w:bottom w:val="single" w:color="000000" w:sz="6" w:space="0"/>
              <w:right w:val="single" w:color="000000" w:sz="6" w:space="0"/>
            </w:tcBorders>
            <w:noWrap/>
            <w:vAlign w:val="center"/>
          </w:tcPr>
          <w:p w14:paraId="6C6FBCA0">
            <w:pPr>
              <w:spacing w:line="360" w:lineRule="auto"/>
              <w:jc w:val="left"/>
              <w:rPr>
                <w:rFonts w:ascii="宋体" w:hAnsi="宋体"/>
                <w:color w:val="000000"/>
                <w:sz w:val="24"/>
              </w:rPr>
            </w:pPr>
            <w:r>
              <w:rPr>
                <w:rFonts w:hint="eastAsia" w:ascii="宋体" w:hAnsi="宋体"/>
                <w:color w:val="000000"/>
                <w:sz w:val="24"/>
              </w:rPr>
              <w:t>根据内容完整性和编制水平。科学、合理、满足要求的4-6分；基本合理、基本满足要求的1-3分；不满足要求的不得分。</w:t>
            </w:r>
          </w:p>
        </w:tc>
        <w:tc>
          <w:tcPr>
            <w:tcW w:w="802" w:type="dxa"/>
            <w:tcBorders>
              <w:top w:val="single" w:color="000000" w:sz="6" w:space="0"/>
              <w:left w:val="single" w:color="000000" w:sz="6" w:space="0"/>
              <w:bottom w:val="single" w:color="000000" w:sz="6" w:space="0"/>
              <w:right w:val="single" w:color="000000" w:sz="12" w:space="0"/>
            </w:tcBorders>
            <w:noWrap/>
            <w:vAlign w:val="center"/>
          </w:tcPr>
          <w:p w14:paraId="20476962">
            <w:pPr>
              <w:spacing w:line="360" w:lineRule="auto"/>
              <w:jc w:val="center"/>
              <w:rPr>
                <w:rFonts w:ascii="宋体" w:hAnsi="宋体"/>
                <w:color w:val="000000"/>
                <w:sz w:val="24"/>
              </w:rPr>
            </w:pPr>
            <w:r>
              <w:rPr>
                <w:rFonts w:hint="eastAsia" w:ascii="宋体" w:hAnsi="宋体"/>
                <w:color w:val="000000"/>
                <w:sz w:val="24"/>
              </w:rPr>
              <w:t>6分</w:t>
            </w:r>
          </w:p>
        </w:tc>
      </w:tr>
      <w:tr w14:paraId="73732477">
        <w:tblPrEx>
          <w:tblCellMar>
            <w:top w:w="0" w:type="dxa"/>
            <w:left w:w="108" w:type="dxa"/>
            <w:bottom w:w="0" w:type="dxa"/>
            <w:right w:w="108" w:type="dxa"/>
          </w:tblCellMar>
        </w:tblPrEx>
        <w:trPr>
          <w:trHeight w:val="406" w:hRule="atLeast"/>
          <w:jc w:val="center"/>
        </w:trPr>
        <w:tc>
          <w:tcPr>
            <w:tcW w:w="1059" w:type="dxa"/>
            <w:vMerge w:val="continue"/>
            <w:tcBorders>
              <w:left w:val="single" w:color="000000" w:sz="6" w:space="0"/>
              <w:right w:val="single" w:color="auto" w:sz="4" w:space="0"/>
            </w:tcBorders>
            <w:noWrap/>
          </w:tcPr>
          <w:p w14:paraId="49F517EC">
            <w:pPr>
              <w:rPr>
                <w:rFonts w:ascii="宋体" w:hAnsi="宋体"/>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08C6C261">
            <w:pPr>
              <w:spacing w:line="360" w:lineRule="auto"/>
              <w:jc w:val="center"/>
              <w:rPr>
                <w:rFonts w:ascii="宋体" w:hAnsi="宋体"/>
                <w:color w:val="000000"/>
                <w:sz w:val="24"/>
              </w:rPr>
            </w:pPr>
            <w:r>
              <w:rPr>
                <w:rFonts w:hint="eastAsia" w:ascii="宋体" w:hAnsi="宋体"/>
                <w:color w:val="000000"/>
                <w:sz w:val="24"/>
              </w:rPr>
              <w:t>施工方案与技术措施</w:t>
            </w:r>
          </w:p>
        </w:tc>
        <w:tc>
          <w:tcPr>
            <w:tcW w:w="6076" w:type="dxa"/>
            <w:gridSpan w:val="2"/>
            <w:tcBorders>
              <w:top w:val="single" w:color="000000" w:sz="6" w:space="0"/>
              <w:left w:val="single" w:color="auto" w:sz="4" w:space="0"/>
              <w:bottom w:val="single" w:color="000000" w:sz="6" w:space="0"/>
              <w:right w:val="single" w:color="000000" w:sz="6" w:space="0"/>
            </w:tcBorders>
            <w:noWrap/>
            <w:vAlign w:val="center"/>
          </w:tcPr>
          <w:p w14:paraId="7C1BBEF6">
            <w:pPr>
              <w:spacing w:line="360" w:lineRule="auto"/>
              <w:jc w:val="left"/>
              <w:rPr>
                <w:rFonts w:ascii="宋体" w:hAnsi="宋体"/>
                <w:color w:val="000000"/>
                <w:sz w:val="24"/>
              </w:rPr>
            </w:pPr>
            <w:r>
              <w:rPr>
                <w:rFonts w:hint="eastAsia" w:ascii="宋体" w:hAnsi="宋体"/>
                <w:color w:val="000000"/>
                <w:sz w:val="24"/>
              </w:rPr>
              <w:t>根据施工方案和技术措施的合理性、科学性及可操作性：</w:t>
            </w:r>
          </w:p>
          <w:p w14:paraId="34637786">
            <w:pPr>
              <w:spacing w:line="360" w:lineRule="auto"/>
              <w:jc w:val="left"/>
              <w:rPr>
                <w:rFonts w:ascii="宋体" w:hAnsi="宋体"/>
                <w:color w:val="000000"/>
                <w:sz w:val="24"/>
              </w:rPr>
            </w:pPr>
            <w:r>
              <w:rPr>
                <w:rFonts w:hint="eastAsia" w:ascii="宋体" w:hAnsi="宋体"/>
                <w:color w:val="000000"/>
                <w:sz w:val="24"/>
              </w:rPr>
              <w:t>1）施工方法合理5分，基本合理3分，一般的1分；否则不得分；</w:t>
            </w:r>
          </w:p>
          <w:p w14:paraId="7CA20DED">
            <w:pPr>
              <w:spacing w:line="360" w:lineRule="auto"/>
              <w:jc w:val="left"/>
              <w:rPr>
                <w:rFonts w:ascii="宋体" w:hAnsi="宋体"/>
                <w:color w:val="000000"/>
                <w:sz w:val="24"/>
              </w:rPr>
            </w:pPr>
            <w:r>
              <w:rPr>
                <w:rFonts w:hint="eastAsia" w:ascii="宋体" w:hAnsi="宋体"/>
                <w:color w:val="000000"/>
                <w:sz w:val="24"/>
              </w:rPr>
              <w:t>2）施工技术措施合理5分，基本合理3分，一般的1分；否则不得分。</w:t>
            </w:r>
          </w:p>
        </w:tc>
        <w:tc>
          <w:tcPr>
            <w:tcW w:w="802" w:type="dxa"/>
            <w:tcBorders>
              <w:top w:val="single" w:color="000000" w:sz="6" w:space="0"/>
              <w:left w:val="single" w:color="000000" w:sz="6" w:space="0"/>
              <w:bottom w:val="single" w:color="000000" w:sz="6" w:space="0"/>
              <w:right w:val="single" w:color="000000" w:sz="12" w:space="0"/>
            </w:tcBorders>
            <w:noWrap/>
            <w:vAlign w:val="center"/>
          </w:tcPr>
          <w:p w14:paraId="0F0752C7">
            <w:pPr>
              <w:spacing w:line="360" w:lineRule="auto"/>
              <w:jc w:val="center"/>
              <w:rPr>
                <w:rFonts w:ascii="宋体" w:hAnsi="宋体"/>
                <w:color w:val="000000"/>
                <w:sz w:val="24"/>
              </w:rPr>
            </w:pPr>
            <w:r>
              <w:rPr>
                <w:rFonts w:hint="eastAsia" w:ascii="宋体" w:hAnsi="宋体"/>
                <w:color w:val="000000"/>
                <w:sz w:val="24"/>
              </w:rPr>
              <w:t>10分</w:t>
            </w:r>
          </w:p>
        </w:tc>
      </w:tr>
      <w:tr w14:paraId="18B09298">
        <w:tblPrEx>
          <w:tblCellMar>
            <w:top w:w="0" w:type="dxa"/>
            <w:left w:w="108" w:type="dxa"/>
            <w:bottom w:w="0" w:type="dxa"/>
            <w:right w:w="108" w:type="dxa"/>
          </w:tblCellMar>
        </w:tblPrEx>
        <w:trPr>
          <w:trHeight w:val="363" w:hRule="atLeast"/>
          <w:jc w:val="center"/>
        </w:trPr>
        <w:tc>
          <w:tcPr>
            <w:tcW w:w="1059" w:type="dxa"/>
            <w:vMerge w:val="continue"/>
            <w:tcBorders>
              <w:left w:val="single" w:color="000000" w:sz="6" w:space="0"/>
              <w:right w:val="single" w:color="auto" w:sz="4" w:space="0"/>
            </w:tcBorders>
            <w:noWrap/>
          </w:tcPr>
          <w:p w14:paraId="62764596">
            <w:pPr>
              <w:rPr>
                <w:rFonts w:ascii="宋体" w:hAnsi="宋体"/>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384827B9">
            <w:pPr>
              <w:spacing w:line="360" w:lineRule="auto"/>
              <w:jc w:val="center"/>
              <w:rPr>
                <w:rFonts w:ascii="宋体" w:hAnsi="宋体"/>
                <w:color w:val="000000"/>
                <w:sz w:val="24"/>
              </w:rPr>
            </w:pPr>
            <w:r>
              <w:rPr>
                <w:rFonts w:hint="eastAsia" w:ascii="宋体" w:hAnsi="宋体"/>
                <w:color w:val="000000"/>
                <w:sz w:val="24"/>
              </w:rPr>
              <w:t>质量管理体系与措施</w:t>
            </w:r>
          </w:p>
        </w:tc>
        <w:tc>
          <w:tcPr>
            <w:tcW w:w="6076" w:type="dxa"/>
            <w:gridSpan w:val="2"/>
            <w:tcBorders>
              <w:top w:val="single" w:color="000000" w:sz="6" w:space="0"/>
              <w:left w:val="single" w:color="auto" w:sz="4" w:space="0"/>
              <w:bottom w:val="single" w:color="000000" w:sz="6" w:space="0"/>
              <w:right w:val="single" w:color="000000" w:sz="6" w:space="0"/>
            </w:tcBorders>
            <w:noWrap/>
            <w:vAlign w:val="center"/>
          </w:tcPr>
          <w:p w14:paraId="6D204B24">
            <w:pPr>
              <w:spacing w:line="360" w:lineRule="auto"/>
              <w:jc w:val="left"/>
              <w:rPr>
                <w:rFonts w:ascii="宋体" w:hAnsi="宋体"/>
                <w:color w:val="000000"/>
                <w:sz w:val="24"/>
              </w:rPr>
            </w:pPr>
            <w:r>
              <w:rPr>
                <w:rFonts w:hint="eastAsia" w:ascii="宋体" w:hAnsi="宋体"/>
                <w:color w:val="000000"/>
                <w:sz w:val="24"/>
              </w:rPr>
              <w:t>根据质量管理体系与措施的完整性、可行性：科学、合理、满足要求的4-6分；基本合理、基本满足要求的1-3分；不满足要求的不得分。</w:t>
            </w:r>
          </w:p>
        </w:tc>
        <w:tc>
          <w:tcPr>
            <w:tcW w:w="802" w:type="dxa"/>
            <w:tcBorders>
              <w:top w:val="single" w:color="000000" w:sz="6" w:space="0"/>
              <w:left w:val="single" w:color="000000" w:sz="6" w:space="0"/>
              <w:bottom w:val="single" w:color="000000" w:sz="6" w:space="0"/>
              <w:right w:val="single" w:color="000000" w:sz="12" w:space="0"/>
            </w:tcBorders>
            <w:noWrap/>
            <w:vAlign w:val="center"/>
          </w:tcPr>
          <w:p w14:paraId="0CE707BC">
            <w:pPr>
              <w:spacing w:line="360" w:lineRule="auto"/>
              <w:jc w:val="center"/>
              <w:rPr>
                <w:rFonts w:ascii="宋体" w:hAnsi="宋体"/>
                <w:color w:val="000000"/>
                <w:sz w:val="24"/>
              </w:rPr>
            </w:pPr>
            <w:r>
              <w:rPr>
                <w:rFonts w:hint="eastAsia" w:ascii="宋体" w:hAnsi="宋体"/>
                <w:color w:val="000000"/>
                <w:sz w:val="24"/>
              </w:rPr>
              <w:t>6分</w:t>
            </w:r>
          </w:p>
        </w:tc>
      </w:tr>
      <w:tr w14:paraId="25DADE3F">
        <w:tblPrEx>
          <w:tblCellMar>
            <w:top w:w="0" w:type="dxa"/>
            <w:left w:w="108" w:type="dxa"/>
            <w:bottom w:w="0" w:type="dxa"/>
            <w:right w:w="108" w:type="dxa"/>
          </w:tblCellMar>
        </w:tblPrEx>
        <w:trPr>
          <w:trHeight w:val="349" w:hRule="atLeast"/>
          <w:jc w:val="center"/>
        </w:trPr>
        <w:tc>
          <w:tcPr>
            <w:tcW w:w="1059" w:type="dxa"/>
            <w:vMerge w:val="continue"/>
            <w:tcBorders>
              <w:left w:val="single" w:color="000000" w:sz="6" w:space="0"/>
              <w:right w:val="single" w:color="auto" w:sz="4" w:space="0"/>
            </w:tcBorders>
            <w:noWrap/>
          </w:tcPr>
          <w:p w14:paraId="3E07C345">
            <w:pPr>
              <w:rPr>
                <w:rFonts w:ascii="宋体" w:hAnsi="宋体"/>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3E68DA5C">
            <w:pPr>
              <w:spacing w:line="360" w:lineRule="auto"/>
              <w:jc w:val="center"/>
              <w:rPr>
                <w:rFonts w:ascii="宋体" w:hAnsi="宋体"/>
                <w:color w:val="000000"/>
                <w:sz w:val="24"/>
              </w:rPr>
            </w:pPr>
            <w:r>
              <w:rPr>
                <w:rFonts w:hint="eastAsia" w:ascii="宋体" w:hAnsi="宋体"/>
                <w:color w:val="000000"/>
                <w:sz w:val="24"/>
              </w:rPr>
              <w:t>安全管理体系与措施</w:t>
            </w:r>
          </w:p>
        </w:tc>
        <w:tc>
          <w:tcPr>
            <w:tcW w:w="6076" w:type="dxa"/>
            <w:gridSpan w:val="2"/>
            <w:tcBorders>
              <w:top w:val="single" w:color="000000" w:sz="6" w:space="0"/>
              <w:left w:val="single" w:color="auto" w:sz="4" w:space="0"/>
              <w:bottom w:val="single" w:color="000000" w:sz="6" w:space="0"/>
              <w:right w:val="single" w:color="000000" w:sz="6" w:space="0"/>
            </w:tcBorders>
            <w:noWrap/>
            <w:vAlign w:val="center"/>
          </w:tcPr>
          <w:p w14:paraId="78081AB6">
            <w:pPr>
              <w:spacing w:line="360" w:lineRule="auto"/>
              <w:jc w:val="left"/>
              <w:rPr>
                <w:rFonts w:ascii="宋体" w:hAnsi="宋体"/>
                <w:color w:val="000000"/>
                <w:sz w:val="24"/>
              </w:rPr>
            </w:pPr>
            <w:r>
              <w:rPr>
                <w:rFonts w:hint="eastAsia" w:ascii="宋体" w:hAnsi="宋体"/>
                <w:color w:val="000000"/>
                <w:sz w:val="24"/>
              </w:rPr>
              <w:t>根据安全管理体系与措施的针对性、合理性：科学、合理、满足要求的4-5分；基本合理、基本满足要求的1-3分；不满足要求的不得分。</w:t>
            </w:r>
          </w:p>
        </w:tc>
        <w:tc>
          <w:tcPr>
            <w:tcW w:w="802" w:type="dxa"/>
            <w:tcBorders>
              <w:top w:val="single" w:color="000000" w:sz="6" w:space="0"/>
              <w:left w:val="single" w:color="000000" w:sz="6" w:space="0"/>
              <w:bottom w:val="single" w:color="000000" w:sz="6" w:space="0"/>
              <w:right w:val="single" w:color="000000" w:sz="12" w:space="0"/>
            </w:tcBorders>
            <w:noWrap/>
            <w:vAlign w:val="center"/>
          </w:tcPr>
          <w:p w14:paraId="72A867D3">
            <w:pPr>
              <w:spacing w:line="360" w:lineRule="auto"/>
              <w:jc w:val="center"/>
              <w:rPr>
                <w:rFonts w:ascii="宋体" w:hAnsi="宋体"/>
                <w:color w:val="000000"/>
                <w:sz w:val="24"/>
              </w:rPr>
            </w:pPr>
            <w:r>
              <w:rPr>
                <w:rFonts w:hint="eastAsia" w:ascii="宋体" w:hAnsi="宋体"/>
                <w:color w:val="000000"/>
                <w:sz w:val="24"/>
              </w:rPr>
              <w:t>5分</w:t>
            </w:r>
          </w:p>
        </w:tc>
      </w:tr>
      <w:tr w14:paraId="63467220">
        <w:tblPrEx>
          <w:tblCellMar>
            <w:top w:w="0" w:type="dxa"/>
            <w:left w:w="108" w:type="dxa"/>
            <w:bottom w:w="0" w:type="dxa"/>
            <w:right w:w="108" w:type="dxa"/>
          </w:tblCellMar>
        </w:tblPrEx>
        <w:trPr>
          <w:trHeight w:val="364" w:hRule="atLeast"/>
          <w:jc w:val="center"/>
        </w:trPr>
        <w:tc>
          <w:tcPr>
            <w:tcW w:w="1059" w:type="dxa"/>
            <w:vMerge w:val="continue"/>
            <w:tcBorders>
              <w:left w:val="single" w:color="000000" w:sz="6" w:space="0"/>
              <w:right w:val="single" w:color="auto" w:sz="4" w:space="0"/>
            </w:tcBorders>
            <w:noWrap/>
          </w:tcPr>
          <w:p w14:paraId="2B33214B">
            <w:pPr>
              <w:rPr>
                <w:rFonts w:ascii="宋体" w:hAnsi="宋体"/>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0B1BD795">
            <w:pPr>
              <w:spacing w:line="360" w:lineRule="auto"/>
              <w:jc w:val="center"/>
              <w:rPr>
                <w:rFonts w:ascii="宋体" w:hAnsi="宋体"/>
                <w:color w:val="000000"/>
                <w:sz w:val="24"/>
              </w:rPr>
            </w:pPr>
            <w:r>
              <w:rPr>
                <w:rFonts w:hint="eastAsia" w:ascii="宋体" w:hAnsi="宋体"/>
                <w:color w:val="000000"/>
                <w:sz w:val="24"/>
              </w:rPr>
              <w:t>环境保护管理体系与措施</w:t>
            </w:r>
          </w:p>
        </w:tc>
        <w:tc>
          <w:tcPr>
            <w:tcW w:w="6076" w:type="dxa"/>
            <w:gridSpan w:val="2"/>
            <w:tcBorders>
              <w:top w:val="single" w:color="000000" w:sz="6" w:space="0"/>
              <w:left w:val="single" w:color="auto" w:sz="4" w:space="0"/>
              <w:bottom w:val="single" w:color="000000" w:sz="6" w:space="0"/>
              <w:right w:val="single" w:color="000000" w:sz="6" w:space="0"/>
            </w:tcBorders>
            <w:noWrap/>
            <w:vAlign w:val="center"/>
          </w:tcPr>
          <w:p w14:paraId="6E7C7FDD">
            <w:pPr>
              <w:spacing w:line="360" w:lineRule="auto"/>
              <w:jc w:val="left"/>
              <w:rPr>
                <w:rFonts w:ascii="宋体" w:hAnsi="宋体"/>
                <w:color w:val="000000"/>
                <w:sz w:val="24"/>
              </w:rPr>
            </w:pPr>
            <w:r>
              <w:rPr>
                <w:rFonts w:hint="eastAsia" w:ascii="宋体" w:hAnsi="宋体"/>
                <w:color w:val="000000"/>
                <w:sz w:val="24"/>
              </w:rPr>
              <w:t>根据环境保护管理体系与措施的针对性、合理性：具有针对性、合理性的5分；较有针对性、合理性的3分；一般针对、合理的1分；缺项不得分；</w:t>
            </w:r>
          </w:p>
        </w:tc>
        <w:tc>
          <w:tcPr>
            <w:tcW w:w="802" w:type="dxa"/>
            <w:tcBorders>
              <w:top w:val="single" w:color="000000" w:sz="6" w:space="0"/>
              <w:left w:val="single" w:color="000000" w:sz="6" w:space="0"/>
              <w:bottom w:val="single" w:color="000000" w:sz="6" w:space="0"/>
              <w:right w:val="single" w:color="000000" w:sz="12" w:space="0"/>
            </w:tcBorders>
            <w:noWrap/>
            <w:vAlign w:val="center"/>
          </w:tcPr>
          <w:p w14:paraId="0D957B8A">
            <w:pPr>
              <w:spacing w:line="360" w:lineRule="auto"/>
              <w:jc w:val="center"/>
              <w:rPr>
                <w:rFonts w:ascii="宋体" w:hAnsi="宋体"/>
                <w:color w:val="000000"/>
                <w:sz w:val="24"/>
              </w:rPr>
            </w:pPr>
            <w:r>
              <w:rPr>
                <w:rFonts w:hint="eastAsia" w:ascii="宋体" w:hAnsi="宋体"/>
                <w:color w:val="000000"/>
                <w:sz w:val="24"/>
              </w:rPr>
              <w:t>5分</w:t>
            </w:r>
          </w:p>
        </w:tc>
      </w:tr>
      <w:tr w14:paraId="6656B033">
        <w:tblPrEx>
          <w:tblCellMar>
            <w:top w:w="0" w:type="dxa"/>
            <w:left w:w="108" w:type="dxa"/>
            <w:bottom w:w="0" w:type="dxa"/>
            <w:right w:w="108" w:type="dxa"/>
          </w:tblCellMar>
        </w:tblPrEx>
        <w:trPr>
          <w:trHeight w:val="1167" w:hRule="atLeast"/>
          <w:jc w:val="center"/>
        </w:trPr>
        <w:tc>
          <w:tcPr>
            <w:tcW w:w="1059" w:type="dxa"/>
            <w:vMerge w:val="continue"/>
            <w:tcBorders>
              <w:left w:val="single" w:color="000000" w:sz="6" w:space="0"/>
              <w:right w:val="single" w:color="auto" w:sz="4" w:space="0"/>
            </w:tcBorders>
            <w:noWrap/>
          </w:tcPr>
          <w:p w14:paraId="5C3CB613">
            <w:pPr>
              <w:rPr>
                <w:rFonts w:ascii="宋体" w:hAnsi="宋体"/>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13F9E3E6">
            <w:pPr>
              <w:spacing w:line="360" w:lineRule="auto"/>
              <w:jc w:val="center"/>
              <w:rPr>
                <w:rFonts w:ascii="宋体" w:hAnsi="宋体"/>
                <w:color w:val="000000"/>
                <w:sz w:val="24"/>
              </w:rPr>
            </w:pPr>
            <w:r>
              <w:rPr>
                <w:rFonts w:hint="eastAsia" w:ascii="宋体" w:hAnsi="宋体"/>
                <w:color w:val="000000"/>
                <w:sz w:val="24"/>
              </w:rPr>
              <w:t>工程进度计划与措施</w:t>
            </w:r>
          </w:p>
        </w:tc>
        <w:tc>
          <w:tcPr>
            <w:tcW w:w="6076" w:type="dxa"/>
            <w:gridSpan w:val="2"/>
            <w:tcBorders>
              <w:top w:val="single" w:color="000000" w:sz="6" w:space="0"/>
              <w:left w:val="single" w:color="auto" w:sz="4" w:space="0"/>
              <w:bottom w:val="single" w:color="000000" w:sz="6" w:space="0"/>
              <w:right w:val="single" w:color="000000" w:sz="6" w:space="0"/>
            </w:tcBorders>
            <w:noWrap/>
            <w:vAlign w:val="center"/>
          </w:tcPr>
          <w:p w14:paraId="72A61E51">
            <w:pPr>
              <w:spacing w:line="360" w:lineRule="auto"/>
              <w:jc w:val="left"/>
              <w:rPr>
                <w:rFonts w:ascii="宋体" w:hAnsi="宋体"/>
                <w:color w:val="000000"/>
                <w:sz w:val="24"/>
              </w:rPr>
            </w:pPr>
            <w:r>
              <w:rPr>
                <w:rFonts w:hint="eastAsia" w:ascii="宋体" w:hAnsi="宋体"/>
                <w:color w:val="000000"/>
                <w:sz w:val="24"/>
              </w:rPr>
              <w:t>根据工程进度计划合理性和措施的针对性、合理性：具有针对性、合理性的5分；较有针对性、合理性的3分；一般针对、合理的1分；缺项不得分；</w:t>
            </w:r>
          </w:p>
        </w:tc>
        <w:tc>
          <w:tcPr>
            <w:tcW w:w="802" w:type="dxa"/>
            <w:tcBorders>
              <w:top w:val="single" w:color="000000" w:sz="6" w:space="0"/>
              <w:left w:val="single" w:color="000000" w:sz="6" w:space="0"/>
              <w:bottom w:val="single" w:color="000000" w:sz="6" w:space="0"/>
              <w:right w:val="single" w:color="000000" w:sz="12" w:space="0"/>
            </w:tcBorders>
            <w:noWrap/>
            <w:vAlign w:val="center"/>
          </w:tcPr>
          <w:p w14:paraId="2532764B">
            <w:pPr>
              <w:spacing w:line="360" w:lineRule="auto"/>
              <w:jc w:val="center"/>
              <w:rPr>
                <w:rFonts w:ascii="宋体" w:hAnsi="宋体"/>
                <w:color w:val="000000"/>
                <w:sz w:val="24"/>
              </w:rPr>
            </w:pPr>
            <w:r>
              <w:rPr>
                <w:rFonts w:hint="eastAsia" w:ascii="宋体" w:hAnsi="宋体"/>
                <w:color w:val="000000"/>
                <w:sz w:val="24"/>
              </w:rPr>
              <w:t>5分</w:t>
            </w:r>
          </w:p>
        </w:tc>
      </w:tr>
      <w:tr w14:paraId="0ADC1BB4">
        <w:tblPrEx>
          <w:tblCellMar>
            <w:top w:w="0" w:type="dxa"/>
            <w:left w:w="108" w:type="dxa"/>
            <w:bottom w:w="0" w:type="dxa"/>
            <w:right w:w="108" w:type="dxa"/>
          </w:tblCellMar>
        </w:tblPrEx>
        <w:trPr>
          <w:trHeight w:val="591" w:hRule="atLeast"/>
          <w:jc w:val="center"/>
        </w:trPr>
        <w:tc>
          <w:tcPr>
            <w:tcW w:w="1059" w:type="dxa"/>
            <w:vMerge w:val="continue"/>
            <w:tcBorders>
              <w:left w:val="single" w:color="000000" w:sz="6" w:space="0"/>
              <w:right w:val="single" w:color="auto" w:sz="4" w:space="0"/>
            </w:tcBorders>
            <w:noWrap/>
          </w:tcPr>
          <w:p w14:paraId="32CF21E5">
            <w:pPr>
              <w:rPr>
                <w:rFonts w:ascii="宋体" w:hAnsi="宋体"/>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47DC148B">
            <w:pPr>
              <w:spacing w:line="360" w:lineRule="auto"/>
              <w:jc w:val="center"/>
              <w:rPr>
                <w:rFonts w:ascii="宋体" w:hAnsi="宋体"/>
                <w:color w:val="000000"/>
                <w:sz w:val="24"/>
              </w:rPr>
            </w:pPr>
            <w:r>
              <w:rPr>
                <w:rFonts w:hint="eastAsia" w:ascii="宋体" w:hAnsi="宋体"/>
                <w:color w:val="000000"/>
                <w:sz w:val="24"/>
              </w:rPr>
              <w:t>拟投入资源配备计划</w:t>
            </w:r>
          </w:p>
        </w:tc>
        <w:tc>
          <w:tcPr>
            <w:tcW w:w="6076" w:type="dxa"/>
            <w:gridSpan w:val="2"/>
            <w:tcBorders>
              <w:top w:val="single" w:color="000000" w:sz="6" w:space="0"/>
              <w:left w:val="single" w:color="auto" w:sz="4" w:space="0"/>
              <w:bottom w:val="single" w:color="000000" w:sz="6" w:space="0"/>
              <w:right w:val="single" w:color="000000" w:sz="6" w:space="0"/>
            </w:tcBorders>
            <w:noWrap/>
            <w:vAlign w:val="center"/>
          </w:tcPr>
          <w:p w14:paraId="4EC1477A">
            <w:pPr>
              <w:spacing w:line="360" w:lineRule="auto"/>
              <w:jc w:val="left"/>
              <w:rPr>
                <w:rFonts w:ascii="宋体" w:hAnsi="宋体"/>
                <w:color w:val="000000"/>
                <w:sz w:val="24"/>
              </w:rPr>
            </w:pPr>
            <w:r>
              <w:rPr>
                <w:rFonts w:hint="eastAsia" w:ascii="宋体" w:hAnsi="宋体"/>
                <w:color w:val="000000"/>
                <w:sz w:val="24"/>
              </w:rPr>
              <w:t>根据资源配备的合理性、满足性：具有针对性、合理性的3分；较有针对性、合理性的2分；一般针对、合理的1分；缺项不得分；</w:t>
            </w:r>
          </w:p>
        </w:tc>
        <w:tc>
          <w:tcPr>
            <w:tcW w:w="802" w:type="dxa"/>
            <w:tcBorders>
              <w:top w:val="single" w:color="000000" w:sz="6" w:space="0"/>
              <w:left w:val="single" w:color="000000" w:sz="6" w:space="0"/>
              <w:bottom w:val="single" w:color="000000" w:sz="6" w:space="0"/>
              <w:right w:val="single" w:color="000000" w:sz="12" w:space="0"/>
            </w:tcBorders>
            <w:noWrap/>
            <w:vAlign w:val="center"/>
          </w:tcPr>
          <w:p w14:paraId="6C655DF2">
            <w:pPr>
              <w:spacing w:line="360" w:lineRule="auto"/>
              <w:jc w:val="center"/>
              <w:rPr>
                <w:rFonts w:ascii="宋体" w:hAnsi="宋体"/>
                <w:color w:val="000000"/>
                <w:sz w:val="24"/>
              </w:rPr>
            </w:pPr>
            <w:r>
              <w:rPr>
                <w:rFonts w:hint="eastAsia" w:ascii="宋体" w:hAnsi="宋体"/>
                <w:color w:val="000000"/>
                <w:sz w:val="24"/>
              </w:rPr>
              <w:t>3分</w:t>
            </w:r>
          </w:p>
        </w:tc>
      </w:tr>
      <w:tr w14:paraId="6CF4A0AD">
        <w:tblPrEx>
          <w:tblCellMar>
            <w:top w:w="0" w:type="dxa"/>
            <w:left w:w="108" w:type="dxa"/>
            <w:bottom w:w="0" w:type="dxa"/>
            <w:right w:w="108" w:type="dxa"/>
          </w:tblCellMar>
        </w:tblPrEx>
        <w:trPr>
          <w:trHeight w:val="1021" w:hRule="atLeast"/>
          <w:jc w:val="center"/>
        </w:trPr>
        <w:tc>
          <w:tcPr>
            <w:tcW w:w="1059" w:type="dxa"/>
            <w:vMerge w:val="continue"/>
            <w:tcBorders>
              <w:left w:val="single" w:color="000000" w:sz="6" w:space="0"/>
              <w:right w:val="single" w:color="auto" w:sz="4" w:space="0"/>
            </w:tcBorders>
            <w:noWrap/>
          </w:tcPr>
          <w:p w14:paraId="25FA81E6">
            <w:pPr>
              <w:rPr>
                <w:rFonts w:ascii="宋体" w:hAnsi="宋体"/>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12E4A9ED">
            <w:pPr>
              <w:spacing w:line="360" w:lineRule="auto"/>
              <w:jc w:val="center"/>
              <w:rPr>
                <w:rFonts w:ascii="宋体" w:hAnsi="宋体"/>
                <w:color w:val="000000"/>
                <w:sz w:val="24"/>
              </w:rPr>
            </w:pPr>
            <w:r>
              <w:rPr>
                <w:rFonts w:hint="eastAsia" w:ascii="宋体" w:hAnsi="宋体"/>
                <w:color w:val="000000"/>
                <w:sz w:val="24"/>
              </w:rPr>
              <w:t>施工</w:t>
            </w:r>
          </w:p>
          <w:p w14:paraId="477D5B6F">
            <w:pPr>
              <w:spacing w:line="360" w:lineRule="auto"/>
              <w:jc w:val="center"/>
              <w:rPr>
                <w:rFonts w:ascii="宋体" w:hAnsi="宋体"/>
                <w:color w:val="000000"/>
                <w:sz w:val="24"/>
              </w:rPr>
            </w:pPr>
            <w:r>
              <w:rPr>
                <w:rFonts w:hint="eastAsia" w:ascii="宋体" w:hAnsi="宋体"/>
                <w:color w:val="000000"/>
                <w:sz w:val="24"/>
              </w:rPr>
              <w:t>网络图</w:t>
            </w:r>
          </w:p>
        </w:tc>
        <w:tc>
          <w:tcPr>
            <w:tcW w:w="6076" w:type="dxa"/>
            <w:gridSpan w:val="2"/>
            <w:tcBorders>
              <w:top w:val="single" w:color="000000" w:sz="6" w:space="0"/>
              <w:left w:val="single" w:color="auto" w:sz="4" w:space="0"/>
              <w:bottom w:val="single" w:color="000000" w:sz="6" w:space="0"/>
              <w:right w:val="single" w:color="000000" w:sz="6" w:space="0"/>
            </w:tcBorders>
            <w:noWrap/>
            <w:vAlign w:val="center"/>
          </w:tcPr>
          <w:p w14:paraId="74FF2205">
            <w:pPr>
              <w:spacing w:line="360" w:lineRule="auto"/>
              <w:jc w:val="left"/>
              <w:rPr>
                <w:rFonts w:ascii="宋体" w:hAnsi="宋体"/>
                <w:color w:val="000000"/>
                <w:sz w:val="24"/>
              </w:rPr>
            </w:pPr>
            <w:r>
              <w:rPr>
                <w:rFonts w:hint="eastAsia" w:ascii="宋体" w:hAnsi="宋体"/>
                <w:color w:val="000000"/>
                <w:sz w:val="24"/>
              </w:rPr>
              <w:t>根据施工总平面布置图图表的合理性、可行性：具有针对性、合理性的3分；较有针对性、合理性的2分；一般针对、合理的1分；缺项不得分；</w:t>
            </w:r>
          </w:p>
        </w:tc>
        <w:tc>
          <w:tcPr>
            <w:tcW w:w="802" w:type="dxa"/>
            <w:tcBorders>
              <w:top w:val="single" w:color="000000" w:sz="6" w:space="0"/>
              <w:left w:val="single" w:color="000000" w:sz="6" w:space="0"/>
              <w:bottom w:val="single" w:color="000000" w:sz="6" w:space="0"/>
              <w:right w:val="single" w:color="000000" w:sz="12" w:space="0"/>
            </w:tcBorders>
            <w:noWrap/>
            <w:vAlign w:val="center"/>
          </w:tcPr>
          <w:p w14:paraId="6D540E33">
            <w:pPr>
              <w:spacing w:line="360" w:lineRule="auto"/>
              <w:jc w:val="center"/>
              <w:rPr>
                <w:rFonts w:ascii="宋体" w:hAnsi="宋体"/>
                <w:color w:val="000000"/>
                <w:sz w:val="24"/>
              </w:rPr>
            </w:pPr>
            <w:r>
              <w:rPr>
                <w:rFonts w:hint="eastAsia" w:ascii="宋体" w:hAnsi="宋体"/>
                <w:color w:val="000000"/>
                <w:sz w:val="24"/>
              </w:rPr>
              <w:t>3分</w:t>
            </w:r>
          </w:p>
        </w:tc>
      </w:tr>
      <w:tr w14:paraId="21ABA3A9">
        <w:tblPrEx>
          <w:tblCellMar>
            <w:top w:w="0" w:type="dxa"/>
            <w:left w:w="108" w:type="dxa"/>
            <w:bottom w:w="0" w:type="dxa"/>
            <w:right w:w="108" w:type="dxa"/>
          </w:tblCellMar>
        </w:tblPrEx>
        <w:trPr>
          <w:trHeight w:val="1453" w:hRule="atLeast"/>
          <w:jc w:val="center"/>
        </w:trPr>
        <w:tc>
          <w:tcPr>
            <w:tcW w:w="1059" w:type="dxa"/>
            <w:vMerge w:val="continue"/>
            <w:tcBorders>
              <w:left w:val="single" w:color="000000" w:sz="6" w:space="0"/>
              <w:right w:val="single" w:color="auto" w:sz="4" w:space="0"/>
            </w:tcBorders>
            <w:noWrap/>
          </w:tcPr>
          <w:p w14:paraId="311445EE">
            <w:pPr>
              <w:rPr>
                <w:rFonts w:ascii="宋体" w:hAnsi="宋体"/>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0C09D095">
            <w:pPr>
              <w:spacing w:line="360" w:lineRule="auto"/>
              <w:jc w:val="left"/>
              <w:rPr>
                <w:rFonts w:ascii="宋体" w:hAnsi="宋体"/>
                <w:color w:val="000000"/>
                <w:sz w:val="24"/>
              </w:rPr>
            </w:pPr>
            <w:r>
              <w:rPr>
                <w:rFonts w:hint="eastAsia" w:ascii="宋体" w:hAnsi="宋体"/>
                <w:color w:val="000000"/>
                <w:sz w:val="24"/>
              </w:rPr>
              <w:t>节能减排与工艺创新</w:t>
            </w:r>
          </w:p>
        </w:tc>
        <w:tc>
          <w:tcPr>
            <w:tcW w:w="6076" w:type="dxa"/>
            <w:gridSpan w:val="2"/>
            <w:tcBorders>
              <w:top w:val="single" w:color="000000" w:sz="6" w:space="0"/>
              <w:left w:val="single" w:color="auto" w:sz="4" w:space="0"/>
              <w:bottom w:val="single" w:color="000000" w:sz="6" w:space="0"/>
              <w:right w:val="single" w:color="000000" w:sz="6" w:space="0"/>
            </w:tcBorders>
            <w:noWrap/>
            <w:vAlign w:val="center"/>
          </w:tcPr>
          <w:p w14:paraId="65D64D9A">
            <w:pPr>
              <w:spacing w:line="360" w:lineRule="auto"/>
              <w:jc w:val="left"/>
              <w:rPr>
                <w:rFonts w:ascii="宋体" w:hAnsi="宋体"/>
                <w:color w:val="000000"/>
                <w:sz w:val="24"/>
              </w:rPr>
            </w:pPr>
            <w:r>
              <w:rPr>
                <w:rFonts w:hint="eastAsia" w:ascii="宋体" w:hAnsi="宋体"/>
                <w:color w:val="000000"/>
                <w:sz w:val="24"/>
              </w:rPr>
              <w:t>在节能减排、绿色施工、工艺创新方面针对本工程有具体措施或企业自有创新技术：具有针对性、合理性的3分；较有针对性、合理性的2分；一般针对、合理的1分；缺项不得分；</w:t>
            </w:r>
          </w:p>
        </w:tc>
        <w:tc>
          <w:tcPr>
            <w:tcW w:w="802" w:type="dxa"/>
            <w:tcBorders>
              <w:top w:val="single" w:color="000000" w:sz="6" w:space="0"/>
              <w:left w:val="single" w:color="000000" w:sz="6" w:space="0"/>
              <w:bottom w:val="single" w:color="000000" w:sz="6" w:space="0"/>
              <w:right w:val="single" w:color="000000" w:sz="12" w:space="0"/>
            </w:tcBorders>
            <w:noWrap/>
            <w:vAlign w:val="center"/>
          </w:tcPr>
          <w:p w14:paraId="2169596F">
            <w:pPr>
              <w:spacing w:line="360" w:lineRule="auto"/>
              <w:jc w:val="center"/>
              <w:rPr>
                <w:rFonts w:ascii="宋体" w:hAnsi="宋体"/>
                <w:color w:val="000000"/>
                <w:sz w:val="24"/>
              </w:rPr>
            </w:pPr>
            <w:r>
              <w:rPr>
                <w:rFonts w:hint="eastAsia" w:ascii="宋体" w:hAnsi="宋体"/>
                <w:color w:val="000000"/>
                <w:sz w:val="24"/>
              </w:rPr>
              <w:t>3分</w:t>
            </w:r>
          </w:p>
        </w:tc>
      </w:tr>
      <w:tr w14:paraId="27A93B4C">
        <w:tblPrEx>
          <w:tblCellMar>
            <w:top w:w="0" w:type="dxa"/>
            <w:left w:w="108" w:type="dxa"/>
            <w:bottom w:w="0" w:type="dxa"/>
            <w:right w:w="108" w:type="dxa"/>
          </w:tblCellMar>
        </w:tblPrEx>
        <w:trPr>
          <w:trHeight w:val="1453" w:hRule="atLeast"/>
          <w:jc w:val="center"/>
        </w:trPr>
        <w:tc>
          <w:tcPr>
            <w:tcW w:w="1059" w:type="dxa"/>
            <w:vMerge w:val="continue"/>
            <w:tcBorders>
              <w:left w:val="single" w:color="000000" w:sz="6" w:space="0"/>
              <w:right w:val="single" w:color="auto" w:sz="4" w:space="0"/>
            </w:tcBorders>
            <w:noWrap/>
          </w:tcPr>
          <w:p w14:paraId="76FF3EFA">
            <w:pPr>
              <w:rPr>
                <w:rFonts w:ascii="宋体" w:hAnsi="宋体"/>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01D810FC">
            <w:pPr>
              <w:spacing w:line="360" w:lineRule="auto"/>
              <w:jc w:val="left"/>
              <w:rPr>
                <w:rFonts w:ascii="宋体" w:hAnsi="宋体"/>
                <w:color w:val="000000"/>
                <w:sz w:val="24"/>
              </w:rPr>
            </w:pPr>
            <w:r>
              <w:rPr>
                <w:rFonts w:hint="eastAsia" w:ascii="宋体" w:hAnsi="宋体"/>
                <w:color w:val="000000"/>
                <w:sz w:val="24"/>
              </w:rPr>
              <w:t>新工艺、新技术、新设备、新材料的采用程度</w:t>
            </w:r>
          </w:p>
        </w:tc>
        <w:tc>
          <w:tcPr>
            <w:tcW w:w="6076" w:type="dxa"/>
            <w:gridSpan w:val="2"/>
            <w:tcBorders>
              <w:top w:val="single" w:color="000000" w:sz="6" w:space="0"/>
              <w:left w:val="single" w:color="auto" w:sz="4" w:space="0"/>
              <w:bottom w:val="single" w:color="000000" w:sz="6" w:space="0"/>
              <w:right w:val="single" w:color="000000" w:sz="6" w:space="0"/>
            </w:tcBorders>
            <w:noWrap/>
            <w:vAlign w:val="center"/>
          </w:tcPr>
          <w:p w14:paraId="14FF920A">
            <w:pPr>
              <w:spacing w:line="360" w:lineRule="auto"/>
              <w:jc w:val="left"/>
              <w:rPr>
                <w:rFonts w:ascii="宋体" w:hAnsi="宋体"/>
                <w:color w:val="000000"/>
                <w:sz w:val="24"/>
              </w:rPr>
            </w:pPr>
            <w:r>
              <w:rPr>
                <w:rFonts w:hint="eastAsia" w:ascii="宋体" w:hAnsi="宋体"/>
                <w:color w:val="000000"/>
                <w:sz w:val="24"/>
              </w:rPr>
              <w:t>新工艺、新技术、新设备、新材料的采用程度，其在确保质量、降低成本、缩短工期、减轻劳动程度、提高工效等方面的作用：具有针对性、合理性的3分；较有针对性、合理性的2分；一般针对、合理的1分；缺项不得分；</w:t>
            </w:r>
          </w:p>
        </w:tc>
        <w:tc>
          <w:tcPr>
            <w:tcW w:w="802" w:type="dxa"/>
            <w:tcBorders>
              <w:top w:val="single" w:color="000000" w:sz="6" w:space="0"/>
              <w:left w:val="single" w:color="000000" w:sz="6" w:space="0"/>
              <w:bottom w:val="single" w:color="000000" w:sz="6" w:space="0"/>
              <w:right w:val="single" w:color="000000" w:sz="12" w:space="0"/>
            </w:tcBorders>
            <w:noWrap/>
            <w:vAlign w:val="center"/>
          </w:tcPr>
          <w:p w14:paraId="0A8C64AD">
            <w:pPr>
              <w:spacing w:line="360" w:lineRule="auto"/>
              <w:jc w:val="center"/>
              <w:rPr>
                <w:rFonts w:ascii="宋体" w:hAnsi="宋体"/>
                <w:color w:val="000000"/>
                <w:sz w:val="24"/>
              </w:rPr>
            </w:pPr>
            <w:r>
              <w:rPr>
                <w:rFonts w:hint="eastAsia" w:ascii="宋体" w:hAnsi="宋体"/>
                <w:color w:val="000000"/>
                <w:sz w:val="24"/>
              </w:rPr>
              <w:t>3分</w:t>
            </w:r>
          </w:p>
        </w:tc>
      </w:tr>
      <w:tr w14:paraId="6A44EC99">
        <w:tblPrEx>
          <w:tblCellMar>
            <w:top w:w="0" w:type="dxa"/>
            <w:left w:w="108" w:type="dxa"/>
            <w:bottom w:w="0" w:type="dxa"/>
            <w:right w:w="108" w:type="dxa"/>
          </w:tblCellMar>
        </w:tblPrEx>
        <w:trPr>
          <w:trHeight w:val="1258" w:hRule="atLeast"/>
          <w:jc w:val="center"/>
        </w:trPr>
        <w:tc>
          <w:tcPr>
            <w:tcW w:w="1059" w:type="dxa"/>
            <w:vMerge w:val="continue"/>
            <w:tcBorders>
              <w:left w:val="single" w:color="000000" w:sz="6" w:space="0"/>
              <w:right w:val="single" w:color="auto" w:sz="4" w:space="0"/>
            </w:tcBorders>
            <w:noWrap/>
          </w:tcPr>
          <w:p w14:paraId="67978610">
            <w:pPr>
              <w:rPr>
                <w:rFonts w:ascii="宋体" w:hAnsi="宋体"/>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18ABC09F">
            <w:pPr>
              <w:spacing w:line="360" w:lineRule="auto"/>
              <w:jc w:val="left"/>
              <w:rPr>
                <w:rFonts w:ascii="宋体" w:hAnsi="宋体"/>
                <w:color w:val="000000"/>
                <w:sz w:val="24"/>
              </w:rPr>
            </w:pPr>
            <w:r>
              <w:rPr>
                <w:rFonts w:hint="eastAsia" w:ascii="宋体" w:hAnsi="宋体"/>
                <w:color w:val="000000"/>
                <w:sz w:val="24"/>
              </w:rPr>
              <w:t>企业具备信息化管理平台</w:t>
            </w:r>
          </w:p>
        </w:tc>
        <w:tc>
          <w:tcPr>
            <w:tcW w:w="6076" w:type="dxa"/>
            <w:gridSpan w:val="2"/>
            <w:tcBorders>
              <w:top w:val="single" w:color="000000" w:sz="6" w:space="0"/>
              <w:left w:val="single" w:color="auto" w:sz="4" w:space="0"/>
              <w:bottom w:val="single" w:color="000000" w:sz="6" w:space="0"/>
              <w:right w:val="single" w:color="000000" w:sz="6" w:space="0"/>
            </w:tcBorders>
            <w:noWrap/>
            <w:vAlign w:val="center"/>
          </w:tcPr>
          <w:p w14:paraId="280ED34C">
            <w:pPr>
              <w:spacing w:line="360" w:lineRule="auto"/>
              <w:jc w:val="left"/>
              <w:rPr>
                <w:rFonts w:ascii="宋体" w:hAnsi="宋体"/>
                <w:color w:val="000000"/>
                <w:sz w:val="24"/>
              </w:rPr>
            </w:pPr>
            <w:r>
              <w:rPr>
                <w:rFonts w:hint="eastAsia" w:ascii="宋体" w:hAnsi="宋体"/>
                <w:color w:val="000000"/>
                <w:sz w:val="24"/>
              </w:rPr>
              <w:t>企业具备信息化管理平台，能够使工程管理者对现场实施监控和数据处理：具有针对性、合理性的3分；较有针对性、合理性的2分；一般针对、合理的1分，缺项不得分；</w:t>
            </w:r>
          </w:p>
        </w:tc>
        <w:tc>
          <w:tcPr>
            <w:tcW w:w="802" w:type="dxa"/>
            <w:tcBorders>
              <w:top w:val="single" w:color="000000" w:sz="6" w:space="0"/>
              <w:left w:val="single" w:color="000000" w:sz="6" w:space="0"/>
              <w:bottom w:val="single" w:color="000000" w:sz="6" w:space="0"/>
              <w:right w:val="single" w:color="000000" w:sz="12" w:space="0"/>
            </w:tcBorders>
            <w:noWrap/>
            <w:vAlign w:val="center"/>
          </w:tcPr>
          <w:p w14:paraId="6AF0F8AD">
            <w:pPr>
              <w:spacing w:line="360" w:lineRule="auto"/>
              <w:jc w:val="center"/>
              <w:rPr>
                <w:rFonts w:ascii="宋体" w:hAnsi="宋体"/>
                <w:color w:val="000000"/>
                <w:sz w:val="24"/>
              </w:rPr>
            </w:pPr>
            <w:r>
              <w:rPr>
                <w:rFonts w:hint="eastAsia" w:ascii="宋体" w:hAnsi="宋体"/>
                <w:color w:val="000000"/>
                <w:sz w:val="24"/>
              </w:rPr>
              <w:t>3分</w:t>
            </w:r>
          </w:p>
        </w:tc>
      </w:tr>
      <w:tr w14:paraId="0E21FABB">
        <w:tblPrEx>
          <w:tblCellMar>
            <w:top w:w="0" w:type="dxa"/>
            <w:left w:w="108" w:type="dxa"/>
            <w:bottom w:w="0" w:type="dxa"/>
            <w:right w:w="108" w:type="dxa"/>
          </w:tblCellMar>
        </w:tblPrEx>
        <w:trPr>
          <w:trHeight w:val="391" w:hRule="atLeast"/>
          <w:jc w:val="center"/>
        </w:trPr>
        <w:tc>
          <w:tcPr>
            <w:tcW w:w="1059" w:type="dxa"/>
            <w:vMerge w:val="continue"/>
            <w:tcBorders>
              <w:left w:val="single" w:color="000000" w:sz="6" w:space="0"/>
              <w:bottom w:val="single" w:color="auto" w:sz="4" w:space="0"/>
              <w:right w:val="single" w:color="000000" w:sz="4" w:space="0"/>
            </w:tcBorders>
            <w:noWrap/>
          </w:tcPr>
          <w:p w14:paraId="3C3F504A">
            <w:pPr>
              <w:rPr>
                <w:rFonts w:ascii="宋体" w:hAnsi="宋体"/>
                <w:sz w:val="24"/>
              </w:rPr>
            </w:pPr>
          </w:p>
        </w:tc>
        <w:tc>
          <w:tcPr>
            <w:tcW w:w="8598" w:type="dxa"/>
            <w:gridSpan w:val="4"/>
            <w:tcBorders>
              <w:top w:val="single" w:color="auto" w:sz="4" w:space="0"/>
              <w:left w:val="single" w:color="auto" w:sz="4" w:space="0"/>
              <w:bottom w:val="single" w:color="auto" w:sz="4" w:space="0"/>
              <w:right w:val="single" w:color="000000" w:sz="12" w:space="0"/>
            </w:tcBorders>
            <w:noWrap/>
          </w:tcPr>
          <w:p w14:paraId="38236933">
            <w:pPr>
              <w:spacing w:line="360" w:lineRule="auto"/>
              <w:jc w:val="left"/>
              <w:rPr>
                <w:rFonts w:ascii="宋体" w:hAnsi="宋体"/>
                <w:color w:val="000000"/>
                <w:sz w:val="24"/>
              </w:rPr>
            </w:pPr>
            <w:r>
              <w:rPr>
                <w:rFonts w:hint="eastAsia" w:ascii="宋体" w:hAnsi="宋体"/>
                <w:color w:val="000000"/>
                <w:sz w:val="24"/>
              </w:rPr>
              <w:t>注：以上项目若有缺项的，该项为0分；不缺项的，不低于最低分。</w:t>
            </w:r>
          </w:p>
        </w:tc>
      </w:tr>
      <w:tr w14:paraId="5EF30ECC">
        <w:tblPrEx>
          <w:tblCellMar>
            <w:top w:w="0" w:type="dxa"/>
            <w:left w:w="108" w:type="dxa"/>
            <w:bottom w:w="0" w:type="dxa"/>
            <w:right w:w="108" w:type="dxa"/>
          </w:tblCellMar>
        </w:tblPrEx>
        <w:trPr>
          <w:trHeight w:val="381" w:hRule="atLeast"/>
          <w:jc w:val="center"/>
        </w:trPr>
        <w:tc>
          <w:tcPr>
            <w:tcW w:w="1059" w:type="dxa"/>
            <w:vMerge w:val="restart"/>
            <w:tcBorders>
              <w:top w:val="single" w:color="auto" w:sz="4" w:space="0"/>
              <w:left w:val="single" w:color="auto" w:sz="4" w:space="0"/>
              <w:bottom w:val="single" w:color="auto" w:sz="4" w:space="0"/>
              <w:right w:val="single" w:color="auto" w:sz="4" w:space="0"/>
            </w:tcBorders>
            <w:noWrap/>
            <w:vAlign w:val="center"/>
          </w:tcPr>
          <w:p w14:paraId="1836A4DD">
            <w:pPr>
              <w:spacing w:line="360" w:lineRule="auto"/>
              <w:jc w:val="center"/>
              <w:rPr>
                <w:rFonts w:ascii="宋体" w:hAnsi="宋体"/>
                <w:color w:val="000000"/>
                <w:sz w:val="24"/>
              </w:rPr>
            </w:pPr>
            <w:r>
              <w:rPr>
                <w:rFonts w:hint="eastAsia" w:ascii="宋体" w:hAnsi="宋体"/>
                <w:color w:val="000000"/>
                <w:sz w:val="24"/>
              </w:rPr>
              <w:t>综合标</w:t>
            </w:r>
          </w:p>
          <w:p w14:paraId="388CE2C9">
            <w:pPr>
              <w:spacing w:line="360" w:lineRule="auto"/>
              <w:jc w:val="center"/>
              <w:rPr>
                <w:rFonts w:ascii="宋体" w:hAnsi="宋体"/>
                <w:sz w:val="24"/>
              </w:rPr>
            </w:pPr>
            <w:r>
              <w:rPr>
                <w:rFonts w:hint="eastAsia" w:ascii="宋体" w:hAnsi="宋体"/>
                <w:color w:val="000000"/>
                <w:sz w:val="24"/>
              </w:rPr>
              <w:t>18分</w:t>
            </w:r>
          </w:p>
        </w:tc>
        <w:tc>
          <w:tcPr>
            <w:tcW w:w="1720" w:type="dxa"/>
            <w:tcBorders>
              <w:top w:val="single" w:color="auto" w:sz="4" w:space="0"/>
              <w:left w:val="single" w:color="auto" w:sz="4" w:space="0"/>
              <w:bottom w:val="single" w:color="auto" w:sz="4" w:space="0"/>
              <w:right w:val="single" w:color="auto" w:sz="4" w:space="0"/>
            </w:tcBorders>
            <w:noWrap/>
            <w:vAlign w:val="center"/>
          </w:tcPr>
          <w:p w14:paraId="73330AA2">
            <w:pPr>
              <w:spacing w:line="360" w:lineRule="auto"/>
              <w:jc w:val="center"/>
              <w:rPr>
                <w:rFonts w:ascii="宋体" w:hAnsi="宋体"/>
                <w:color w:val="000000"/>
                <w:sz w:val="24"/>
              </w:rPr>
            </w:pPr>
            <w:r>
              <w:rPr>
                <w:rFonts w:hint="eastAsia" w:ascii="宋体" w:hAnsi="宋体"/>
                <w:color w:val="000000"/>
                <w:sz w:val="24"/>
              </w:rPr>
              <w:t>企业业绩</w:t>
            </w:r>
          </w:p>
        </w:tc>
        <w:tc>
          <w:tcPr>
            <w:tcW w:w="6007" w:type="dxa"/>
            <w:tcBorders>
              <w:top w:val="single" w:color="auto" w:sz="4" w:space="0"/>
              <w:left w:val="single" w:color="auto" w:sz="4" w:space="0"/>
              <w:bottom w:val="single" w:color="auto" w:sz="4" w:space="0"/>
              <w:right w:val="single" w:color="auto" w:sz="4" w:space="0"/>
            </w:tcBorders>
            <w:noWrap/>
            <w:vAlign w:val="center"/>
          </w:tcPr>
          <w:p w14:paraId="67A2DBB5">
            <w:pPr>
              <w:spacing w:line="360" w:lineRule="auto"/>
              <w:jc w:val="left"/>
              <w:rPr>
                <w:rFonts w:ascii="宋体" w:hAnsi="宋体"/>
                <w:color w:val="000000"/>
                <w:sz w:val="24"/>
              </w:rPr>
            </w:pPr>
            <w:r>
              <w:rPr>
                <w:rFonts w:hint="eastAsia" w:ascii="宋体" w:hAnsi="宋体"/>
                <w:color w:val="000000"/>
                <w:sz w:val="24"/>
              </w:rPr>
              <w:t>自2022年1月1日以来本企业承担过的类似工程性质或工程规模的施工业绩，每提供一项得1分，最多得2分。（须提供中标通知书和施工合同，否则不得分）</w:t>
            </w:r>
          </w:p>
        </w:tc>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3B6EE2F8">
            <w:pPr>
              <w:spacing w:line="360" w:lineRule="auto"/>
              <w:jc w:val="center"/>
              <w:rPr>
                <w:rFonts w:ascii="宋体" w:hAnsi="宋体"/>
                <w:color w:val="000000"/>
                <w:sz w:val="24"/>
              </w:rPr>
            </w:pPr>
            <w:r>
              <w:rPr>
                <w:rFonts w:hint="eastAsia" w:ascii="宋体" w:hAnsi="宋体"/>
                <w:color w:val="000000"/>
                <w:sz w:val="24"/>
              </w:rPr>
              <w:t>2分</w:t>
            </w:r>
          </w:p>
        </w:tc>
      </w:tr>
      <w:tr w14:paraId="04A21C0C">
        <w:tblPrEx>
          <w:tblCellMar>
            <w:top w:w="0" w:type="dxa"/>
            <w:left w:w="108" w:type="dxa"/>
            <w:bottom w:w="0" w:type="dxa"/>
            <w:right w:w="108" w:type="dxa"/>
          </w:tblCellMar>
        </w:tblPrEx>
        <w:trPr>
          <w:trHeight w:val="381"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ign w:val="center"/>
          </w:tcPr>
          <w:p w14:paraId="3FAE1065">
            <w:pPr>
              <w:jc w:val="center"/>
              <w:rPr>
                <w:rFonts w:ascii="宋体" w:hAnsi="宋体"/>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32E27E83">
            <w:pPr>
              <w:spacing w:line="360" w:lineRule="auto"/>
              <w:jc w:val="center"/>
              <w:rPr>
                <w:rFonts w:ascii="宋体" w:hAnsi="宋体"/>
                <w:color w:val="000000"/>
                <w:sz w:val="24"/>
              </w:rPr>
            </w:pPr>
            <w:r>
              <w:rPr>
                <w:rFonts w:hint="eastAsia" w:ascii="宋体" w:hAnsi="宋体"/>
                <w:color w:val="000000"/>
                <w:sz w:val="24"/>
              </w:rPr>
              <w:t>项目经理业绩</w:t>
            </w:r>
          </w:p>
        </w:tc>
        <w:tc>
          <w:tcPr>
            <w:tcW w:w="6007" w:type="dxa"/>
            <w:tcBorders>
              <w:top w:val="single" w:color="auto" w:sz="4" w:space="0"/>
              <w:left w:val="single" w:color="auto" w:sz="4" w:space="0"/>
              <w:bottom w:val="single" w:color="auto" w:sz="4" w:space="0"/>
              <w:right w:val="single" w:color="auto" w:sz="4" w:space="0"/>
            </w:tcBorders>
            <w:noWrap/>
            <w:vAlign w:val="center"/>
          </w:tcPr>
          <w:p w14:paraId="460C4BE9">
            <w:pPr>
              <w:spacing w:line="360" w:lineRule="auto"/>
              <w:jc w:val="left"/>
              <w:rPr>
                <w:rFonts w:ascii="宋体" w:hAnsi="宋体"/>
                <w:color w:val="000000"/>
                <w:sz w:val="24"/>
              </w:rPr>
            </w:pPr>
            <w:r>
              <w:rPr>
                <w:rFonts w:hint="eastAsia" w:ascii="宋体" w:hAnsi="宋体"/>
                <w:color w:val="000000"/>
                <w:sz w:val="24"/>
              </w:rPr>
              <w:t>2022</w:t>
            </w:r>
            <w:r>
              <w:rPr>
                <w:rFonts w:hint="eastAsia" w:ascii="宋体" w:hAnsi="宋体"/>
                <w:color w:val="000000"/>
                <w:sz w:val="24"/>
                <w:lang w:val="zh-CN"/>
              </w:rPr>
              <w:t>年</w:t>
            </w:r>
            <w:r>
              <w:rPr>
                <w:rFonts w:hint="eastAsia" w:ascii="宋体" w:hAnsi="宋体"/>
                <w:color w:val="000000"/>
                <w:sz w:val="24"/>
              </w:rPr>
              <w:t>1</w:t>
            </w:r>
            <w:r>
              <w:rPr>
                <w:rFonts w:hint="eastAsia" w:ascii="宋体" w:hAnsi="宋体"/>
                <w:color w:val="000000"/>
                <w:sz w:val="24"/>
                <w:lang w:val="zh-CN"/>
              </w:rPr>
              <w:t>月1日以来项目经理类似业绩每份</w:t>
            </w:r>
            <w:r>
              <w:rPr>
                <w:rFonts w:hint="eastAsia" w:ascii="宋体" w:hAnsi="宋体"/>
                <w:color w:val="000000"/>
                <w:sz w:val="24"/>
              </w:rPr>
              <w:t>0.5</w:t>
            </w:r>
            <w:r>
              <w:rPr>
                <w:rFonts w:hint="eastAsia" w:ascii="宋体" w:hAnsi="宋体"/>
                <w:color w:val="000000"/>
                <w:sz w:val="24"/>
                <w:lang w:val="zh-CN"/>
              </w:rPr>
              <w:t>分，最多得</w:t>
            </w:r>
            <w:r>
              <w:rPr>
                <w:rFonts w:hint="eastAsia" w:ascii="宋体" w:hAnsi="宋体"/>
                <w:color w:val="000000"/>
                <w:sz w:val="24"/>
              </w:rPr>
              <w:t>1</w:t>
            </w:r>
            <w:r>
              <w:rPr>
                <w:rFonts w:hint="eastAsia" w:ascii="宋体" w:hAnsi="宋体"/>
                <w:color w:val="000000"/>
                <w:sz w:val="24"/>
                <w:lang w:val="zh-CN"/>
              </w:rPr>
              <w:t>分；（须提供中标通知书</w:t>
            </w:r>
            <w:r>
              <w:rPr>
                <w:rFonts w:hint="eastAsia" w:ascii="宋体" w:hAnsi="宋体"/>
                <w:color w:val="000000"/>
                <w:sz w:val="24"/>
              </w:rPr>
              <w:t>和</w:t>
            </w:r>
            <w:r>
              <w:rPr>
                <w:rFonts w:hint="eastAsia" w:ascii="宋体" w:hAnsi="宋体"/>
                <w:color w:val="000000"/>
                <w:sz w:val="24"/>
                <w:lang w:val="zh-CN"/>
              </w:rPr>
              <w:t>施工合同，</w:t>
            </w:r>
            <w:r>
              <w:rPr>
                <w:rFonts w:hint="eastAsia" w:ascii="宋体" w:hAnsi="宋体"/>
                <w:color w:val="000000"/>
                <w:sz w:val="24"/>
              </w:rPr>
              <w:t>否则不得分</w:t>
            </w:r>
            <w:r>
              <w:rPr>
                <w:rFonts w:hint="eastAsia" w:ascii="宋体" w:hAnsi="宋体"/>
                <w:color w:val="000000"/>
                <w:sz w:val="24"/>
                <w:lang w:val="zh-CN"/>
              </w:rPr>
              <w:t>，企业业绩与项目经理不可重复记分</w:t>
            </w:r>
            <w:r>
              <w:rPr>
                <w:rFonts w:hint="eastAsia" w:ascii="宋体" w:hAnsi="宋体"/>
                <w:color w:val="000000"/>
                <w:sz w:val="24"/>
              </w:rPr>
              <w:t>）</w:t>
            </w:r>
          </w:p>
        </w:tc>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663807F0">
            <w:pPr>
              <w:spacing w:line="360" w:lineRule="auto"/>
              <w:jc w:val="center"/>
              <w:rPr>
                <w:rFonts w:ascii="宋体" w:hAnsi="宋体"/>
                <w:color w:val="000000"/>
                <w:sz w:val="24"/>
              </w:rPr>
            </w:pPr>
            <w:r>
              <w:rPr>
                <w:rFonts w:hint="eastAsia" w:ascii="宋体" w:hAnsi="宋体"/>
                <w:color w:val="000000"/>
                <w:sz w:val="24"/>
              </w:rPr>
              <w:t>1分</w:t>
            </w:r>
          </w:p>
        </w:tc>
      </w:tr>
      <w:tr w14:paraId="2E55AD6E">
        <w:tblPrEx>
          <w:tblCellMar>
            <w:top w:w="0" w:type="dxa"/>
            <w:left w:w="108" w:type="dxa"/>
            <w:bottom w:w="0" w:type="dxa"/>
            <w:right w:w="108" w:type="dxa"/>
          </w:tblCellMar>
        </w:tblPrEx>
        <w:trPr>
          <w:trHeight w:val="3372" w:hRule="atLeast"/>
          <w:jc w:val="center"/>
        </w:trPr>
        <w:tc>
          <w:tcPr>
            <w:tcW w:w="1059" w:type="dxa"/>
            <w:vMerge w:val="continue"/>
            <w:tcBorders>
              <w:top w:val="single" w:color="auto" w:sz="4" w:space="0"/>
              <w:left w:val="single" w:color="auto" w:sz="4" w:space="0"/>
              <w:bottom w:val="single" w:color="auto" w:sz="4" w:space="0"/>
              <w:right w:val="single" w:color="auto" w:sz="4" w:space="0"/>
            </w:tcBorders>
            <w:noWrap/>
            <w:vAlign w:val="center"/>
          </w:tcPr>
          <w:p w14:paraId="64D924B3">
            <w:pPr>
              <w:rPr>
                <w:rFonts w:ascii="宋体" w:hAnsi="宋体"/>
                <w:sz w:val="24"/>
              </w:rPr>
            </w:pPr>
          </w:p>
        </w:tc>
        <w:tc>
          <w:tcPr>
            <w:tcW w:w="1720" w:type="dxa"/>
            <w:tcBorders>
              <w:top w:val="single" w:color="auto" w:sz="4" w:space="0"/>
              <w:left w:val="single" w:color="auto" w:sz="4" w:space="0"/>
              <w:bottom w:val="single" w:color="auto" w:sz="4" w:space="0"/>
              <w:right w:val="single" w:color="auto" w:sz="4" w:space="0"/>
            </w:tcBorders>
            <w:noWrap/>
            <w:vAlign w:val="center"/>
          </w:tcPr>
          <w:p w14:paraId="04C2D1ED">
            <w:pPr>
              <w:spacing w:line="360" w:lineRule="auto"/>
              <w:jc w:val="center"/>
              <w:rPr>
                <w:rFonts w:ascii="宋体" w:hAnsi="宋体"/>
                <w:color w:val="000000"/>
                <w:sz w:val="24"/>
              </w:rPr>
            </w:pPr>
            <w:r>
              <w:rPr>
                <w:rFonts w:hint="eastAsia" w:ascii="宋体" w:hAnsi="宋体"/>
                <w:color w:val="000000"/>
                <w:sz w:val="24"/>
              </w:rPr>
              <w:t>履职尽责</w:t>
            </w:r>
          </w:p>
          <w:p w14:paraId="327220E9">
            <w:pPr>
              <w:spacing w:line="360" w:lineRule="auto"/>
              <w:jc w:val="center"/>
              <w:rPr>
                <w:rFonts w:ascii="宋体" w:hAnsi="宋体"/>
                <w:color w:val="000000"/>
                <w:sz w:val="24"/>
              </w:rPr>
            </w:pPr>
            <w:r>
              <w:rPr>
                <w:rFonts w:hint="eastAsia" w:ascii="宋体" w:hAnsi="宋体"/>
                <w:color w:val="000000"/>
                <w:sz w:val="24"/>
              </w:rPr>
              <w:t>承诺</w:t>
            </w:r>
          </w:p>
        </w:tc>
        <w:tc>
          <w:tcPr>
            <w:tcW w:w="6007" w:type="dxa"/>
            <w:tcBorders>
              <w:top w:val="single" w:color="auto" w:sz="4" w:space="0"/>
              <w:left w:val="single" w:color="auto" w:sz="4" w:space="0"/>
              <w:bottom w:val="single" w:color="auto" w:sz="4" w:space="0"/>
              <w:right w:val="single" w:color="auto" w:sz="4" w:space="0"/>
            </w:tcBorders>
            <w:noWrap/>
            <w:vAlign w:val="center"/>
          </w:tcPr>
          <w:p w14:paraId="26328A9C">
            <w:pPr>
              <w:spacing w:line="360" w:lineRule="auto"/>
              <w:jc w:val="left"/>
              <w:rPr>
                <w:rFonts w:ascii="宋体" w:hAnsi="宋体"/>
                <w:color w:val="000000"/>
                <w:sz w:val="24"/>
              </w:rPr>
            </w:pPr>
            <w:r>
              <w:rPr>
                <w:rFonts w:hint="eastAsia" w:ascii="宋体" w:hAnsi="宋体"/>
                <w:color w:val="000000"/>
                <w:sz w:val="24"/>
              </w:rPr>
              <w:t>具有全面、详实、可行、合法有效的书面保证技术措施落实到位的承诺和落实不到位的处理承诺，其中包括各关键岗位人员（项目经理、技术负责人及相关技术人员、施工员、质量员、安全员、材料员、资料员等）的在岗、更换等履职尽责承诺，提供承包商履约保证：全面、详实、可行、合法有效的得5分；比较全面、详实、可行、合法有效的2分；片面、不详细、不完整的1分；缺项不得分。</w:t>
            </w:r>
          </w:p>
        </w:tc>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7A6F70FA">
            <w:pPr>
              <w:spacing w:line="360" w:lineRule="auto"/>
              <w:jc w:val="center"/>
              <w:rPr>
                <w:rFonts w:ascii="宋体" w:hAnsi="宋体"/>
                <w:color w:val="000000"/>
                <w:sz w:val="24"/>
              </w:rPr>
            </w:pPr>
            <w:r>
              <w:rPr>
                <w:rFonts w:hint="eastAsia" w:ascii="宋体" w:hAnsi="宋体"/>
                <w:color w:val="000000"/>
                <w:sz w:val="24"/>
              </w:rPr>
              <w:t>5分</w:t>
            </w:r>
          </w:p>
        </w:tc>
      </w:tr>
      <w:tr w14:paraId="0DBE9833">
        <w:tblPrEx>
          <w:tblCellMar>
            <w:top w:w="0" w:type="dxa"/>
            <w:left w:w="108" w:type="dxa"/>
            <w:bottom w:w="0" w:type="dxa"/>
            <w:right w:w="108" w:type="dxa"/>
          </w:tblCellMar>
        </w:tblPrEx>
        <w:trPr>
          <w:trHeight w:val="732" w:hRule="atLeast"/>
          <w:jc w:val="center"/>
        </w:trPr>
        <w:tc>
          <w:tcPr>
            <w:tcW w:w="1059" w:type="dxa"/>
            <w:vMerge w:val="continue"/>
            <w:tcBorders>
              <w:top w:val="single" w:color="auto" w:sz="4" w:space="0"/>
              <w:left w:val="single" w:color="auto" w:sz="4" w:space="0"/>
              <w:right w:val="single" w:color="000000" w:sz="2" w:space="0"/>
            </w:tcBorders>
            <w:noWrap/>
            <w:vAlign w:val="center"/>
          </w:tcPr>
          <w:p w14:paraId="006676D5">
            <w:pPr>
              <w:rPr>
                <w:rFonts w:ascii="宋体" w:hAnsi="宋体"/>
                <w:sz w:val="24"/>
              </w:rPr>
            </w:pPr>
          </w:p>
        </w:tc>
        <w:tc>
          <w:tcPr>
            <w:tcW w:w="1720" w:type="dxa"/>
            <w:tcBorders>
              <w:top w:val="single" w:color="auto" w:sz="4" w:space="0"/>
              <w:left w:val="single" w:color="000000" w:sz="6" w:space="0"/>
              <w:bottom w:val="single" w:color="000000" w:sz="4" w:space="0"/>
              <w:right w:val="single" w:color="000000" w:sz="2" w:space="0"/>
            </w:tcBorders>
            <w:noWrap/>
            <w:vAlign w:val="center"/>
          </w:tcPr>
          <w:p w14:paraId="4B4F93BB">
            <w:pPr>
              <w:spacing w:line="360" w:lineRule="auto"/>
              <w:jc w:val="center"/>
              <w:rPr>
                <w:rFonts w:ascii="宋体" w:hAnsi="宋体"/>
                <w:color w:val="000000"/>
                <w:sz w:val="24"/>
              </w:rPr>
            </w:pPr>
            <w:r>
              <w:rPr>
                <w:rFonts w:hint="eastAsia" w:ascii="宋体" w:hAnsi="宋体"/>
                <w:color w:val="000000"/>
                <w:sz w:val="24"/>
              </w:rPr>
              <w:t>优惠条件的</w:t>
            </w:r>
          </w:p>
          <w:p w14:paraId="5D85BC71">
            <w:pPr>
              <w:spacing w:line="360" w:lineRule="auto"/>
              <w:jc w:val="center"/>
              <w:rPr>
                <w:rFonts w:ascii="宋体" w:hAnsi="宋体"/>
                <w:color w:val="000000"/>
                <w:sz w:val="24"/>
              </w:rPr>
            </w:pPr>
            <w:r>
              <w:rPr>
                <w:rFonts w:hint="eastAsia" w:ascii="宋体" w:hAnsi="宋体"/>
                <w:color w:val="000000"/>
                <w:sz w:val="24"/>
              </w:rPr>
              <w:t>承诺</w:t>
            </w:r>
          </w:p>
        </w:tc>
        <w:tc>
          <w:tcPr>
            <w:tcW w:w="6007" w:type="dxa"/>
            <w:tcBorders>
              <w:top w:val="single" w:color="auto" w:sz="4" w:space="0"/>
              <w:left w:val="single" w:color="000000" w:sz="2" w:space="0"/>
              <w:bottom w:val="single" w:color="000000" w:sz="4" w:space="0"/>
              <w:right w:val="single" w:color="auto" w:sz="4" w:space="0"/>
            </w:tcBorders>
            <w:noWrap/>
            <w:vAlign w:val="center"/>
          </w:tcPr>
          <w:p w14:paraId="7F1BCC08">
            <w:pPr>
              <w:spacing w:line="360" w:lineRule="auto"/>
              <w:jc w:val="left"/>
              <w:rPr>
                <w:rFonts w:ascii="宋体" w:hAnsi="宋体"/>
                <w:color w:val="000000"/>
                <w:sz w:val="24"/>
              </w:rPr>
            </w:pPr>
            <w:r>
              <w:rPr>
                <w:rFonts w:hint="eastAsia" w:ascii="宋体" w:hAnsi="宋体"/>
                <w:color w:val="000000"/>
                <w:sz w:val="24"/>
              </w:rPr>
              <w:t>优惠承诺应符合工程实际情况，确保依法依规，优惠基本合理，基本详实可行：合理、详实可行的得5分；较合理、详实可行2分；一般合理、不详细完整的得1分；缺项不得分。</w:t>
            </w:r>
          </w:p>
        </w:tc>
        <w:tc>
          <w:tcPr>
            <w:tcW w:w="871" w:type="dxa"/>
            <w:gridSpan w:val="2"/>
            <w:tcBorders>
              <w:top w:val="single" w:color="auto" w:sz="4" w:space="0"/>
              <w:left w:val="single" w:color="auto" w:sz="4" w:space="0"/>
              <w:bottom w:val="single" w:color="000000" w:sz="4" w:space="0"/>
              <w:right w:val="single" w:color="000000" w:sz="12" w:space="0"/>
            </w:tcBorders>
            <w:noWrap/>
            <w:vAlign w:val="center"/>
          </w:tcPr>
          <w:p w14:paraId="3C979352">
            <w:pPr>
              <w:spacing w:line="360" w:lineRule="auto"/>
              <w:jc w:val="center"/>
              <w:rPr>
                <w:rFonts w:ascii="宋体" w:hAnsi="宋体"/>
                <w:color w:val="000000"/>
                <w:sz w:val="24"/>
              </w:rPr>
            </w:pPr>
            <w:r>
              <w:rPr>
                <w:rFonts w:hint="eastAsia" w:ascii="宋体" w:hAnsi="宋体"/>
                <w:color w:val="000000"/>
                <w:sz w:val="24"/>
              </w:rPr>
              <w:t>5分</w:t>
            </w:r>
          </w:p>
        </w:tc>
      </w:tr>
      <w:tr w14:paraId="4D634B70">
        <w:tblPrEx>
          <w:tblCellMar>
            <w:top w:w="0" w:type="dxa"/>
            <w:left w:w="108" w:type="dxa"/>
            <w:bottom w:w="0" w:type="dxa"/>
            <w:right w:w="108" w:type="dxa"/>
          </w:tblCellMar>
        </w:tblPrEx>
        <w:trPr>
          <w:trHeight w:val="551" w:hRule="atLeast"/>
          <w:jc w:val="center"/>
        </w:trPr>
        <w:tc>
          <w:tcPr>
            <w:tcW w:w="1059" w:type="dxa"/>
            <w:vMerge w:val="continue"/>
            <w:tcBorders>
              <w:left w:val="single" w:color="auto" w:sz="4" w:space="0"/>
              <w:right w:val="single" w:color="000000" w:sz="2" w:space="0"/>
            </w:tcBorders>
            <w:noWrap/>
            <w:vAlign w:val="center"/>
          </w:tcPr>
          <w:p w14:paraId="796E27D9">
            <w:pPr>
              <w:rPr>
                <w:rFonts w:ascii="宋体" w:hAnsi="宋体"/>
                <w:sz w:val="24"/>
              </w:rPr>
            </w:pPr>
          </w:p>
        </w:tc>
        <w:tc>
          <w:tcPr>
            <w:tcW w:w="1720" w:type="dxa"/>
            <w:tcBorders>
              <w:top w:val="single" w:color="000000" w:sz="4" w:space="0"/>
              <w:left w:val="single" w:color="000000" w:sz="6" w:space="0"/>
              <w:bottom w:val="single" w:color="000000" w:sz="4" w:space="0"/>
              <w:right w:val="single" w:color="000000" w:sz="2" w:space="0"/>
            </w:tcBorders>
            <w:noWrap/>
            <w:vAlign w:val="center"/>
          </w:tcPr>
          <w:p w14:paraId="05D9EEE6">
            <w:pPr>
              <w:spacing w:line="360" w:lineRule="auto"/>
              <w:jc w:val="center"/>
              <w:rPr>
                <w:rFonts w:ascii="宋体" w:hAnsi="宋体"/>
                <w:color w:val="000000"/>
                <w:sz w:val="24"/>
              </w:rPr>
            </w:pPr>
            <w:r>
              <w:rPr>
                <w:rFonts w:hint="eastAsia" w:ascii="宋体" w:hAnsi="宋体"/>
                <w:color w:val="000000"/>
                <w:sz w:val="24"/>
              </w:rPr>
              <w:t>质量、工期承诺</w:t>
            </w:r>
          </w:p>
        </w:tc>
        <w:tc>
          <w:tcPr>
            <w:tcW w:w="6007" w:type="dxa"/>
            <w:tcBorders>
              <w:left w:val="single" w:color="000000" w:sz="2" w:space="0"/>
              <w:bottom w:val="single" w:color="000000" w:sz="4" w:space="0"/>
              <w:right w:val="single" w:color="auto" w:sz="4" w:space="0"/>
            </w:tcBorders>
            <w:noWrap/>
            <w:vAlign w:val="center"/>
          </w:tcPr>
          <w:p w14:paraId="6D95DE99">
            <w:pPr>
              <w:spacing w:line="360" w:lineRule="auto"/>
              <w:jc w:val="left"/>
              <w:rPr>
                <w:rFonts w:ascii="宋体" w:hAnsi="宋体"/>
                <w:color w:val="000000"/>
                <w:sz w:val="24"/>
              </w:rPr>
            </w:pPr>
            <w:r>
              <w:rPr>
                <w:rFonts w:hint="eastAsia" w:ascii="宋体" w:hAnsi="宋体"/>
                <w:color w:val="000000"/>
                <w:sz w:val="24"/>
              </w:rPr>
              <w:t>承诺质量、工期达到磋商文件要求并有具体措施：合理、详实可行的得5分；较合理、详实可行2分；一般合理、不详细完整的得1分，缺项不得分。</w:t>
            </w:r>
          </w:p>
        </w:tc>
        <w:tc>
          <w:tcPr>
            <w:tcW w:w="871" w:type="dxa"/>
            <w:gridSpan w:val="2"/>
            <w:tcBorders>
              <w:left w:val="single" w:color="auto" w:sz="4" w:space="0"/>
              <w:bottom w:val="single" w:color="000000" w:sz="4" w:space="0"/>
              <w:right w:val="single" w:color="000000" w:sz="12" w:space="0"/>
            </w:tcBorders>
            <w:noWrap/>
            <w:vAlign w:val="center"/>
          </w:tcPr>
          <w:p w14:paraId="69059791">
            <w:pPr>
              <w:spacing w:line="360" w:lineRule="auto"/>
              <w:jc w:val="center"/>
              <w:rPr>
                <w:rFonts w:ascii="宋体" w:hAnsi="宋体"/>
                <w:color w:val="000000"/>
                <w:sz w:val="24"/>
              </w:rPr>
            </w:pPr>
            <w:r>
              <w:rPr>
                <w:rFonts w:hint="eastAsia" w:ascii="宋体" w:hAnsi="宋体"/>
                <w:color w:val="000000"/>
                <w:sz w:val="24"/>
              </w:rPr>
              <w:t>5分</w:t>
            </w:r>
          </w:p>
        </w:tc>
      </w:tr>
      <w:tr w14:paraId="6B5261DD">
        <w:tblPrEx>
          <w:tblCellMar>
            <w:top w:w="0" w:type="dxa"/>
            <w:left w:w="108" w:type="dxa"/>
            <w:bottom w:w="0" w:type="dxa"/>
            <w:right w:w="108" w:type="dxa"/>
          </w:tblCellMar>
        </w:tblPrEx>
        <w:trPr>
          <w:trHeight w:val="2081" w:hRule="atLeast"/>
          <w:jc w:val="center"/>
        </w:trPr>
        <w:tc>
          <w:tcPr>
            <w:tcW w:w="9657" w:type="dxa"/>
            <w:gridSpan w:val="5"/>
            <w:tcBorders>
              <w:top w:val="single" w:color="000000" w:sz="4" w:space="0"/>
              <w:left w:val="single" w:color="000000" w:sz="12" w:space="0"/>
              <w:bottom w:val="single" w:color="000000" w:sz="12" w:space="0"/>
              <w:right w:val="single" w:color="000000" w:sz="6" w:space="0"/>
            </w:tcBorders>
            <w:noWrap/>
            <w:vAlign w:val="center"/>
          </w:tcPr>
          <w:p w14:paraId="0A947D70">
            <w:pPr>
              <w:spacing w:line="360" w:lineRule="auto"/>
              <w:jc w:val="left"/>
              <w:rPr>
                <w:rFonts w:ascii="宋体" w:hAnsi="宋体"/>
                <w:color w:val="000000"/>
                <w:sz w:val="24"/>
              </w:rPr>
            </w:pPr>
            <w:r>
              <w:rPr>
                <w:rFonts w:hint="eastAsia" w:ascii="宋体" w:hAnsi="宋体"/>
                <w:color w:val="000000"/>
                <w:sz w:val="24"/>
              </w:rPr>
              <w:t xml:space="preserve"> 投标人综合得分=技术标得分+商务标得分+综合标得分</w:t>
            </w:r>
          </w:p>
          <w:p w14:paraId="3E9A605B">
            <w:pPr>
              <w:spacing w:line="360" w:lineRule="auto"/>
              <w:jc w:val="left"/>
              <w:rPr>
                <w:rFonts w:ascii="宋体" w:hAnsi="宋体"/>
                <w:color w:val="000000"/>
                <w:sz w:val="24"/>
              </w:rPr>
            </w:pPr>
            <w:r>
              <w:rPr>
                <w:rFonts w:hint="eastAsia" w:ascii="宋体" w:hAnsi="宋体"/>
                <w:color w:val="000000"/>
                <w:sz w:val="24"/>
              </w:rPr>
              <w:t xml:space="preserve">    投标人的报价应包含投标人所承诺的应达到的工程质量标准及其他承诺应达到的标准所包含的所有费用。</w:t>
            </w:r>
          </w:p>
          <w:p w14:paraId="7EDCD19A">
            <w:pPr>
              <w:spacing w:line="360" w:lineRule="auto"/>
              <w:jc w:val="left"/>
              <w:rPr>
                <w:rFonts w:ascii="宋体" w:hAnsi="宋体"/>
                <w:sz w:val="24"/>
              </w:rPr>
            </w:pPr>
            <w:r>
              <w:rPr>
                <w:rFonts w:hint="eastAsia" w:ascii="宋体" w:hAnsi="宋体"/>
                <w:color w:val="000000"/>
                <w:sz w:val="24"/>
              </w:rPr>
              <w:t xml:space="preserve">   磋商小组对施工组织设计、企业实力、磋商报价、其他因素得分进行汇总，计算过程和最终结果按四舍五入保留两位小数。以各磋商小组打分的算术平均值作为该投标人的最终得分。</w:t>
            </w:r>
          </w:p>
        </w:tc>
      </w:tr>
    </w:tbl>
    <w:p w14:paraId="377CD04A">
      <w:pPr>
        <w:spacing w:line="360" w:lineRule="auto"/>
        <w:jc w:val="left"/>
        <w:rPr>
          <w:rFonts w:ascii="宋体" w:hAnsi="宋体"/>
          <w:color w:val="000000"/>
          <w:sz w:val="24"/>
        </w:rPr>
      </w:pPr>
    </w:p>
    <w:p w14:paraId="3A777BEE">
      <w:pPr>
        <w:widowControl/>
        <w:jc w:val="left"/>
        <w:rPr>
          <w:rFonts w:ascii="宋体" w:hAnsi="宋体"/>
        </w:rPr>
      </w:pPr>
    </w:p>
    <w:p w14:paraId="560C64E7">
      <w:pPr>
        <w:widowControl/>
        <w:jc w:val="left"/>
        <w:rPr>
          <w:rFonts w:ascii="宋体" w:hAnsi="宋体"/>
        </w:rPr>
      </w:pPr>
    </w:p>
    <w:p w14:paraId="2F7EB7F7">
      <w:pPr>
        <w:widowControl/>
        <w:jc w:val="left"/>
        <w:rPr>
          <w:rFonts w:ascii="宋体" w:hAnsi="宋体"/>
        </w:rPr>
      </w:pPr>
    </w:p>
    <w:p w14:paraId="3D87C037">
      <w:pPr>
        <w:widowControl/>
        <w:jc w:val="left"/>
        <w:rPr>
          <w:rFonts w:ascii="宋体" w:hAnsi="宋体"/>
        </w:rPr>
      </w:pPr>
    </w:p>
    <w:p w14:paraId="48C33B06">
      <w:pPr>
        <w:widowControl/>
        <w:jc w:val="left"/>
        <w:rPr>
          <w:rFonts w:ascii="宋体" w:hAnsi="宋体"/>
        </w:rPr>
      </w:pPr>
    </w:p>
    <w:p w14:paraId="206607D5">
      <w:pPr>
        <w:widowControl/>
        <w:jc w:val="left"/>
        <w:rPr>
          <w:rFonts w:ascii="宋体" w:hAnsi="宋体"/>
        </w:rPr>
      </w:pPr>
    </w:p>
    <w:bookmarkEnd w:id="123"/>
    <w:bookmarkEnd w:id="124"/>
    <w:p w14:paraId="14CCA3BE">
      <w:pPr>
        <w:jc w:val="center"/>
        <w:outlineLvl w:val="0"/>
        <w:rPr>
          <w:rFonts w:ascii="宋体" w:hAnsi="宋体"/>
          <w:b/>
          <w:bCs/>
          <w:color w:val="000000"/>
          <w:sz w:val="32"/>
          <w:szCs w:val="32"/>
        </w:rPr>
      </w:pPr>
      <w:bookmarkStart w:id="125" w:name="_Toc508179890"/>
      <w:bookmarkStart w:id="126" w:name="_Toc16520679"/>
      <w:bookmarkStart w:id="127" w:name="_Toc16520167"/>
      <w:bookmarkStart w:id="128" w:name="_Toc171013996"/>
      <w:r>
        <w:rPr>
          <w:rFonts w:ascii="宋体" w:hAnsi="宋体"/>
          <w:b/>
          <w:bCs/>
          <w:sz w:val="32"/>
          <w:szCs w:val="32"/>
        </w:rPr>
        <w:br w:type="page"/>
      </w:r>
      <w:r>
        <w:rPr>
          <w:rFonts w:hint="eastAsia" w:ascii="宋体" w:hAnsi="宋体"/>
          <w:b/>
          <w:bCs/>
          <w:sz w:val="32"/>
          <w:szCs w:val="32"/>
        </w:rPr>
        <w:t xml:space="preserve">第四章 </w:t>
      </w:r>
      <w:bookmarkEnd w:id="125"/>
      <w:r>
        <w:rPr>
          <w:rFonts w:hint="eastAsia" w:ascii="宋体" w:hAnsi="宋体"/>
          <w:b/>
          <w:bCs/>
          <w:sz w:val="32"/>
          <w:szCs w:val="32"/>
        </w:rPr>
        <w:t>合同协议书</w:t>
      </w:r>
      <w:bookmarkEnd w:id="126"/>
      <w:bookmarkEnd w:id="127"/>
      <w:r>
        <w:rPr>
          <w:rFonts w:hint="eastAsia" w:ascii="宋体" w:hAnsi="宋体"/>
          <w:b/>
          <w:bCs/>
          <w:color w:val="000000"/>
          <w:sz w:val="32"/>
          <w:szCs w:val="32"/>
        </w:rPr>
        <w:t>（样本）</w:t>
      </w:r>
      <w:bookmarkEnd w:id="128"/>
    </w:p>
    <w:p w14:paraId="02C78DCC">
      <w:pPr>
        <w:widowControl/>
        <w:autoSpaceDE w:val="0"/>
        <w:autoSpaceDN w:val="0"/>
        <w:adjustRightInd w:val="0"/>
        <w:snapToGrid w:val="0"/>
        <w:spacing w:after="200"/>
        <w:ind w:firstLine="480" w:firstLineChars="200"/>
        <w:rPr>
          <w:rFonts w:ascii="宋体" w:hAnsi="宋体"/>
          <w:bCs/>
          <w:sz w:val="32"/>
          <w:szCs w:val="32"/>
        </w:rPr>
      </w:pPr>
      <w:r>
        <w:rPr>
          <w:rFonts w:hint="eastAsia" w:ascii="宋体" w:hAnsi="宋体" w:cs="Calibri"/>
          <w:kern w:val="0"/>
          <w:sz w:val="24"/>
          <w:szCs w:val="21"/>
        </w:rPr>
        <w:t>此合同仅供参考。以最终招标人与成交人签定的合同草案为准进行公示。</w:t>
      </w:r>
      <w:r>
        <w:rPr>
          <w:rFonts w:hint="eastAsia" w:ascii="宋体" w:hAnsi="宋体" w:cs="宋体"/>
          <w:sz w:val="24"/>
        </w:rPr>
        <w:t>我单位（采购人）严格按三财购【2021】9号文要求的时限发布中标结果公告，发出中标通知书，签订采购合同，上传采购合同。</w:t>
      </w:r>
    </w:p>
    <w:p w14:paraId="490ADCCC">
      <w:pPr>
        <w:pStyle w:val="6"/>
        <w:rPr>
          <w:rFonts w:ascii="宋体" w:hAnsi="宋体" w:eastAsia="宋体"/>
          <w:bCs/>
          <w:color w:val="000000"/>
          <w:kern w:val="0"/>
          <w:sz w:val="24"/>
        </w:rPr>
      </w:pPr>
      <w:bookmarkStart w:id="129" w:name="_Toc21344"/>
      <w:bookmarkStart w:id="130" w:name="_Toc50403632"/>
      <w:bookmarkStart w:id="131" w:name="_Toc56609127"/>
      <w:bookmarkStart w:id="132" w:name="_Toc171014037"/>
      <w:r>
        <w:rPr>
          <w:rFonts w:hint="eastAsia" w:ascii="宋体" w:hAnsi="宋体" w:eastAsia="宋体"/>
          <w:bCs/>
          <w:color w:val="000000"/>
          <w:kern w:val="0"/>
          <w:sz w:val="24"/>
        </w:rPr>
        <w:t>第一节 通用合同条款</w:t>
      </w:r>
      <w:bookmarkEnd w:id="129"/>
      <w:bookmarkEnd w:id="130"/>
      <w:bookmarkEnd w:id="131"/>
    </w:p>
    <w:p w14:paraId="32F555D3">
      <w:pPr>
        <w:rPr>
          <w:rFonts w:ascii="宋体" w:hAnsi="宋体"/>
          <w:color w:val="000000"/>
          <w:sz w:val="24"/>
        </w:rPr>
      </w:pPr>
      <w:r>
        <w:rPr>
          <w:rFonts w:hint="eastAsia" w:ascii="宋体" w:hAnsi="宋体"/>
          <w:color w:val="000000"/>
          <w:sz w:val="24"/>
        </w:rPr>
        <w:t>“通用合同条款”采用《标准施工招标文件》的“通用合同条款”。</w:t>
      </w:r>
    </w:p>
    <w:p w14:paraId="3E2CC3B4">
      <w:pPr>
        <w:rPr>
          <w:rFonts w:ascii="宋体" w:hAnsi="宋体"/>
          <w:b/>
          <w:color w:val="000000"/>
          <w:kern w:val="0"/>
          <w:sz w:val="24"/>
        </w:rPr>
      </w:pPr>
      <w:bookmarkStart w:id="133" w:name="_Toc12817"/>
    </w:p>
    <w:p w14:paraId="5884CFAE">
      <w:pPr>
        <w:pStyle w:val="6"/>
        <w:rPr>
          <w:rFonts w:ascii="宋体" w:hAnsi="宋体" w:eastAsia="宋体"/>
          <w:bCs/>
          <w:color w:val="000000"/>
          <w:kern w:val="0"/>
          <w:sz w:val="24"/>
        </w:rPr>
      </w:pPr>
      <w:bookmarkStart w:id="134" w:name="_Toc50403633"/>
      <w:bookmarkStart w:id="135" w:name="_Toc56609128"/>
      <w:bookmarkStart w:id="136" w:name="_Toc9383"/>
      <w:r>
        <w:rPr>
          <w:rFonts w:hint="eastAsia" w:ascii="宋体" w:hAnsi="宋体" w:eastAsia="宋体"/>
          <w:bCs/>
          <w:color w:val="000000"/>
          <w:kern w:val="0"/>
          <w:sz w:val="24"/>
        </w:rPr>
        <w:t>第二节 专用合同条款</w:t>
      </w:r>
      <w:bookmarkEnd w:id="133"/>
      <w:bookmarkEnd w:id="134"/>
      <w:bookmarkEnd w:id="135"/>
      <w:bookmarkEnd w:id="136"/>
    </w:p>
    <w:p w14:paraId="3699BFAA">
      <w:pPr>
        <w:spacing w:line="360" w:lineRule="auto"/>
        <w:jc w:val="center"/>
        <w:rPr>
          <w:rFonts w:ascii="宋体" w:hAnsi="宋体"/>
          <w:b/>
          <w:color w:val="000000"/>
          <w:kern w:val="0"/>
          <w:sz w:val="24"/>
        </w:rPr>
      </w:pPr>
      <w:bookmarkStart w:id="137" w:name="_Toc6293"/>
      <w:r>
        <w:rPr>
          <w:rFonts w:ascii="宋体" w:hAnsi="宋体"/>
          <w:b/>
          <w:color w:val="000000"/>
          <w:kern w:val="0"/>
          <w:sz w:val="24"/>
        </w:rPr>
        <w:t>A</w:t>
      </w:r>
      <w:r>
        <w:rPr>
          <w:rFonts w:hint="eastAsia" w:ascii="宋体" w:hAnsi="宋体"/>
          <w:b/>
          <w:color w:val="000000"/>
          <w:kern w:val="0"/>
          <w:sz w:val="24"/>
        </w:rPr>
        <w:t>．公路工程专用合同条款</w:t>
      </w:r>
      <w:bookmarkEnd w:id="137"/>
    </w:p>
    <w:p w14:paraId="0305CDD9">
      <w:pPr>
        <w:spacing w:line="360" w:lineRule="auto"/>
        <w:rPr>
          <w:rFonts w:ascii="宋体" w:hAnsi="宋体"/>
          <w:color w:val="000000"/>
          <w:sz w:val="24"/>
        </w:rPr>
      </w:pPr>
    </w:p>
    <w:p w14:paraId="2A7CFB75">
      <w:pPr>
        <w:spacing w:line="360" w:lineRule="auto"/>
        <w:rPr>
          <w:rFonts w:ascii="宋体" w:hAnsi="宋体"/>
          <w:b/>
          <w:color w:val="000000"/>
          <w:kern w:val="0"/>
          <w:sz w:val="24"/>
        </w:rPr>
      </w:pPr>
      <w:bookmarkStart w:id="138" w:name="_Toc311"/>
      <w:bookmarkStart w:id="139" w:name="_Toc26070"/>
      <w:bookmarkStart w:id="140" w:name="_Toc514414278"/>
      <w:r>
        <w:rPr>
          <w:rFonts w:ascii="宋体" w:hAnsi="宋体"/>
          <w:b/>
          <w:color w:val="000000"/>
          <w:kern w:val="0"/>
          <w:sz w:val="24"/>
        </w:rPr>
        <w:t>1</w:t>
      </w:r>
      <w:r>
        <w:rPr>
          <w:rFonts w:hint="eastAsia" w:ascii="宋体" w:hAnsi="宋体"/>
          <w:b/>
          <w:color w:val="000000"/>
          <w:kern w:val="0"/>
          <w:sz w:val="24"/>
        </w:rPr>
        <w:t>．一般约定</w:t>
      </w:r>
      <w:bookmarkEnd w:id="138"/>
      <w:bookmarkEnd w:id="139"/>
      <w:bookmarkEnd w:id="140"/>
    </w:p>
    <w:p w14:paraId="2DE41572">
      <w:pPr>
        <w:spacing w:line="360" w:lineRule="auto"/>
        <w:rPr>
          <w:rFonts w:ascii="宋体" w:hAnsi="宋体"/>
          <w:b/>
          <w:color w:val="000000"/>
          <w:kern w:val="0"/>
          <w:sz w:val="24"/>
        </w:rPr>
      </w:pPr>
      <w:bookmarkStart w:id="141" w:name="_Toc514414279"/>
      <w:bookmarkStart w:id="142" w:name="_Toc13682"/>
      <w:bookmarkStart w:id="143" w:name="_Toc29272"/>
      <w:r>
        <w:rPr>
          <w:rFonts w:ascii="宋体" w:hAnsi="宋体"/>
          <w:b/>
          <w:color w:val="000000"/>
          <w:kern w:val="0"/>
          <w:sz w:val="24"/>
        </w:rPr>
        <w:t>1.1</w:t>
      </w:r>
      <w:r>
        <w:rPr>
          <w:rFonts w:hint="eastAsia" w:ascii="宋体" w:hAnsi="宋体"/>
          <w:b/>
          <w:color w:val="000000"/>
          <w:kern w:val="0"/>
          <w:sz w:val="24"/>
        </w:rPr>
        <w:t>．词语定义</w:t>
      </w:r>
      <w:bookmarkEnd w:id="141"/>
      <w:bookmarkEnd w:id="142"/>
      <w:bookmarkEnd w:id="143"/>
    </w:p>
    <w:p w14:paraId="5EAADD68">
      <w:pPr>
        <w:spacing w:line="360" w:lineRule="auto"/>
        <w:rPr>
          <w:rFonts w:ascii="宋体" w:hAnsi="宋体" w:cs="宋体"/>
          <w:b/>
          <w:color w:val="000000"/>
          <w:sz w:val="24"/>
        </w:rPr>
      </w:pPr>
      <w:r>
        <w:rPr>
          <w:rFonts w:hint="eastAsia" w:ascii="宋体" w:hAnsi="宋体" w:cs="宋体"/>
          <w:b/>
          <w:color w:val="000000"/>
          <w:sz w:val="24"/>
        </w:rPr>
        <w:t>　　1.1.1合同</w:t>
      </w:r>
    </w:p>
    <w:p w14:paraId="490E78FF">
      <w:pPr>
        <w:spacing w:line="360" w:lineRule="auto"/>
        <w:rPr>
          <w:rFonts w:ascii="宋体" w:hAnsi="宋体" w:cs="宋体"/>
          <w:color w:val="000000"/>
          <w:sz w:val="24"/>
        </w:rPr>
      </w:pPr>
      <w:r>
        <w:rPr>
          <w:rFonts w:hint="eastAsia" w:ascii="宋体" w:hAnsi="宋体" w:cs="宋体"/>
          <w:color w:val="000000"/>
          <w:sz w:val="24"/>
        </w:rPr>
        <w:t>　　第1.1.1.6目细化为：</w:t>
      </w:r>
    </w:p>
    <w:p w14:paraId="364CF0A9">
      <w:pPr>
        <w:spacing w:line="360" w:lineRule="auto"/>
        <w:rPr>
          <w:rFonts w:ascii="宋体" w:hAnsi="宋体" w:cs="宋体"/>
          <w:color w:val="000000"/>
          <w:sz w:val="24"/>
        </w:rPr>
      </w:pPr>
      <w:r>
        <w:rPr>
          <w:rFonts w:hint="eastAsia" w:ascii="宋体" w:hAnsi="宋体" w:cs="宋体"/>
          <w:color w:val="000000"/>
          <w:sz w:val="24"/>
        </w:rPr>
        <w:t>　　技术规范：指本合同所约定的技术标准和要求，是合同文件的组成部分。通用合同条款中“技术标准和要求”一词具有相同含义。</w:t>
      </w:r>
    </w:p>
    <w:p w14:paraId="3B343B4E">
      <w:pPr>
        <w:spacing w:line="360" w:lineRule="auto"/>
        <w:rPr>
          <w:rFonts w:ascii="宋体" w:hAnsi="宋体" w:cs="宋体"/>
          <w:color w:val="000000"/>
          <w:sz w:val="24"/>
        </w:rPr>
      </w:pPr>
      <w:r>
        <w:rPr>
          <w:rFonts w:hint="eastAsia" w:ascii="宋体" w:hAnsi="宋体" w:cs="宋体"/>
          <w:color w:val="000000"/>
          <w:sz w:val="24"/>
        </w:rPr>
        <w:t>　　第1.1.1.8目细化为：</w:t>
      </w:r>
    </w:p>
    <w:p w14:paraId="0E7BCD25">
      <w:pPr>
        <w:spacing w:line="360" w:lineRule="auto"/>
        <w:rPr>
          <w:rFonts w:ascii="宋体" w:hAnsi="宋体" w:cs="宋体"/>
          <w:color w:val="000000"/>
          <w:sz w:val="24"/>
        </w:rPr>
      </w:pPr>
      <w:r>
        <w:rPr>
          <w:rFonts w:hint="eastAsia" w:ascii="宋体" w:hAnsi="宋体" w:cs="宋体"/>
          <w:color w:val="000000"/>
          <w:sz w:val="24"/>
        </w:rPr>
        <w:t>　　已标价工程量清单：指构成合同文件组成部分的已标明价格、经算术性错误修正及其他错误修正（如有）且承包人已确认的最终的工程量清单，包括工程量清单说明、投标报价说明、计日工说明、其他说明及工程量清单各项表格。</w:t>
      </w:r>
    </w:p>
    <w:p w14:paraId="36957DF8">
      <w:pPr>
        <w:spacing w:line="360" w:lineRule="auto"/>
        <w:rPr>
          <w:rFonts w:ascii="宋体" w:hAnsi="宋体" w:cs="宋体"/>
          <w:color w:val="000000"/>
          <w:sz w:val="24"/>
        </w:rPr>
      </w:pPr>
      <w:r>
        <w:rPr>
          <w:rFonts w:hint="eastAsia" w:ascii="宋体" w:hAnsi="宋体" w:cs="宋体"/>
          <w:color w:val="000000"/>
          <w:sz w:val="24"/>
        </w:rPr>
        <w:t>　　本项补充第1.1.1.10目：</w:t>
      </w:r>
    </w:p>
    <w:p w14:paraId="57E364DF">
      <w:pPr>
        <w:spacing w:line="360" w:lineRule="auto"/>
        <w:rPr>
          <w:rFonts w:ascii="宋体" w:hAnsi="宋体" w:cs="宋体"/>
          <w:color w:val="000000"/>
          <w:sz w:val="24"/>
        </w:rPr>
      </w:pPr>
      <w:r>
        <w:rPr>
          <w:rFonts w:hint="eastAsia" w:ascii="宋体" w:hAnsi="宋体" w:cs="宋体"/>
          <w:color w:val="000000"/>
          <w:sz w:val="24"/>
        </w:rPr>
        <w:t>　　1.1.1.10补遗书：指发出招标文件之后由采购人向已取得招标文件的投标人发出的、编号的对招标文件所作的澄清、修改书。</w:t>
      </w:r>
    </w:p>
    <w:p w14:paraId="413C2F71">
      <w:pPr>
        <w:spacing w:line="360" w:lineRule="auto"/>
        <w:rPr>
          <w:rFonts w:ascii="宋体" w:hAnsi="宋体" w:cs="宋体"/>
          <w:b/>
          <w:color w:val="000000"/>
          <w:sz w:val="24"/>
        </w:rPr>
      </w:pPr>
      <w:r>
        <w:rPr>
          <w:rFonts w:hint="eastAsia" w:ascii="宋体" w:hAnsi="宋体" w:cs="宋体"/>
          <w:b/>
          <w:color w:val="000000"/>
          <w:sz w:val="24"/>
        </w:rPr>
        <w:t>　　1.1.2合同当事人和人员</w:t>
      </w:r>
    </w:p>
    <w:p w14:paraId="73FB8F1A">
      <w:pPr>
        <w:spacing w:line="360" w:lineRule="auto"/>
        <w:rPr>
          <w:rFonts w:ascii="宋体" w:hAnsi="宋体" w:cs="宋体"/>
          <w:color w:val="000000"/>
          <w:sz w:val="24"/>
        </w:rPr>
      </w:pPr>
      <w:r>
        <w:rPr>
          <w:rFonts w:hint="eastAsia" w:ascii="宋体" w:hAnsi="宋体" w:cs="宋体"/>
          <w:color w:val="000000"/>
          <w:sz w:val="24"/>
        </w:rPr>
        <w:t>　　本项补充第1.1.2.8目：</w:t>
      </w:r>
    </w:p>
    <w:p w14:paraId="632D4BB4">
      <w:pPr>
        <w:spacing w:line="360" w:lineRule="auto"/>
        <w:rPr>
          <w:rFonts w:ascii="宋体" w:hAnsi="宋体" w:cs="宋体"/>
          <w:color w:val="000000"/>
          <w:sz w:val="24"/>
        </w:rPr>
      </w:pPr>
      <w:r>
        <w:rPr>
          <w:rFonts w:hint="eastAsia" w:ascii="宋体" w:hAnsi="宋体" w:cs="宋体"/>
          <w:color w:val="000000"/>
          <w:sz w:val="24"/>
        </w:rPr>
        <w:t>　　1.1.2.8承包人项目总工：指由承包人书面委派常驻现场负责管理本合同工程的总工程师或技术总负责人。</w:t>
      </w:r>
    </w:p>
    <w:p w14:paraId="6C135657">
      <w:pPr>
        <w:spacing w:line="360" w:lineRule="auto"/>
        <w:rPr>
          <w:rFonts w:ascii="宋体" w:hAnsi="宋体" w:cs="宋体"/>
          <w:b/>
          <w:color w:val="000000"/>
          <w:sz w:val="24"/>
        </w:rPr>
      </w:pPr>
      <w:r>
        <w:rPr>
          <w:rFonts w:hint="eastAsia" w:ascii="宋体" w:hAnsi="宋体" w:cs="宋体"/>
          <w:b/>
          <w:color w:val="000000"/>
          <w:sz w:val="24"/>
        </w:rPr>
        <w:t>　　1.1.3工程和设备</w:t>
      </w:r>
    </w:p>
    <w:p w14:paraId="182A80CB">
      <w:pPr>
        <w:spacing w:line="360" w:lineRule="auto"/>
        <w:rPr>
          <w:rFonts w:ascii="宋体" w:hAnsi="宋体" w:cs="宋体"/>
          <w:color w:val="000000"/>
          <w:sz w:val="24"/>
        </w:rPr>
      </w:pPr>
      <w:r>
        <w:rPr>
          <w:rFonts w:hint="eastAsia" w:ascii="宋体" w:hAnsi="宋体" w:cs="宋体"/>
          <w:color w:val="000000"/>
          <w:sz w:val="24"/>
        </w:rPr>
        <w:t>　　第1.1.3.4目细化为：</w:t>
      </w:r>
    </w:p>
    <w:p w14:paraId="22148AE6">
      <w:pPr>
        <w:spacing w:line="360" w:lineRule="auto"/>
        <w:rPr>
          <w:rFonts w:ascii="宋体" w:hAnsi="宋体" w:cs="宋体"/>
          <w:color w:val="000000"/>
          <w:sz w:val="24"/>
        </w:rPr>
      </w:pPr>
      <w:r>
        <w:rPr>
          <w:rFonts w:hint="eastAsia" w:ascii="宋体" w:hAnsi="宋体" w:cs="宋体"/>
          <w:color w:val="000000"/>
          <w:sz w:val="24"/>
        </w:rPr>
        <w:t>　　单位工程：指在建设项目中，根据签订的合同，具有独立施工条件的工程。</w:t>
      </w:r>
    </w:p>
    <w:p w14:paraId="6333FC79">
      <w:pPr>
        <w:spacing w:line="360" w:lineRule="auto"/>
        <w:rPr>
          <w:rFonts w:ascii="宋体" w:hAnsi="宋体" w:cs="宋体"/>
          <w:color w:val="000000"/>
          <w:sz w:val="24"/>
        </w:rPr>
      </w:pPr>
      <w:r>
        <w:rPr>
          <w:rFonts w:hint="eastAsia" w:ascii="宋体" w:hAnsi="宋体" w:cs="宋体"/>
          <w:color w:val="000000"/>
          <w:sz w:val="24"/>
        </w:rPr>
        <w:t>　　第1.1.3.10目细化为：</w:t>
      </w:r>
    </w:p>
    <w:p w14:paraId="64BE1E53">
      <w:pPr>
        <w:spacing w:line="360" w:lineRule="auto"/>
        <w:rPr>
          <w:rFonts w:ascii="宋体" w:hAnsi="宋体" w:cs="宋体"/>
          <w:color w:val="000000"/>
          <w:sz w:val="24"/>
        </w:rPr>
      </w:pPr>
      <w:r>
        <w:rPr>
          <w:rFonts w:hint="eastAsia" w:ascii="宋体" w:hAnsi="宋体" w:cs="宋体"/>
          <w:color w:val="000000"/>
          <w:sz w:val="24"/>
        </w:rPr>
        <w:t>　　永久占地：指为实施本合同工程而需要的一切永久占用的土地，包括公路两侧路权范围内的用地。</w:t>
      </w:r>
    </w:p>
    <w:p w14:paraId="2057214E">
      <w:pPr>
        <w:spacing w:line="360" w:lineRule="auto"/>
        <w:rPr>
          <w:rFonts w:ascii="宋体" w:hAnsi="宋体" w:cs="宋体"/>
          <w:color w:val="000000"/>
          <w:sz w:val="24"/>
        </w:rPr>
      </w:pPr>
      <w:r>
        <w:rPr>
          <w:rFonts w:hint="eastAsia" w:ascii="宋体" w:hAnsi="宋体" w:cs="宋体"/>
          <w:color w:val="000000"/>
          <w:sz w:val="24"/>
        </w:rPr>
        <w:t>　　第1.1.3.11目细化为：</w:t>
      </w:r>
    </w:p>
    <w:p w14:paraId="168211E6">
      <w:pPr>
        <w:spacing w:line="360" w:lineRule="auto"/>
        <w:rPr>
          <w:rFonts w:ascii="宋体" w:hAnsi="宋体" w:cs="宋体"/>
          <w:color w:val="000000"/>
          <w:sz w:val="24"/>
        </w:rPr>
      </w:pPr>
      <w:r>
        <w:rPr>
          <w:rFonts w:hint="eastAsia" w:ascii="宋体" w:hAnsi="宋体" w:cs="宋体"/>
          <w:color w:val="000000"/>
          <w:sz w:val="24"/>
        </w:rPr>
        <w:t>　　临时占地：指为实施本合同工程而需要的一切临时占用的土地，包括施工所用的临时支线、便道、便桥和现场的临时出入通道，以及生产（办公）、生活等临时设施用地等。</w:t>
      </w:r>
    </w:p>
    <w:p w14:paraId="127B331D">
      <w:pPr>
        <w:spacing w:line="360" w:lineRule="auto"/>
        <w:rPr>
          <w:rFonts w:ascii="宋体" w:hAnsi="宋体" w:cs="宋体"/>
          <w:color w:val="000000"/>
          <w:sz w:val="24"/>
        </w:rPr>
      </w:pPr>
      <w:r>
        <w:rPr>
          <w:rFonts w:hint="eastAsia" w:ascii="宋体" w:hAnsi="宋体" w:cs="宋体"/>
          <w:color w:val="000000"/>
          <w:sz w:val="24"/>
        </w:rPr>
        <w:t>　　本项补充第1.1.3.12目、第1.1.3.13目：</w:t>
      </w:r>
    </w:p>
    <w:p w14:paraId="609249A2">
      <w:pPr>
        <w:spacing w:line="360" w:lineRule="auto"/>
        <w:rPr>
          <w:rFonts w:ascii="宋体" w:hAnsi="宋体" w:cs="宋体"/>
          <w:color w:val="000000"/>
          <w:sz w:val="24"/>
        </w:rPr>
      </w:pPr>
      <w:r>
        <w:rPr>
          <w:rFonts w:hint="eastAsia" w:ascii="宋体" w:hAnsi="宋体" w:cs="宋体"/>
          <w:color w:val="000000"/>
          <w:sz w:val="24"/>
        </w:rPr>
        <w:t>　　1.1.3.12分部工程：指在单位工程中，按结构部位、路段长度及施工特点或施工任务划分的若干个工程。</w:t>
      </w:r>
    </w:p>
    <w:p w14:paraId="58A3047F">
      <w:pPr>
        <w:spacing w:line="360" w:lineRule="auto"/>
        <w:rPr>
          <w:rFonts w:ascii="宋体" w:hAnsi="宋体" w:cs="宋体"/>
          <w:color w:val="000000"/>
          <w:sz w:val="24"/>
        </w:rPr>
      </w:pPr>
      <w:r>
        <w:rPr>
          <w:rFonts w:hint="eastAsia" w:ascii="宋体" w:hAnsi="宋体" w:cs="宋体"/>
          <w:color w:val="000000"/>
          <w:sz w:val="24"/>
        </w:rPr>
        <w:t>　　1.1.3.13分项工程：指在分部工程中，按不同的施工方法、材料、工序及路段长度等划分的若干个工程。</w:t>
      </w:r>
    </w:p>
    <w:p w14:paraId="0A4F3B4D">
      <w:pPr>
        <w:spacing w:line="360" w:lineRule="auto"/>
        <w:rPr>
          <w:rFonts w:ascii="宋体" w:hAnsi="宋体" w:cs="宋体"/>
          <w:b/>
          <w:color w:val="000000"/>
          <w:sz w:val="24"/>
        </w:rPr>
      </w:pPr>
      <w:r>
        <w:rPr>
          <w:rFonts w:hint="eastAsia" w:ascii="宋体" w:hAnsi="宋体" w:cs="宋体"/>
          <w:b/>
          <w:color w:val="000000"/>
          <w:sz w:val="24"/>
        </w:rPr>
        <w:t>　　1.1.6其他</w:t>
      </w:r>
    </w:p>
    <w:p w14:paraId="4BBBD272">
      <w:pPr>
        <w:spacing w:line="360" w:lineRule="auto"/>
        <w:rPr>
          <w:rFonts w:ascii="宋体" w:hAnsi="宋体" w:cs="宋体"/>
          <w:color w:val="000000"/>
          <w:sz w:val="24"/>
        </w:rPr>
      </w:pPr>
      <w:r>
        <w:rPr>
          <w:rFonts w:hint="eastAsia" w:ascii="宋体" w:hAnsi="宋体" w:cs="宋体"/>
          <w:color w:val="000000"/>
          <w:sz w:val="24"/>
        </w:rPr>
        <w:t>　　本项补充第1.1.6.2目～第1.1.6.9目：</w:t>
      </w:r>
    </w:p>
    <w:p w14:paraId="3FA89510">
      <w:pPr>
        <w:spacing w:line="360" w:lineRule="auto"/>
        <w:rPr>
          <w:rFonts w:ascii="宋体" w:hAnsi="宋体" w:cs="宋体"/>
          <w:color w:val="000000"/>
          <w:sz w:val="24"/>
        </w:rPr>
      </w:pPr>
      <w:r>
        <w:rPr>
          <w:rFonts w:hint="eastAsia" w:ascii="宋体" w:hAnsi="宋体" w:cs="宋体"/>
          <w:color w:val="000000"/>
          <w:sz w:val="24"/>
        </w:rPr>
        <w:t>　　1.1.6.2竣工验收：指《公路工程竣（交）工验收办法》中的竣工验收。通用合同条款中“国家验收”一词具有相同含义。</w:t>
      </w:r>
    </w:p>
    <w:p w14:paraId="47CF0F63">
      <w:pPr>
        <w:spacing w:line="360" w:lineRule="auto"/>
        <w:rPr>
          <w:rFonts w:ascii="宋体" w:hAnsi="宋体" w:cs="宋体"/>
          <w:color w:val="000000"/>
          <w:sz w:val="24"/>
        </w:rPr>
      </w:pPr>
      <w:r>
        <w:rPr>
          <w:rFonts w:hint="eastAsia" w:ascii="宋体" w:hAnsi="宋体" w:cs="宋体"/>
          <w:color w:val="000000"/>
          <w:sz w:val="24"/>
        </w:rPr>
        <w:t>　　1.1.6.3交工：指《公路工程竣（交）工验收办法》中的交工。通用合同条款中“竣工”一词具有相同含义。</w:t>
      </w:r>
    </w:p>
    <w:p w14:paraId="555B8918">
      <w:pPr>
        <w:spacing w:line="360" w:lineRule="auto"/>
        <w:rPr>
          <w:rFonts w:ascii="宋体" w:hAnsi="宋体" w:cs="宋体"/>
          <w:color w:val="000000"/>
          <w:sz w:val="24"/>
        </w:rPr>
      </w:pPr>
      <w:r>
        <w:rPr>
          <w:rFonts w:hint="eastAsia" w:ascii="宋体" w:hAnsi="宋体" w:cs="宋体"/>
          <w:color w:val="000000"/>
          <w:sz w:val="24"/>
        </w:rPr>
        <w:t>　　1.1.6.4交工验收：指《公路工程竣（交）工验收办法》中的交工验收。通用合同条款中“竣工验收”一词具有相同含义。</w:t>
      </w:r>
    </w:p>
    <w:p w14:paraId="5F4C37DA">
      <w:pPr>
        <w:spacing w:line="360" w:lineRule="auto"/>
        <w:rPr>
          <w:rFonts w:ascii="宋体" w:hAnsi="宋体" w:cs="宋体"/>
          <w:color w:val="000000"/>
          <w:sz w:val="24"/>
        </w:rPr>
      </w:pPr>
      <w:r>
        <w:rPr>
          <w:rFonts w:hint="eastAsia" w:ascii="宋体" w:hAnsi="宋体" w:cs="宋体"/>
          <w:color w:val="000000"/>
          <w:sz w:val="24"/>
        </w:rPr>
        <w:t>　　1.1.6.5交工验收证书：指《公路工程竣（交）工验收办法》中的交工验收证书。通用合同条款中“工程接收证书”一词具有相同含义。</w:t>
      </w:r>
    </w:p>
    <w:p w14:paraId="58A511A4">
      <w:pPr>
        <w:spacing w:line="360" w:lineRule="auto"/>
        <w:rPr>
          <w:rFonts w:ascii="宋体" w:hAnsi="宋体" w:cs="宋体"/>
          <w:color w:val="000000"/>
          <w:sz w:val="24"/>
        </w:rPr>
      </w:pPr>
      <w:r>
        <w:rPr>
          <w:rFonts w:hint="eastAsia" w:ascii="宋体" w:hAnsi="宋体" w:cs="宋体"/>
          <w:color w:val="000000"/>
          <w:sz w:val="24"/>
        </w:rPr>
        <w:t>　　1.1.6.6转包：指承包人违反法律和不履行合同规定的责任和义务，将中标工程全部委托或以专业分包的名义将中标工程肢解后全部委托给其他施工企业施工的行为。</w:t>
      </w:r>
    </w:p>
    <w:p w14:paraId="4BA4C17D">
      <w:pPr>
        <w:spacing w:line="360" w:lineRule="auto"/>
        <w:rPr>
          <w:rFonts w:ascii="宋体" w:hAnsi="宋体" w:cs="宋体"/>
          <w:color w:val="000000"/>
          <w:sz w:val="24"/>
        </w:rPr>
      </w:pPr>
      <w:r>
        <w:rPr>
          <w:rFonts w:hint="eastAsia" w:ascii="宋体" w:hAnsi="宋体" w:cs="宋体"/>
          <w:color w:val="000000"/>
          <w:sz w:val="24"/>
        </w:rPr>
        <w:t>　　1.1.6.7专业分包：指承包人与具有相应资格的施工企业签订专业分包合同，由分包人承担承包人委托的分部工程、分项工程或适合专业化队伍施工的其他工程，整体结算，并能独立控制质量要求、施工进度、材料采购、生产安全的施工行为。</w:t>
      </w:r>
    </w:p>
    <w:p w14:paraId="16FBD21C">
      <w:pPr>
        <w:spacing w:line="360" w:lineRule="auto"/>
        <w:rPr>
          <w:rFonts w:ascii="宋体" w:hAnsi="宋体" w:cs="宋体"/>
          <w:color w:val="000000"/>
          <w:sz w:val="24"/>
        </w:rPr>
      </w:pPr>
      <w:r>
        <w:rPr>
          <w:rFonts w:hint="eastAsia" w:ascii="宋体" w:hAnsi="宋体" w:cs="宋体"/>
          <w:color w:val="000000"/>
          <w:sz w:val="24"/>
        </w:rPr>
        <w:t>　　1.1.6.8劳务分包：指承包人与具有施工劳务资质的劳务企业签订劳务分包合同，由劳务企业提供劳务人员及机具，由承包人统一组织施工、统一控制质量要求、施工进度、材料采购、生产安全的施工行为。</w:t>
      </w:r>
    </w:p>
    <w:p w14:paraId="2D162ABF">
      <w:pPr>
        <w:spacing w:line="360" w:lineRule="auto"/>
        <w:rPr>
          <w:rFonts w:ascii="宋体" w:hAnsi="宋体" w:cs="宋体"/>
          <w:color w:val="000000"/>
          <w:sz w:val="24"/>
        </w:rPr>
      </w:pPr>
      <w:r>
        <w:rPr>
          <w:rFonts w:hint="eastAsia" w:ascii="宋体" w:hAnsi="宋体" w:cs="宋体"/>
          <w:color w:val="000000"/>
          <w:sz w:val="24"/>
        </w:rPr>
        <w:t>　　1.1.6.9雇用民工：指承包人与具有相应劳动能力的自然人签订劳动合同，由承包人统一组织管理，从事分项工程施工或配套工程施工的行为。</w:t>
      </w:r>
    </w:p>
    <w:p w14:paraId="2BC84575">
      <w:pPr>
        <w:spacing w:line="360" w:lineRule="auto"/>
        <w:rPr>
          <w:rFonts w:ascii="宋体" w:hAnsi="宋体" w:cs="宋体"/>
          <w:b/>
          <w:color w:val="000000"/>
          <w:kern w:val="0"/>
          <w:sz w:val="24"/>
        </w:rPr>
      </w:pPr>
      <w:bookmarkStart w:id="144" w:name="_Toc514414280"/>
      <w:bookmarkStart w:id="145" w:name="_Toc19440"/>
      <w:bookmarkStart w:id="146" w:name="_Toc19042"/>
      <w:r>
        <w:rPr>
          <w:rFonts w:hint="eastAsia" w:ascii="宋体" w:hAnsi="宋体" w:cs="宋体"/>
          <w:b/>
          <w:color w:val="000000"/>
          <w:kern w:val="0"/>
          <w:sz w:val="24"/>
        </w:rPr>
        <w:t>1.4．合同文件的优先顺序</w:t>
      </w:r>
      <w:bookmarkEnd w:id="144"/>
      <w:bookmarkEnd w:id="145"/>
      <w:bookmarkEnd w:id="146"/>
    </w:p>
    <w:p w14:paraId="64380B09">
      <w:pPr>
        <w:spacing w:line="360" w:lineRule="auto"/>
        <w:rPr>
          <w:rFonts w:ascii="宋体" w:hAnsi="宋体" w:cs="宋体"/>
          <w:color w:val="000000"/>
          <w:sz w:val="24"/>
        </w:rPr>
      </w:pPr>
      <w:r>
        <w:rPr>
          <w:rFonts w:hint="eastAsia" w:ascii="宋体" w:hAnsi="宋体" w:cs="宋体"/>
          <w:color w:val="000000"/>
          <w:sz w:val="24"/>
        </w:rPr>
        <w:t>　　本款约定为：</w:t>
      </w:r>
    </w:p>
    <w:p w14:paraId="62C5AF9E">
      <w:pPr>
        <w:spacing w:line="360" w:lineRule="auto"/>
        <w:rPr>
          <w:rFonts w:ascii="宋体" w:hAnsi="宋体" w:cs="宋体"/>
          <w:color w:val="000000"/>
          <w:sz w:val="24"/>
        </w:rPr>
      </w:pPr>
      <w:r>
        <w:rPr>
          <w:rFonts w:hint="eastAsia" w:ascii="宋体" w:hAnsi="宋体" w:cs="宋体"/>
          <w:color w:val="000000"/>
          <w:sz w:val="24"/>
        </w:rPr>
        <w:t>　　组成合同的各项文件应互相解释，互为说明。除项目专用合同条款另有约定外，解释合同文件的优先顺序如下：</w:t>
      </w:r>
    </w:p>
    <w:p w14:paraId="68F32008">
      <w:pPr>
        <w:spacing w:line="360" w:lineRule="auto"/>
        <w:rPr>
          <w:rFonts w:ascii="宋体" w:hAnsi="宋体" w:cs="宋体"/>
          <w:color w:val="000000"/>
          <w:sz w:val="24"/>
        </w:rPr>
      </w:pPr>
      <w:r>
        <w:rPr>
          <w:rFonts w:hint="eastAsia" w:ascii="宋体" w:hAnsi="宋体" w:cs="宋体"/>
          <w:color w:val="000000"/>
          <w:sz w:val="24"/>
        </w:rPr>
        <w:t>　　（1）合同协议书及各种合同附件（含评标期间和合同谈判过程中的澄清文件和补充资料）；</w:t>
      </w:r>
    </w:p>
    <w:p w14:paraId="7F701199">
      <w:pPr>
        <w:spacing w:line="360" w:lineRule="auto"/>
        <w:rPr>
          <w:rFonts w:ascii="宋体" w:hAnsi="宋体" w:cs="宋体"/>
          <w:color w:val="000000"/>
          <w:sz w:val="24"/>
        </w:rPr>
      </w:pPr>
      <w:r>
        <w:rPr>
          <w:rFonts w:hint="eastAsia" w:ascii="宋体" w:hAnsi="宋体" w:cs="宋体"/>
          <w:color w:val="000000"/>
          <w:sz w:val="24"/>
        </w:rPr>
        <w:t>　　（2）中标通知书；</w:t>
      </w:r>
    </w:p>
    <w:p w14:paraId="0B5B62D7">
      <w:pPr>
        <w:spacing w:line="360" w:lineRule="auto"/>
        <w:rPr>
          <w:rFonts w:ascii="宋体" w:hAnsi="宋体" w:cs="宋体"/>
          <w:color w:val="000000"/>
          <w:sz w:val="24"/>
        </w:rPr>
      </w:pPr>
      <w:r>
        <w:rPr>
          <w:rFonts w:hint="eastAsia" w:ascii="宋体" w:hAnsi="宋体" w:cs="宋体"/>
          <w:color w:val="000000"/>
          <w:sz w:val="24"/>
        </w:rPr>
        <w:t>　　（3）投标函及投标函附录；</w:t>
      </w:r>
    </w:p>
    <w:p w14:paraId="27EE97A9">
      <w:pPr>
        <w:spacing w:line="360" w:lineRule="auto"/>
        <w:rPr>
          <w:rFonts w:ascii="宋体" w:hAnsi="宋体" w:cs="宋体"/>
          <w:color w:val="000000"/>
          <w:sz w:val="24"/>
        </w:rPr>
      </w:pPr>
      <w:r>
        <w:rPr>
          <w:rFonts w:hint="eastAsia" w:ascii="宋体" w:hAnsi="宋体" w:cs="宋体"/>
          <w:color w:val="000000"/>
          <w:sz w:val="24"/>
        </w:rPr>
        <w:t>　　（4）项目专用合同条款；</w:t>
      </w:r>
    </w:p>
    <w:p w14:paraId="6D9D5A1B">
      <w:pPr>
        <w:spacing w:line="360" w:lineRule="auto"/>
        <w:rPr>
          <w:rFonts w:ascii="宋体" w:hAnsi="宋体" w:cs="宋体"/>
          <w:color w:val="000000"/>
          <w:sz w:val="24"/>
        </w:rPr>
      </w:pPr>
      <w:r>
        <w:rPr>
          <w:rFonts w:hint="eastAsia" w:ascii="宋体" w:hAnsi="宋体" w:cs="宋体"/>
          <w:color w:val="000000"/>
          <w:sz w:val="24"/>
        </w:rPr>
        <w:t>　　（5）公路工程专用合同条款；</w:t>
      </w:r>
    </w:p>
    <w:p w14:paraId="116CAE5C">
      <w:pPr>
        <w:spacing w:line="360" w:lineRule="auto"/>
        <w:rPr>
          <w:rFonts w:ascii="宋体" w:hAnsi="宋体" w:cs="宋体"/>
          <w:color w:val="000000"/>
          <w:sz w:val="24"/>
        </w:rPr>
      </w:pPr>
      <w:r>
        <w:rPr>
          <w:rFonts w:hint="eastAsia" w:ascii="宋体" w:hAnsi="宋体" w:cs="宋体"/>
          <w:color w:val="000000"/>
          <w:sz w:val="24"/>
        </w:rPr>
        <w:t>　　（6）通用合同条款；</w:t>
      </w:r>
    </w:p>
    <w:p w14:paraId="126204E6">
      <w:pPr>
        <w:spacing w:line="360" w:lineRule="auto"/>
        <w:rPr>
          <w:rFonts w:ascii="宋体" w:hAnsi="宋体" w:cs="宋体"/>
          <w:color w:val="000000"/>
          <w:sz w:val="24"/>
        </w:rPr>
      </w:pPr>
      <w:r>
        <w:rPr>
          <w:rFonts w:hint="eastAsia" w:ascii="宋体" w:hAnsi="宋体" w:cs="宋体"/>
          <w:color w:val="000000"/>
          <w:sz w:val="24"/>
        </w:rPr>
        <w:t>　　（7）工程量清单计量规则；</w:t>
      </w:r>
    </w:p>
    <w:p w14:paraId="2489434E">
      <w:pPr>
        <w:spacing w:line="360" w:lineRule="auto"/>
        <w:rPr>
          <w:rFonts w:ascii="宋体" w:hAnsi="宋体" w:cs="宋体"/>
          <w:color w:val="000000"/>
          <w:sz w:val="24"/>
        </w:rPr>
      </w:pPr>
      <w:r>
        <w:rPr>
          <w:rFonts w:hint="eastAsia" w:ascii="宋体" w:hAnsi="宋体" w:cs="宋体"/>
          <w:color w:val="000000"/>
          <w:sz w:val="24"/>
        </w:rPr>
        <w:t>　　（8）技术规范；</w:t>
      </w:r>
    </w:p>
    <w:p w14:paraId="7071ABFA">
      <w:pPr>
        <w:spacing w:line="360" w:lineRule="auto"/>
        <w:rPr>
          <w:rFonts w:ascii="宋体" w:hAnsi="宋体" w:cs="宋体"/>
          <w:color w:val="000000"/>
          <w:sz w:val="24"/>
        </w:rPr>
      </w:pPr>
      <w:r>
        <w:rPr>
          <w:rFonts w:hint="eastAsia" w:ascii="宋体" w:hAnsi="宋体" w:cs="宋体"/>
          <w:color w:val="000000"/>
          <w:sz w:val="24"/>
        </w:rPr>
        <w:t>　　（9）图纸；</w:t>
      </w:r>
    </w:p>
    <w:p w14:paraId="13A22085">
      <w:pPr>
        <w:spacing w:line="360" w:lineRule="auto"/>
        <w:rPr>
          <w:rFonts w:ascii="宋体" w:hAnsi="宋体" w:cs="宋体"/>
          <w:color w:val="000000"/>
          <w:sz w:val="24"/>
        </w:rPr>
      </w:pPr>
      <w:r>
        <w:rPr>
          <w:rFonts w:hint="eastAsia" w:ascii="宋体" w:hAnsi="宋体" w:cs="宋体"/>
          <w:color w:val="000000"/>
          <w:sz w:val="24"/>
        </w:rPr>
        <w:t>　　（10）已标价工程量清单；</w:t>
      </w:r>
    </w:p>
    <w:p w14:paraId="40B7CAE4">
      <w:pPr>
        <w:spacing w:line="360" w:lineRule="auto"/>
        <w:rPr>
          <w:rFonts w:ascii="宋体" w:hAnsi="宋体" w:cs="宋体"/>
          <w:color w:val="000000"/>
          <w:sz w:val="24"/>
        </w:rPr>
      </w:pPr>
      <w:r>
        <w:rPr>
          <w:rFonts w:hint="eastAsia" w:ascii="宋体" w:hAnsi="宋体" w:cs="宋体"/>
          <w:color w:val="000000"/>
          <w:sz w:val="24"/>
        </w:rPr>
        <w:t>　　（11）承包人有关人员、设备投入的承诺及投标文件中的施工组织设计；</w:t>
      </w:r>
    </w:p>
    <w:p w14:paraId="4FE67DA4">
      <w:pPr>
        <w:spacing w:line="360" w:lineRule="auto"/>
        <w:rPr>
          <w:rFonts w:ascii="宋体" w:hAnsi="宋体" w:cs="宋体"/>
          <w:color w:val="000000"/>
          <w:sz w:val="24"/>
        </w:rPr>
      </w:pPr>
      <w:r>
        <w:rPr>
          <w:rFonts w:hint="eastAsia" w:ascii="宋体" w:hAnsi="宋体" w:cs="宋体"/>
          <w:color w:val="000000"/>
          <w:sz w:val="24"/>
        </w:rPr>
        <w:t>　　（12）其他合同文件。</w:t>
      </w:r>
    </w:p>
    <w:p w14:paraId="40CB356A">
      <w:pPr>
        <w:spacing w:line="360" w:lineRule="auto"/>
        <w:rPr>
          <w:rFonts w:ascii="宋体" w:hAnsi="宋体" w:cs="宋体"/>
          <w:b/>
          <w:color w:val="000000"/>
          <w:kern w:val="0"/>
          <w:sz w:val="24"/>
        </w:rPr>
      </w:pPr>
      <w:bookmarkStart w:id="147" w:name="_Toc514414281"/>
      <w:bookmarkStart w:id="148" w:name="_Toc28160"/>
      <w:bookmarkStart w:id="149" w:name="_Toc17694"/>
      <w:r>
        <w:rPr>
          <w:rFonts w:hint="eastAsia" w:ascii="宋体" w:hAnsi="宋体" w:cs="宋体"/>
          <w:b/>
          <w:color w:val="000000"/>
          <w:kern w:val="0"/>
          <w:sz w:val="24"/>
        </w:rPr>
        <w:t>1.5．合同协议书</w:t>
      </w:r>
      <w:bookmarkEnd w:id="147"/>
      <w:bookmarkEnd w:id="148"/>
      <w:bookmarkEnd w:id="149"/>
    </w:p>
    <w:p w14:paraId="12E1E276">
      <w:pPr>
        <w:spacing w:line="360" w:lineRule="auto"/>
        <w:rPr>
          <w:rFonts w:ascii="宋体" w:hAnsi="宋体" w:cs="宋体"/>
          <w:color w:val="000000"/>
          <w:sz w:val="24"/>
        </w:rPr>
      </w:pPr>
      <w:r>
        <w:rPr>
          <w:rFonts w:hint="eastAsia" w:ascii="宋体" w:hAnsi="宋体" w:cs="宋体"/>
          <w:color w:val="000000"/>
          <w:sz w:val="24"/>
        </w:rPr>
        <w:t>　　本款补充：</w:t>
      </w:r>
    </w:p>
    <w:p w14:paraId="2AC54B8C">
      <w:pPr>
        <w:spacing w:line="360" w:lineRule="auto"/>
        <w:rPr>
          <w:rFonts w:ascii="宋体" w:hAnsi="宋体" w:cs="宋体"/>
          <w:color w:val="000000"/>
          <w:sz w:val="24"/>
        </w:rPr>
      </w:pPr>
      <w:r>
        <w:rPr>
          <w:rFonts w:hint="eastAsia" w:ascii="宋体" w:hAnsi="宋体" w:cs="宋体"/>
          <w:color w:val="000000"/>
          <w:sz w:val="24"/>
        </w:rPr>
        <w:t>　　制备本合同文件的费用由发包人承担。在合同协议书签订并生效之前，投标函和中标通知书将对双方具有约束力。</w:t>
      </w:r>
    </w:p>
    <w:p w14:paraId="114F3E9A">
      <w:pPr>
        <w:spacing w:line="360" w:lineRule="auto"/>
        <w:rPr>
          <w:rFonts w:ascii="宋体" w:hAnsi="宋体" w:cs="宋体"/>
          <w:b/>
          <w:color w:val="000000"/>
          <w:kern w:val="0"/>
          <w:sz w:val="24"/>
        </w:rPr>
      </w:pPr>
      <w:bookmarkStart w:id="150" w:name="_Toc31985"/>
      <w:bookmarkStart w:id="151" w:name="_Toc14009"/>
      <w:bookmarkStart w:id="152" w:name="_Toc514414282"/>
      <w:r>
        <w:rPr>
          <w:rFonts w:hint="eastAsia" w:ascii="宋体" w:hAnsi="宋体" w:cs="宋体"/>
          <w:b/>
          <w:color w:val="000000"/>
          <w:kern w:val="0"/>
          <w:sz w:val="24"/>
        </w:rPr>
        <w:t>1.6．图纸和承包人文件</w:t>
      </w:r>
      <w:bookmarkEnd w:id="150"/>
      <w:bookmarkEnd w:id="151"/>
      <w:bookmarkEnd w:id="152"/>
    </w:p>
    <w:p w14:paraId="6751F444">
      <w:pPr>
        <w:spacing w:line="360" w:lineRule="auto"/>
        <w:rPr>
          <w:rFonts w:ascii="宋体" w:hAnsi="宋体" w:cs="宋体"/>
          <w:b/>
          <w:color w:val="000000"/>
          <w:sz w:val="24"/>
        </w:rPr>
      </w:pPr>
      <w:r>
        <w:rPr>
          <w:rFonts w:hint="eastAsia" w:ascii="宋体" w:hAnsi="宋体" w:cs="宋体"/>
          <w:b/>
          <w:color w:val="000000"/>
          <w:sz w:val="24"/>
        </w:rPr>
        <w:t>　　1.6.1图纸的提供</w:t>
      </w:r>
    </w:p>
    <w:p w14:paraId="7FC640E4">
      <w:pPr>
        <w:spacing w:line="360" w:lineRule="auto"/>
        <w:rPr>
          <w:rFonts w:ascii="宋体" w:hAnsi="宋体" w:cs="宋体"/>
          <w:color w:val="000000"/>
          <w:sz w:val="24"/>
        </w:rPr>
      </w:pPr>
      <w:r>
        <w:rPr>
          <w:rFonts w:hint="eastAsia" w:ascii="宋体" w:hAnsi="宋体" w:cs="宋体"/>
          <w:color w:val="000000"/>
          <w:sz w:val="24"/>
        </w:rPr>
        <w:t>　　本项细化为：</w:t>
      </w:r>
    </w:p>
    <w:p w14:paraId="4DD65B4A">
      <w:pPr>
        <w:spacing w:line="360" w:lineRule="auto"/>
        <w:rPr>
          <w:rFonts w:ascii="宋体" w:hAnsi="宋体" w:cs="宋体"/>
          <w:color w:val="000000"/>
          <w:sz w:val="24"/>
        </w:rPr>
      </w:pPr>
      <w:r>
        <w:rPr>
          <w:rFonts w:hint="eastAsia" w:ascii="宋体" w:hAnsi="宋体" w:cs="宋体"/>
          <w:color w:val="000000"/>
          <w:sz w:val="24"/>
        </w:rPr>
        <w:t>　　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计划工期延误的，按第11.3款的约定办理。</w:t>
      </w:r>
    </w:p>
    <w:p w14:paraId="2F46FFF7">
      <w:pPr>
        <w:spacing w:line="360" w:lineRule="auto"/>
        <w:rPr>
          <w:rFonts w:ascii="宋体" w:hAnsi="宋体" w:cs="宋体"/>
          <w:b/>
          <w:color w:val="000000"/>
          <w:sz w:val="24"/>
        </w:rPr>
      </w:pPr>
      <w:r>
        <w:rPr>
          <w:rFonts w:hint="eastAsia" w:ascii="宋体" w:hAnsi="宋体" w:cs="宋体"/>
          <w:b/>
          <w:color w:val="000000"/>
          <w:sz w:val="24"/>
        </w:rPr>
        <w:t>　　1.6.2承包人提供的文件</w:t>
      </w:r>
    </w:p>
    <w:p w14:paraId="13DF4558">
      <w:pPr>
        <w:spacing w:line="360" w:lineRule="auto"/>
        <w:rPr>
          <w:rFonts w:ascii="宋体" w:hAnsi="宋体" w:cs="宋体"/>
          <w:color w:val="000000"/>
          <w:sz w:val="24"/>
        </w:rPr>
      </w:pPr>
      <w:r>
        <w:rPr>
          <w:rFonts w:hint="eastAsia" w:ascii="宋体" w:hAnsi="宋体" w:cs="宋体"/>
          <w:color w:val="000000"/>
          <w:sz w:val="24"/>
        </w:rPr>
        <w:t>　　本项细化为：</w:t>
      </w:r>
    </w:p>
    <w:p w14:paraId="49FAD3DE">
      <w:pPr>
        <w:spacing w:line="360" w:lineRule="auto"/>
        <w:rPr>
          <w:rFonts w:ascii="宋体" w:hAnsi="宋体" w:cs="宋体"/>
          <w:color w:val="000000"/>
          <w:sz w:val="24"/>
        </w:rPr>
      </w:pPr>
      <w:r>
        <w:rPr>
          <w:rFonts w:hint="eastAsia" w:ascii="宋体" w:hAnsi="宋体" w:cs="宋体"/>
          <w:color w:val="000000"/>
          <w:sz w:val="24"/>
        </w:rPr>
        <w:t>　　有下列情形之一的，承包人应免费向监理人提交相关部分工程的施工图纸3份，并附必要的计算书、技术资料，或施工工艺图、设备安装图及安装设备的使用和维护手册各2份供监理人批准。</w:t>
      </w:r>
    </w:p>
    <w:p w14:paraId="30714796">
      <w:pPr>
        <w:spacing w:line="360" w:lineRule="auto"/>
        <w:rPr>
          <w:rFonts w:ascii="宋体" w:hAnsi="宋体" w:cs="宋体"/>
          <w:color w:val="000000"/>
          <w:sz w:val="24"/>
        </w:rPr>
      </w:pPr>
      <w:r>
        <w:rPr>
          <w:rFonts w:hint="eastAsia" w:ascii="宋体" w:hAnsi="宋体" w:cs="宋体"/>
          <w:color w:val="000000"/>
          <w:sz w:val="24"/>
        </w:rPr>
        <w:t>　　（1）为使第1.6.1项所述的施工图纸适合于经施工测量后的纵、横断面；</w:t>
      </w:r>
    </w:p>
    <w:p w14:paraId="7B82EDF3">
      <w:pPr>
        <w:spacing w:line="360" w:lineRule="auto"/>
        <w:rPr>
          <w:rFonts w:ascii="宋体" w:hAnsi="宋体" w:cs="宋体"/>
          <w:color w:val="000000"/>
          <w:sz w:val="24"/>
        </w:rPr>
      </w:pPr>
      <w:r>
        <w:rPr>
          <w:rFonts w:hint="eastAsia" w:ascii="宋体" w:hAnsi="宋体" w:cs="宋体"/>
          <w:color w:val="000000"/>
          <w:sz w:val="24"/>
        </w:rPr>
        <w:t>　　（2）为使第1.6.1项所述的施工图纸适合于现场具体地形；</w:t>
      </w:r>
    </w:p>
    <w:p w14:paraId="69F9A442">
      <w:pPr>
        <w:spacing w:line="360" w:lineRule="auto"/>
        <w:rPr>
          <w:rFonts w:ascii="宋体" w:hAnsi="宋体" w:cs="宋体"/>
          <w:color w:val="000000"/>
          <w:sz w:val="24"/>
        </w:rPr>
      </w:pPr>
      <w:r>
        <w:rPr>
          <w:rFonts w:hint="eastAsia" w:ascii="宋体" w:hAnsi="宋体" w:cs="宋体"/>
          <w:color w:val="000000"/>
          <w:sz w:val="24"/>
        </w:rPr>
        <w:t>　　（3）为使第1.6.1项所述的施工图纸适合于因尺寸与位置变化而引起局部变更；</w:t>
      </w:r>
    </w:p>
    <w:p w14:paraId="783B8DA2">
      <w:pPr>
        <w:spacing w:line="360" w:lineRule="auto"/>
        <w:rPr>
          <w:rFonts w:ascii="宋体" w:hAnsi="宋体" w:cs="宋体"/>
          <w:color w:val="000000"/>
          <w:sz w:val="24"/>
        </w:rPr>
      </w:pPr>
      <w:r>
        <w:rPr>
          <w:rFonts w:hint="eastAsia" w:ascii="宋体" w:hAnsi="宋体" w:cs="宋体"/>
          <w:color w:val="000000"/>
          <w:sz w:val="24"/>
        </w:rPr>
        <w:t>　　（4）由于合同要求与施工需要。</w:t>
      </w:r>
    </w:p>
    <w:p w14:paraId="02DE2697">
      <w:pPr>
        <w:spacing w:line="360" w:lineRule="auto"/>
        <w:rPr>
          <w:rFonts w:ascii="宋体" w:hAnsi="宋体" w:cs="宋体"/>
          <w:color w:val="000000"/>
          <w:sz w:val="24"/>
        </w:rPr>
      </w:pPr>
      <w:r>
        <w:rPr>
          <w:rFonts w:hint="eastAsia" w:ascii="宋体" w:hAnsi="宋体" w:cs="宋体"/>
          <w:color w:val="000000"/>
          <w:sz w:val="24"/>
        </w:rPr>
        <w:t>　　此类图纸应按监理人规定的格式和图幅绘制。监理人在收到由承包人绘制的上述工程、工艺图纸、计算书和有关技术资料后14天内应予批准或提出修改要求，承包人应按监理人提出的要求作出修改，重新向监理人提交，监理人应在7天内批准或提出进一步的修改意见。</w:t>
      </w:r>
    </w:p>
    <w:p w14:paraId="2CE9435A">
      <w:pPr>
        <w:spacing w:line="360" w:lineRule="auto"/>
        <w:rPr>
          <w:rFonts w:ascii="宋体" w:hAnsi="宋体" w:cs="宋体"/>
          <w:b/>
          <w:color w:val="000000"/>
          <w:sz w:val="24"/>
        </w:rPr>
      </w:pPr>
      <w:r>
        <w:rPr>
          <w:rFonts w:hint="eastAsia" w:ascii="宋体" w:hAnsi="宋体" w:cs="宋体"/>
          <w:b/>
          <w:color w:val="000000"/>
          <w:sz w:val="24"/>
        </w:rPr>
        <w:t>　　1.6.4图纸的错误</w:t>
      </w:r>
    </w:p>
    <w:p w14:paraId="2F31880F">
      <w:pPr>
        <w:spacing w:line="360" w:lineRule="auto"/>
        <w:rPr>
          <w:rFonts w:ascii="宋体" w:hAnsi="宋体" w:cs="宋体"/>
          <w:color w:val="000000"/>
          <w:sz w:val="24"/>
        </w:rPr>
      </w:pPr>
      <w:r>
        <w:rPr>
          <w:rFonts w:hint="eastAsia" w:ascii="宋体" w:hAnsi="宋体" w:cs="宋体"/>
          <w:color w:val="000000"/>
          <w:sz w:val="24"/>
        </w:rPr>
        <w:t>　　本项细化为：</w:t>
      </w:r>
    </w:p>
    <w:p w14:paraId="41890144">
      <w:pPr>
        <w:spacing w:line="360" w:lineRule="auto"/>
        <w:rPr>
          <w:rFonts w:ascii="宋体" w:hAnsi="宋体" w:cs="宋体"/>
          <w:color w:val="000000"/>
          <w:sz w:val="24"/>
        </w:rPr>
      </w:pPr>
      <w:r>
        <w:rPr>
          <w:rFonts w:hint="eastAsia" w:ascii="宋体" w:hAnsi="宋体" w:cs="宋体"/>
          <w:color w:val="000000"/>
          <w:sz w:val="24"/>
        </w:rPr>
        <w:t>　　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66C0F4E8">
      <w:pPr>
        <w:spacing w:line="360" w:lineRule="auto"/>
        <w:rPr>
          <w:rFonts w:ascii="宋体" w:hAnsi="宋体" w:cs="宋体"/>
          <w:b/>
          <w:color w:val="000000"/>
          <w:kern w:val="0"/>
          <w:sz w:val="24"/>
        </w:rPr>
      </w:pPr>
      <w:bookmarkStart w:id="153" w:name="_Toc8019"/>
      <w:bookmarkStart w:id="154" w:name="_Toc514414283"/>
      <w:bookmarkStart w:id="155" w:name="_Toc23941"/>
      <w:r>
        <w:rPr>
          <w:rFonts w:hint="eastAsia" w:ascii="宋体" w:hAnsi="宋体" w:cs="宋体"/>
          <w:b/>
          <w:color w:val="000000"/>
          <w:kern w:val="0"/>
          <w:sz w:val="24"/>
        </w:rPr>
        <w:t>1.9．严禁贿赂</w:t>
      </w:r>
      <w:bookmarkEnd w:id="153"/>
      <w:bookmarkEnd w:id="154"/>
      <w:bookmarkEnd w:id="155"/>
    </w:p>
    <w:p w14:paraId="4B18609D">
      <w:pPr>
        <w:spacing w:line="360" w:lineRule="auto"/>
        <w:rPr>
          <w:rFonts w:ascii="宋体" w:hAnsi="宋体" w:cs="宋体"/>
          <w:color w:val="000000"/>
          <w:sz w:val="24"/>
        </w:rPr>
      </w:pPr>
      <w:r>
        <w:rPr>
          <w:rFonts w:hint="eastAsia" w:ascii="宋体" w:hAnsi="宋体" w:cs="宋体"/>
          <w:color w:val="000000"/>
          <w:sz w:val="24"/>
        </w:rPr>
        <w:t>　　本款补充：</w:t>
      </w:r>
    </w:p>
    <w:p w14:paraId="28FD5CDD">
      <w:pPr>
        <w:spacing w:line="360" w:lineRule="auto"/>
        <w:rPr>
          <w:rFonts w:ascii="宋体" w:hAnsi="宋体" w:cs="宋体"/>
          <w:color w:val="000000"/>
          <w:sz w:val="24"/>
        </w:rPr>
      </w:pPr>
      <w:r>
        <w:rPr>
          <w:rFonts w:hint="eastAsia" w:ascii="宋体" w:hAnsi="宋体" w:cs="宋体"/>
          <w:color w:val="000000"/>
          <w:sz w:val="24"/>
        </w:rPr>
        <w:t>　　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601BD377">
      <w:pPr>
        <w:spacing w:line="360" w:lineRule="auto"/>
        <w:rPr>
          <w:rFonts w:ascii="宋体" w:hAnsi="宋体" w:cs="宋体"/>
          <w:b/>
          <w:color w:val="000000"/>
          <w:kern w:val="0"/>
          <w:sz w:val="24"/>
        </w:rPr>
      </w:pPr>
      <w:bookmarkStart w:id="156" w:name="_Toc21713"/>
      <w:bookmarkStart w:id="157" w:name="_Toc514414284"/>
      <w:bookmarkStart w:id="158" w:name="_Toc32038"/>
      <w:r>
        <w:rPr>
          <w:rFonts w:hint="eastAsia" w:ascii="宋体" w:hAnsi="宋体" w:cs="宋体"/>
          <w:b/>
          <w:color w:val="000000"/>
          <w:kern w:val="0"/>
          <w:sz w:val="24"/>
        </w:rPr>
        <w:t>2．发包人义务</w:t>
      </w:r>
      <w:bookmarkEnd w:id="156"/>
      <w:bookmarkEnd w:id="157"/>
      <w:bookmarkEnd w:id="158"/>
    </w:p>
    <w:p w14:paraId="2494C877">
      <w:pPr>
        <w:spacing w:line="360" w:lineRule="auto"/>
        <w:rPr>
          <w:rFonts w:ascii="宋体" w:hAnsi="宋体" w:cs="宋体"/>
          <w:b/>
          <w:color w:val="000000"/>
          <w:kern w:val="0"/>
          <w:sz w:val="24"/>
        </w:rPr>
      </w:pPr>
      <w:bookmarkStart w:id="159" w:name="_Toc514414285"/>
      <w:bookmarkStart w:id="160" w:name="_Toc23910"/>
      <w:bookmarkStart w:id="161" w:name="_Toc12245"/>
      <w:r>
        <w:rPr>
          <w:rFonts w:hint="eastAsia" w:ascii="宋体" w:hAnsi="宋体" w:cs="宋体"/>
          <w:b/>
          <w:color w:val="000000"/>
          <w:kern w:val="0"/>
          <w:sz w:val="24"/>
        </w:rPr>
        <w:t>2.3．提供施工场地</w:t>
      </w:r>
      <w:bookmarkEnd w:id="159"/>
      <w:bookmarkEnd w:id="160"/>
      <w:bookmarkEnd w:id="161"/>
    </w:p>
    <w:p w14:paraId="3939B90C">
      <w:pPr>
        <w:spacing w:line="360" w:lineRule="auto"/>
        <w:rPr>
          <w:rFonts w:ascii="宋体" w:hAnsi="宋体" w:cs="宋体"/>
          <w:color w:val="000000"/>
          <w:sz w:val="24"/>
        </w:rPr>
      </w:pPr>
      <w:r>
        <w:rPr>
          <w:rFonts w:hint="eastAsia" w:ascii="宋体" w:hAnsi="宋体" w:cs="宋体"/>
          <w:color w:val="000000"/>
          <w:sz w:val="24"/>
        </w:rPr>
        <w:t>　　本款补充：</w:t>
      </w:r>
    </w:p>
    <w:p w14:paraId="1EA69ACC">
      <w:pPr>
        <w:spacing w:line="360" w:lineRule="auto"/>
        <w:rPr>
          <w:rFonts w:ascii="宋体" w:hAnsi="宋体" w:cs="宋体"/>
          <w:color w:val="000000"/>
          <w:sz w:val="24"/>
        </w:rPr>
      </w:pPr>
      <w:r>
        <w:rPr>
          <w:rFonts w:hint="eastAsia" w:ascii="宋体" w:hAnsi="宋体" w:cs="宋体"/>
          <w:color w:val="000000"/>
          <w:sz w:val="24"/>
        </w:rPr>
        <w:t>　　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14:paraId="49DBECD3">
      <w:pPr>
        <w:spacing w:line="360" w:lineRule="auto"/>
        <w:rPr>
          <w:rFonts w:ascii="宋体" w:hAnsi="宋体" w:cs="宋体"/>
          <w:color w:val="000000"/>
          <w:sz w:val="24"/>
        </w:rPr>
      </w:pPr>
      <w:r>
        <w:rPr>
          <w:rFonts w:hint="eastAsia" w:ascii="宋体" w:hAnsi="宋体" w:cs="宋体"/>
          <w:color w:val="000000"/>
          <w:sz w:val="24"/>
        </w:rPr>
        <w:t>　　由于发包人未能按照本项规定办妥永久占地征用手续，影响承包人及时使用永久占地造成的费用增加和（或）计划工期延误应由发包人承担。由于承包人未能按照本项规定提交占地计划，影响发包人办理永久占地征用手续造成的费用增加和（或）计划工期延误由承包人承担。</w:t>
      </w:r>
    </w:p>
    <w:p w14:paraId="4D5B70B8">
      <w:pPr>
        <w:spacing w:line="360" w:lineRule="auto"/>
        <w:rPr>
          <w:rFonts w:ascii="宋体" w:hAnsi="宋体" w:cs="宋体"/>
          <w:b/>
          <w:color w:val="000000"/>
          <w:kern w:val="0"/>
          <w:sz w:val="24"/>
        </w:rPr>
      </w:pPr>
      <w:bookmarkStart w:id="162" w:name="_Toc19891"/>
      <w:bookmarkStart w:id="163" w:name="_Toc28892"/>
      <w:bookmarkStart w:id="164" w:name="_Toc514414286"/>
      <w:r>
        <w:rPr>
          <w:rFonts w:hint="eastAsia" w:ascii="宋体" w:hAnsi="宋体" w:cs="宋体"/>
          <w:b/>
          <w:color w:val="000000"/>
          <w:kern w:val="0"/>
          <w:sz w:val="24"/>
        </w:rPr>
        <w:t>3．监理人</w:t>
      </w:r>
      <w:bookmarkEnd w:id="162"/>
      <w:bookmarkEnd w:id="163"/>
      <w:bookmarkEnd w:id="164"/>
    </w:p>
    <w:p w14:paraId="1518C01C">
      <w:pPr>
        <w:spacing w:line="360" w:lineRule="auto"/>
        <w:rPr>
          <w:rFonts w:ascii="宋体" w:hAnsi="宋体" w:cs="宋体"/>
          <w:b/>
          <w:color w:val="000000"/>
          <w:kern w:val="0"/>
          <w:sz w:val="24"/>
        </w:rPr>
      </w:pPr>
      <w:bookmarkStart w:id="165" w:name="_Toc15206"/>
      <w:bookmarkStart w:id="166" w:name="_Toc7764"/>
      <w:bookmarkStart w:id="167" w:name="_Toc514414287"/>
      <w:r>
        <w:rPr>
          <w:rFonts w:hint="eastAsia" w:ascii="宋体" w:hAnsi="宋体" w:cs="宋体"/>
          <w:b/>
          <w:color w:val="000000"/>
          <w:kern w:val="0"/>
          <w:sz w:val="24"/>
        </w:rPr>
        <w:t>3.1．监理人的职责和权力</w:t>
      </w:r>
      <w:bookmarkEnd w:id="165"/>
      <w:bookmarkEnd w:id="166"/>
      <w:bookmarkEnd w:id="167"/>
    </w:p>
    <w:p w14:paraId="3BF9B154">
      <w:pPr>
        <w:spacing w:line="360" w:lineRule="auto"/>
        <w:rPr>
          <w:rFonts w:ascii="宋体" w:hAnsi="宋体" w:cs="宋体"/>
          <w:color w:val="000000"/>
          <w:sz w:val="24"/>
        </w:rPr>
      </w:pPr>
      <w:r>
        <w:rPr>
          <w:rFonts w:hint="eastAsia" w:ascii="宋体" w:hAnsi="宋体" w:cs="宋体"/>
          <w:color w:val="000000"/>
          <w:sz w:val="24"/>
        </w:rPr>
        <w:t>　　第3.1.1项补充：</w:t>
      </w:r>
    </w:p>
    <w:p w14:paraId="500B01D7">
      <w:pPr>
        <w:spacing w:line="360" w:lineRule="auto"/>
        <w:rPr>
          <w:rFonts w:ascii="宋体" w:hAnsi="宋体" w:cs="宋体"/>
          <w:color w:val="000000"/>
          <w:sz w:val="24"/>
        </w:rPr>
      </w:pPr>
      <w:r>
        <w:rPr>
          <w:rFonts w:hint="eastAsia" w:ascii="宋体" w:hAnsi="宋体" w:cs="宋体"/>
          <w:color w:val="000000"/>
          <w:sz w:val="24"/>
        </w:rPr>
        <w:t>　　监理人在行使下列权力前需要经发包人事先批准：</w:t>
      </w:r>
    </w:p>
    <w:p w14:paraId="5EAF00B2">
      <w:pPr>
        <w:spacing w:line="360" w:lineRule="auto"/>
        <w:rPr>
          <w:rFonts w:ascii="宋体" w:hAnsi="宋体" w:cs="宋体"/>
          <w:color w:val="000000"/>
          <w:sz w:val="24"/>
        </w:rPr>
      </w:pPr>
      <w:r>
        <w:rPr>
          <w:rFonts w:hint="eastAsia" w:ascii="宋体" w:hAnsi="宋体" w:cs="宋体"/>
          <w:color w:val="000000"/>
          <w:sz w:val="24"/>
        </w:rPr>
        <w:t>　　（1）根据第4.3款，同意分包本工程的某些非关键性工作或者适合专业化队伍施工的专项工程；</w:t>
      </w:r>
    </w:p>
    <w:p w14:paraId="005488EC">
      <w:pPr>
        <w:spacing w:line="360" w:lineRule="auto"/>
        <w:rPr>
          <w:rFonts w:ascii="宋体" w:hAnsi="宋体" w:cs="宋体"/>
          <w:color w:val="000000"/>
          <w:sz w:val="24"/>
        </w:rPr>
      </w:pPr>
      <w:r>
        <w:rPr>
          <w:rFonts w:hint="eastAsia" w:ascii="宋体" w:hAnsi="宋体" w:cs="宋体"/>
          <w:color w:val="000000"/>
          <w:sz w:val="24"/>
        </w:rPr>
        <w:t>　　（2）确定第4.11款下产生的费用增加额；</w:t>
      </w:r>
    </w:p>
    <w:p w14:paraId="691C8EF7">
      <w:pPr>
        <w:spacing w:line="360" w:lineRule="auto"/>
        <w:rPr>
          <w:rFonts w:ascii="宋体" w:hAnsi="宋体" w:cs="宋体"/>
          <w:color w:val="000000"/>
          <w:sz w:val="24"/>
        </w:rPr>
      </w:pPr>
      <w:r>
        <w:rPr>
          <w:rFonts w:hint="eastAsia" w:ascii="宋体" w:hAnsi="宋体" w:cs="宋体"/>
          <w:color w:val="000000"/>
          <w:sz w:val="24"/>
        </w:rPr>
        <w:t>　　（3）根据第11.1款、第12.3款、第12.4款发布开工通知、暂停施工指示或复工通知；</w:t>
      </w:r>
    </w:p>
    <w:p w14:paraId="3BDA96CD">
      <w:pPr>
        <w:spacing w:line="360" w:lineRule="auto"/>
        <w:rPr>
          <w:rFonts w:ascii="宋体" w:hAnsi="宋体" w:cs="宋体"/>
          <w:color w:val="000000"/>
          <w:sz w:val="24"/>
        </w:rPr>
      </w:pPr>
      <w:r>
        <w:rPr>
          <w:rFonts w:hint="eastAsia" w:ascii="宋体" w:hAnsi="宋体" w:cs="宋体"/>
          <w:color w:val="000000"/>
          <w:sz w:val="24"/>
        </w:rPr>
        <w:t>　　（4）决定第11.3款、第11.4款下的计划工期延长；</w:t>
      </w:r>
    </w:p>
    <w:p w14:paraId="50C8B4DE">
      <w:pPr>
        <w:spacing w:line="360" w:lineRule="auto"/>
        <w:rPr>
          <w:rFonts w:ascii="宋体" w:hAnsi="宋体" w:cs="宋体"/>
          <w:color w:val="000000"/>
          <w:sz w:val="24"/>
        </w:rPr>
      </w:pPr>
      <w:r>
        <w:rPr>
          <w:rFonts w:hint="eastAsia" w:ascii="宋体" w:hAnsi="宋体" w:cs="宋体"/>
          <w:color w:val="000000"/>
          <w:sz w:val="24"/>
        </w:rPr>
        <w:t>　　（5）审查批准技术方案或设计的变更；</w:t>
      </w:r>
    </w:p>
    <w:p w14:paraId="76B94F92">
      <w:pPr>
        <w:spacing w:line="360" w:lineRule="auto"/>
        <w:rPr>
          <w:rFonts w:ascii="宋体" w:hAnsi="宋体" w:cs="宋体"/>
          <w:color w:val="000000"/>
          <w:sz w:val="24"/>
        </w:rPr>
      </w:pPr>
      <w:r>
        <w:rPr>
          <w:rFonts w:hint="eastAsia" w:ascii="宋体" w:hAnsi="宋体" w:cs="宋体"/>
          <w:color w:val="000000"/>
          <w:sz w:val="24"/>
        </w:rPr>
        <w:t>　　（6）根据第15.3款发出的变更指示，其单项工程变更或累计变更涉及的金额超过了项目专用合同条款数据表中规定的金额；</w:t>
      </w:r>
    </w:p>
    <w:p w14:paraId="18530E91">
      <w:pPr>
        <w:spacing w:line="360" w:lineRule="auto"/>
        <w:rPr>
          <w:rFonts w:ascii="宋体" w:hAnsi="宋体" w:cs="宋体"/>
          <w:color w:val="000000"/>
          <w:sz w:val="24"/>
        </w:rPr>
      </w:pPr>
      <w:r>
        <w:rPr>
          <w:rFonts w:hint="eastAsia" w:ascii="宋体" w:hAnsi="宋体" w:cs="宋体"/>
          <w:color w:val="000000"/>
          <w:sz w:val="24"/>
        </w:rPr>
        <w:t>　　（7）确定第15.4款下变更工作的单价；</w:t>
      </w:r>
    </w:p>
    <w:p w14:paraId="2FD9C988">
      <w:pPr>
        <w:spacing w:line="360" w:lineRule="auto"/>
        <w:rPr>
          <w:rFonts w:ascii="宋体" w:hAnsi="宋体" w:cs="宋体"/>
          <w:color w:val="000000"/>
          <w:sz w:val="24"/>
        </w:rPr>
      </w:pPr>
      <w:r>
        <w:rPr>
          <w:rFonts w:hint="eastAsia" w:ascii="宋体" w:hAnsi="宋体" w:cs="宋体"/>
          <w:color w:val="000000"/>
          <w:sz w:val="24"/>
        </w:rPr>
        <w:t>　　（8）按照第15.6款决定有关暂列金额的使用；</w:t>
      </w:r>
    </w:p>
    <w:p w14:paraId="6BBA14E8">
      <w:pPr>
        <w:spacing w:line="360" w:lineRule="auto"/>
        <w:rPr>
          <w:rFonts w:ascii="宋体" w:hAnsi="宋体" w:cs="宋体"/>
          <w:color w:val="000000"/>
          <w:sz w:val="24"/>
        </w:rPr>
      </w:pPr>
      <w:r>
        <w:rPr>
          <w:rFonts w:hint="eastAsia" w:ascii="宋体" w:hAnsi="宋体" w:cs="宋体"/>
          <w:color w:val="000000"/>
          <w:sz w:val="24"/>
        </w:rPr>
        <w:t>　　（9）确定第15.8款下的暂估价金额；</w:t>
      </w:r>
    </w:p>
    <w:p w14:paraId="11950B69">
      <w:pPr>
        <w:spacing w:line="360" w:lineRule="auto"/>
        <w:rPr>
          <w:rFonts w:ascii="宋体" w:hAnsi="宋体" w:cs="宋体"/>
          <w:color w:val="000000"/>
          <w:sz w:val="24"/>
        </w:rPr>
      </w:pPr>
      <w:r>
        <w:rPr>
          <w:rFonts w:hint="eastAsia" w:ascii="宋体" w:hAnsi="宋体" w:cs="宋体"/>
          <w:color w:val="000000"/>
          <w:sz w:val="24"/>
        </w:rPr>
        <w:t>　　（10）确定第23.1款下的索赔额。</w:t>
      </w:r>
    </w:p>
    <w:p w14:paraId="02C83355">
      <w:pPr>
        <w:spacing w:line="360" w:lineRule="auto"/>
        <w:rPr>
          <w:rFonts w:ascii="宋体" w:hAnsi="宋体" w:cs="宋体"/>
          <w:color w:val="000000"/>
          <w:sz w:val="24"/>
        </w:rPr>
      </w:pPr>
      <w:r>
        <w:rPr>
          <w:rFonts w:hint="eastAsia" w:ascii="宋体" w:hAnsi="宋体" w:cs="宋体"/>
          <w:color w:val="000000"/>
          <w:sz w:val="24"/>
        </w:rPr>
        <w:t>　　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14:paraId="452C327E">
      <w:pPr>
        <w:spacing w:line="360" w:lineRule="auto"/>
        <w:rPr>
          <w:rFonts w:ascii="宋体" w:hAnsi="宋体" w:cs="宋体"/>
          <w:b/>
          <w:color w:val="000000"/>
          <w:kern w:val="0"/>
          <w:sz w:val="24"/>
        </w:rPr>
      </w:pPr>
      <w:bookmarkStart w:id="168" w:name="_Toc2505"/>
      <w:bookmarkStart w:id="169" w:name="_Toc514414288"/>
      <w:bookmarkStart w:id="170" w:name="_Toc198"/>
      <w:r>
        <w:rPr>
          <w:rFonts w:hint="eastAsia" w:ascii="宋体" w:hAnsi="宋体" w:cs="宋体"/>
          <w:b/>
          <w:color w:val="000000"/>
          <w:kern w:val="0"/>
          <w:sz w:val="24"/>
        </w:rPr>
        <w:t>3.5．商定或确定</w:t>
      </w:r>
      <w:bookmarkEnd w:id="168"/>
      <w:bookmarkEnd w:id="169"/>
      <w:bookmarkEnd w:id="170"/>
    </w:p>
    <w:p w14:paraId="31CDBFBB">
      <w:pPr>
        <w:spacing w:line="360" w:lineRule="auto"/>
        <w:rPr>
          <w:rFonts w:ascii="宋体" w:hAnsi="宋体" w:cs="宋体"/>
          <w:color w:val="000000"/>
          <w:sz w:val="24"/>
        </w:rPr>
      </w:pPr>
      <w:r>
        <w:rPr>
          <w:rFonts w:hint="eastAsia" w:ascii="宋体" w:hAnsi="宋体" w:cs="宋体"/>
          <w:color w:val="000000"/>
          <w:sz w:val="24"/>
        </w:rPr>
        <w:t>　　第3.5.1项补充：</w:t>
      </w:r>
    </w:p>
    <w:p w14:paraId="54FB5829">
      <w:pPr>
        <w:spacing w:line="360" w:lineRule="auto"/>
        <w:rPr>
          <w:rFonts w:ascii="宋体" w:hAnsi="宋体" w:cs="宋体"/>
          <w:color w:val="000000"/>
          <w:sz w:val="24"/>
        </w:rPr>
      </w:pPr>
      <w:r>
        <w:rPr>
          <w:rFonts w:hint="eastAsia" w:ascii="宋体" w:hAnsi="宋体" w:cs="宋体"/>
          <w:color w:val="000000"/>
          <w:sz w:val="24"/>
        </w:rPr>
        <w:t>　　如果这项商定或确定导致费用增加和（或）计划工期延长，或者涉及确定变更工程的价格，则总监理工程师在发出通知前，应征得发包人的同意。</w:t>
      </w:r>
    </w:p>
    <w:p w14:paraId="7C737813">
      <w:pPr>
        <w:spacing w:line="360" w:lineRule="auto"/>
        <w:rPr>
          <w:rFonts w:ascii="宋体" w:hAnsi="宋体" w:cs="宋体"/>
          <w:b/>
          <w:color w:val="000000"/>
          <w:kern w:val="0"/>
          <w:sz w:val="24"/>
        </w:rPr>
      </w:pPr>
      <w:bookmarkStart w:id="171" w:name="_Toc514414289"/>
      <w:bookmarkStart w:id="172" w:name="_Toc13405"/>
      <w:bookmarkStart w:id="173" w:name="_Toc10638"/>
      <w:r>
        <w:rPr>
          <w:rFonts w:hint="eastAsia" w:ascii="宋体" w:hAnsi="宋体" w:cs="宋体"/>
          <w:b/>
          <w:color w:val="000000"/>
          <w:kern w:val="0"/>
          <w:sz w:val="24"/>
        </w:rPr>
        <w:t>4．承包人</w:t>
      </w:r>
      <w:bookmarkEnd w:id="171"/>
      <w:bookmarkEnd w:id="172"/>
      <w:bookmarkEnd w:id="173"/>
    </w:p>
    <w:p w14:paraId="4989036C">
      <w:pPr>
        <w:spacing w:line="360" w:lineRule="auto"/>
        <w:rPr>
          <w:rFonts w:ascii="宋体" w:hAnsi="宋体" w:cs="宋体"/>
          <w:b/>
          <w:color w:val="000000"/>
          <w:kern w:val="0"/>
          <w:sz w:val="24"/>
        </w:rPr>
      </w:pPr>
      <w:bookmarkStart w:id="174" w:name="_Toc514414290"/>
      <w:bookmarkStart w:id="175" w:name="_Toc30016"/>
      <w:bookmarkStart w:id="176" w:name="_Toc30301"/>
      <w:r>
        <w:rPr>
          <w:rFonts w:hint="eastAsia" w:ascii="宋体" w:hAnsi="宋体" w:cs="宋体"/>
          <w:b/>
          <w:color w:val="000000"/>
          <w:kern w:val="0"/>
          <w:sz w:val="24"/>
        </w:rPr>
        <w:t>4.1．承包人的一般义务</w:t>
      </w:r>
      <w:bookmarkEnd w:id="174"/>
      <w:bookmarkEnd w:id="175"/>
      <w:bookmarkEnd w:id="176"/>
    </w:p>
    <w:p w14:paraId="3223A3A2">
      <w:pPr>
        <w:spacing w:line="360" w:lineRule="auto"/>
        <w:rPr>
          <w:rFonts w:ascii="宋体" w:hAnsi="宋体" w:cs="宋体"/>
          <w:b/>
          <w:color w:val="000000"/>
          <w:sz w:val="24"/>
        </w:rPr>
      </w:pPr>
      <w:r>
        <w:rPr>
          <w:rFonts w:hint="eastAsia" w:ascii="宋体" w:hAnsi="宋体" w:cs="宋体"/>
          <w:b/>
          <w:color w:val="000000"/>
          <w:sz w:val="24"/>
        </w:rPr>
        <w:t>　　4.1.9工程的维护和照管</w:t>
      </w:r>
    </w:p>
    <w:p w14:paraId="55013D2D">
      <w:pPr>
        <w:spacing w:line="360" w:lineRule="auto"/>
        <w:rPr>
          <w:rFonts w:ascii="宋体" w:hAnsi="宋体" w:cs="宋体"/>
          <w:color w:val="000000"/>
          <w:sz w:val="24"/>
        </w:rPr>
      </w:pPr>
      <w:r>
        <w:rPr>
          <w:rFonts w:hint="eastAsia" w:ascii="宋体" w:hAnsi="宋体" w:cs="宋体"/>
          <w:color w:val="000000"/>
          <w:sz w:val="24"/>
        </w:rPr>
        <w:t>　　本项细化为：</w:t>
      </w:r>
    </w:p>
    <w:p w14:paraId="1D1616DA">
      <w:pPr>
        <w:spacing w:line="360" w:lineRule="auto"/>
        <w:rPr>
          <w:rFonts w:ascii="宋体" w:hAnsi="宋体" w:cs="宋体"/>
          <w:color w:val="000000"/>
          <w:sz w:val="24"/>
        </w:rPr>
      </w:pPr>
      <w:r>
        <w:rPr>
          <w:rFonts w:hint="eastAsia" w:ascii="宋体" w:hAnsi="宋体" w:cs="宋体"/>
          <w:color w:val="000000"/>
          <w:sz w:val="24"/>
        </w:rPr>
        <w:t>　　（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4CD62D4D">
      <w:pPr>
        <w:spacing w:line="360" w:lineRule="auto"/>
        <w:rPr>
          <w:rFonts w:ascii="宋体" w:hAnsi="宋体" w:cs="宋体"/>
          <w:color w:val="000000"/>
          <w:sz w:val="24"/>
        </w:rPr>
      </w:pPr>
      <w:r>
        <w:rPr>
          <w:rFonts w:hint="eastAsia" w:ascii="宋体" w:hAnsi="宋体" w:cs="宋体"/>
          <w:color w:val="000000"/>
          <w:sz w:val="24"/>
        </w:rPr>
        <w:t>　　（2）在承包人负责照管与维护期间，如果本工程或材料、设备等发生损失或损害，除不可抗力原因之外，承包人均应自费弥补，并达到合同要求。承包人还应对按第19条规定而实施作业过程中由承包人造成的对工程的任何损失或损害负责。</w:t>
      </w:r>
    </w:p>
    <w:p w14:paraId="04399931">
      <w:pPr>
        <w:spacing w:line="360" w:lineRule="auto"/>
        <w:rPr>
          <w:rFonts w:ascii="宋体" w:hAnsi="宋体" w:cs="宋体"/>
          <w:b/>
          <w:color w:val="000000"/>
          <w:sz w:val="24"/>
        </w:rPr>
      </w:pPr>
      <w:r>
        <w:rPr>
          <w:rFonts w:hint="eastAsia" w:ascii="宋体" w:hAnsi="宋体" w:cs="宋体"/>
          <w:b/>
          <w:color w:val="000000"/>
          <w:sz w:val="24"/>
        </w:rPr>
        <w:t>　　4.1.10其他义务</w:t>
      </w:r>
    </w:p>
    <w:p w14:paraId="297E11BF">
      <w:pPr>
        <w:spacing w:line="360" w:lineRule="auto"/>
        <w:rPr>
          <w:rFonts w:ascii="宋体" w:hAnsi="宋体" w:cs="宋体"/>
          <w:color w:val="000000"/>
          <w:sz w:val="24"/>
        </w:rPr>
      </w:pPr>
      <w:r>
        <w:rPr>
          <w:rFonts w:hint="eastAsia" w:ascii="宋体" w:hAnsi="宋体" w:cs="宋体"/>
          <w:color w:val="000000"/>
          <w:sz w:val="24"/>
        </w:rPr>
        <w:t>　　本项细化为：</w:t>
      </w:r>
    </w:p>
    <w:p w14:paraId="0423BB8D">
      <w:pPr>
        <w:spacing w:line="360" w:lineRule="auto"/>
        <w:rPr>
          <w:rFonts w:ascii="宋体" w:hAnsi="宋体" w:cs="宋体"/>
          <w:color w:val="000000"/>
          <w:sz w:val="24"/>
        </w:rPr>
      </w:pPr>
      <w:r>
        <w:rPr>
          <w:rFonts w:hint="eastAsia" w:ascii="宋体" w:hAnsi="宋体" w:cs="宋体"/>
          <w:color w:val="000000"/>
          <w:sz w:val="24"/>
        </w:rPr>
        <w:t>　　（1）临时占地由承包人向当地政府土地管理部门申请，并办理租用手续，承包人按有关规定直接支付其费用，发包人对此将予以协调。</w:t>
      </w:r>
    </w:p>
    <w:p w14:paraId="3E2BF682">
      <w:pPr>
        <w:spacing w:line="360" w:lineRule="auto"/>
        <w:rPr>
          <w:rFonts w:ascii="宋体" w:hAnsi="宋体" w:cs="宋体"/>
          <w:color w:val="000000"/>
          <w:sz w:val="24"/>
        </w:rPr>
      </w:pPr>
      <w:r>
        <w:rPr>
          <w:rFonts w:hint="eastAsia" w:ascii="宋体" w:hAnsi="宋体" w:cs="宋体"/>
          <w:color w:val="000000"/>
          <w:sz w:val="24"/>
        </w:rPr>
        <w:t>　　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100章中由承包人按总额报价。　　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7EB3CE31">
      <w:pPr>
        <w:spacing w:line="360" w:lineRule="auto"/>
        <w:rPr>
          <w:rFonts w:ascii="宋体" w:hAnsi="宋体" w:cs="宋体"/>
          <w:color w:val="000000"/>
          <w:sz w:val="24"/>
        </w:rPr>
      </w:pPr>
      <w:r>
        <w:rPr>
          <w:rFonts w:hint="eastAsia" w:ascii="宋体" w:hAnsi="宋体" w:cs="宋体"/>
          <w:color w:val="000000"/>
          <w:sz w:val="24"/>
        </w:rPr>
        <w:t>　　（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7AD49087">
      <w:pPr>
        <w:spacing w:line="360" w:lineRule="auto"/>
        <w:rPr>
          <w:rFonts w:ascii="宋体" w:hAnsi="宋体" w:cs="宋体"/>
          <w:color w:val="000000"/>
          <w:sz w:val="24"/>
        </w:rPr>
      </w:pPr>
      <w:r>
        <w:rPr>
          <w:rFonts w:hint="eastAsia" w:ascii="宋体" w:hAnsi="宋体" w:cs="宋体"/>
          <w:color w:val="000000"/>
          <w:sz w:val="24"/>
        </w:rPr>
        <w:t>　　（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549F5F3B">
      <w:pPr>
        <w:spacing w:line="360" w:lineRule="auto"/>
        <w:rPr>
          <w:rFonts w:ascii="宋体" w:hAnsi="宋体" w:cs="宋体"/>
          <w:color w:val="000000"/>
          <w:sz w:val="24"/>
        </w:rPr>
      </w:pPr>
      <w:r>
        <w:rPr>
          <w:rFonts w:hint="eastAsia" w:ascii="宋体" w:hAnsi="宋体" w:cs="宋体"/>
          <w:color w:val="000000"/>
          <w:sz w:val="24"/>
        </w:rPr>
        <w:t>　　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7EB65098">
      <w:pPr>
        <w:spacing w:line="360" w:lineRule="auto"/>
        <w:rPr>
          <w:rFonts w:ascii="宋体" w:hAnsi="宋体" w:cs="宋体"/>
          <w:color w:val="000000"/>
          <w:sz w:val="24"/>
        </w:rPr>
      </w:pPr>
      <w:r>
        <w:rPr>
          <w:rFonts w:hint="eastAsia" w:ascii="宋体" w:hAnsi="宋体" w:cs="宋体"/>
          <w:color w:val="000000"/>
          <w:sz w:val="24"/>
        </w:rPr>
        <w:t>　　工资支付表应如实记录支付单位、支付时间、支付对象、支付数额、支付对象的身份证号和签字等信息。民工花名册和工资支付表应报监理人备查。</w:t>
      </w:r>
    </w:p>
    <w:p w14:paraId="39F980A5">
      <w:pPr>
        <w:spacing w:line="360" w:lineRule="auto"/>
        <w:rPr>
          <w:rFonts w:ascii="宋体" w:hAnsi="宋体" w:cs="宋体"/>
          <w:color w:val="000000"/>
          <w:sz w:val="24"/>
        </w:rPr>
      </w:pPr>
      <w:r>
        <w:rPr>
          <w:rFonts w:hint="eastAsia" w:ascii="宋体" w:hAnsi="宋体" w:cs="宋体"/>
          <w:color w:val="000000"/>
          <w:sz w:val="24"/>
        </w:rPr>
        <w:t>　　（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37DB438D">
      <w:pPr>
        <w:spacing w:line="360" w:lineRule="auto"/>
        <w:rPr>
          <w:rFonts w:ascii="宋体" w:hAnsi="宋体" w:cs="宋体"/>
          <w:color w:val="000000"/>
          <w:sz w:val="24"/>
        </w:rPr>
      </w:pPr>
      <w:r>
        <w:rPr>
          <w:rFonts w:hint="eastAsia" w:ascii="宋体" w:hAnsi="宋体" w:cs="宋体"/>
          <w:color w:val="000000"/>
          <w:sz w:val="24"/>
        </w:rPr>
        <w:t>　　（5）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t>
      </w:r>
    </w:p>
    <w:p w14:paraId="241A9811">
      <w:pPr>
        <w:spacing w:line="360" w:lineRule="auto"/>
        <w:rPr>
          <w:rFonts w:ascii="宋体" w:hAnsi="宋体" w:cs="宋体"/>
          <w:color w:val="000000"/>
          <w:sz w:val="24"/>
        </w:rPr>
      </w:pPr>
      <w:r>
        <w:rPr>
          <w:rFonts w:hint="eastAsia" w:ascii="宋体" w:hAnsi="宋体" w:cs="宋体"/>
          <w:color w:val="000000"/>
          <w:sz w:val="24"/>
        </w:rPr>
        <w:t>　　（6）承包人应履行项目专用合同条款约定的其他义务。</w:t>
      </w:r>
    </w:p>
    <w:p w14:paraId="01B00BC5">
      <w:pPr>
        <w:spacing w:line="360" w:lineRule="auto"/>
        <w:rPr>
          <w:rFonts w:ascii="宋体" w:hAnsi="宋体" w:cs="宋体"/>
          <w:b/>
          <w:color w:val="000000"/>
          <w:kern w:val="0"/>
          <w:sz w:val="24"/>
        </w:rPr>
      </w:pPr>
      <w:bookmarkStart w:id="177" w:name="_Toc23773"/>
      <w:bookmarkStart w:id="178" w:name="_Toc514414291"/>
      <w:bookmarkStart w:id="179" w:name="_Toc8769"/>
      <w:r>
        <w:rPr>
          <w:rFonts w:hint="eastAsia" w:ascii="宋体" w:hAnsi="宋体" w:cs="宋体"/>
          <w:b/>
          <w:color w:val="000000"/>
          <w:kern w:val="0"/>
          <w:sz w:val="24"/>
        </w:rPr>
        <w:t>4.2．履约保证金</w:t>
      </w:r>
      <w:bookmarkEnd w:id="177"/>
      <w:bookmarkEnd w:id="178"/>
      <w:bookmarkEnd w:id="179"/>
    </w:p>
    <w:p w14:paraId="6FE61556">
      <w:pPr>
        <w:spacing w:line="360" w:lineRule="auto"/>
        <w:rPr>
          <w:rFonts w:ascii="宋体" w:hAnsi="宋体" w:cs="宋体"/>
          <w:color w:val="000000"/>
          <w:sz w:val="24"/>
        </w:rPr>
      </w:pPr>
      <w:r>
        <w:rPr>
          <w:rFonts w:hint="eastAsia" w:ascii="宋体" w:hAnsi="宋体" w:cs="宋体"/>
          <w:color w:val="000000"/>
          <w:sz w:val="24"/>
        </w:rPr>
        <w:t>　　本款细化为：</w:t>
      </w:r>
    </w:p>
    <w:p w14:paraId="067ABEA8">
      <w:pPr>
        <w:spacing w:line="360" w:lineRule="auto"/>
        <w:rPr>
          <w:rFonts w:ascii="宋体" w:hAnsi="宋体" w:cs="宋体"/>
          <w:color w:val="000000"/>
          <w:sz w:val="24"/>
        </w:rPr>
      </w:pPr>
      <w:r>
        <w:rPr>
          <w:rFonts w:hint="eastAsia" w:ascii="宋体" w:hAnsi="宋体" w:cs="宋体"/>
          <w:color w:val="000000"/>
          <w:sz w:val="24"/>
        </w:rPr>
        <w:t>　　承包人应保证其履约保证金在发包人签发交工验收证书且承包人按照合同约定缴纳质量保证金前一直有效。发包人应在收到承包人缴纳的质量保证金后28天内将履约保证金退还给承包人。</w:t>
      </w:r>
    </w:p>
    <w:p w14:paraId="6225FA28">
      <w:pPr>
        <w:spacing w:line="360" w:lineRule="auto"/>
        <w:rPr>
          <w:rFonts w:ascii="宋体" w:hAnsi="宋体" w:cs="宋体"/>
          <w:color w:val="000000"/>
          <w:sz w:val="24"/>
        </w:rPr>
      </w:pPr>
      <w:r>
        <w:rPr>
          <w:rFonts w:hint="eastAsia" w:ascii="宋体" w:hAnsi="宋体" w:cs="宋体"/>
          <w:color w:val="000000"/>
          <w:sz w:val="24"/>
        </w:rPr>
        <w:t>　　承包人拒绝按照本合同约定缴纳质量保证金的，发包人有权从交工付款证书中扣留相应金额作为质量保证金，或者直接将履约保证金金额用于保证承包人在缺陷责任期内履行缺陷修复义务。</w:t>
      </w:r>
    </w:p>
    <w:p w14:paraId="72E5358C">
      <w:pPr>
        <w:spacing w:line="360" w:lineRule="auto"/>
        <w:rPr>
          <w:rFonts w:ascii="宋体" w:hAnsi="宋体" w:cs="宋体"/>
          <w:b/>
          <w:color w:val="000000"/>
          <w:kern w:val="0"/>
          <w:sz w:val="24"/>
        </w:rPr>
      </w:pPr>
      <w:bookmarkStart w:id="180" w:name="_Toc514414292"/>
      <w:bookmarkStart w:id="181" w:name="_Toc28762"/>
      <w:bookmarkStart w:id="182" w:name="_Toc8925"/>
      <w:r>
        <w:rPr>
          <w:rFonts w:hint="eastAsia" w:ascii="宋体" w:hAnsi="宋体" w:cs="宋体"/>
          <w:b/>
          <w:color w:val="000000"/>
          <w:kern w:val="0"/>
          <w:sz w:val="24"/>
        </w:rPr>
        <w:t>4.3．分包</w:t>
      </w:r>
      <w:bookmarkEnd w:id="180"/>
      <w:bookmarkEnd w:id="181"/>
      <w:bookmarkEnd w:id="182"/>
    </w:p>
    <w:p w14:paraId="5D882AB8">
      <w:pPr>
        <w:spacing w:line="360" w:lineRule="auto"/>
        <w:rPr>
          <w:rFonts w:ascii="宋体" w:hAnsi="宋体" w:cs="宋体"/>
          <w:color w:val="000000"/>
          <w:sz w:val="24"/>
        </w:rPr>
      </w:pPr>
      <w:r>
        <w:rPr>
          <w:rFonts w:hint="eastAsia" w:ascii="宋体" w:hAnsi="宋体" w:cs="宋体"/>
          <w:color w:val="000000"/>
          <w:sz w:val="24"/>
        </w:rPr>
        <w:t>　　第4.3.2项～第4.3.4项细化为：</w:t>
      </w:r>
    </w:p>
    <w:p w14:paraId="76DBFEB3">
      <w:pPr>
        <w:spacing w:line="360" w:lineRule="auto"/>
        <w:rPr>
          <w:rFonts w:ascii="宋体" w:hAnsi="宋体" w:cs="宋体"/>
          <w:color w:val="000000"/>
          <w:sz w:val="24"/>
        </w:rPr>
      </w:pPr>
      <w:r>
        <w:rPr>
          <w:rFonts w:hint="eastAsia" w:ascii="宋体" w:hAnsi="宋体" w:cs="宋体"/>
          <w:color w:val="000000"/>
          <w:sz w:val="24"/>
        </w:rPr>
        <w:t>　　4.3.2承包人不得将工程关键性工作分包给第三人。经发包人同意，承包人可将工程的其他部分或工作分包给第三人。分包包括专业分包和劳务分包。</w:t>
      </w:r>
    </w:p>
    <w:p w14:paraId="224BC92B">
      <w:pPr>
        <w:spacing w:line="360" w:lineRule="auto"/>
        <w:rPr>
          <w:rFonts w:ascii="宋体" w:hAnsi="宋体" w:cs="宋体"/>
          <w:color w:val="000000"/>
          <w:sz w:val="24"/>
        </w:rPr>
      </w:pPr>
      <w:r>
        <w:rPr>
          <w:rFonts w:hint="eastAsia" w:ascii="宋体" w:hAnsi="宋体" w:cs="宋体"/>
          <w:color w:val="000000"/>
          <w:sz w:val="24"/>
        </w:rPr>
        <w:t>　　4.3.3专业分包</w:t>
      </w:r>
    </w:p>
    <w:p w14:paraId="7D9D7BA1">
      <w:pPr>
        <w:spacing w:line="360" w:lineRule="auto"/>
        <w:rPr>
          <w:rFonts w:ascii="宋体" w:hAnsi="宋体" w:cs="宋体"/>
          <w:color w:val="000000"/>
          <w:sz w:val="24"/>
        </w:rPr>
      </w:pPr>
      <w:r>
        <w:rPr>
          <w:rFonts w:hint="eastAsia" w:ascii="宋体" w:hAnsi="宋体" w:cs="宋体"/>
          <w:color w:val="000000"/>
          <w:sz w:val="24"/>
        </w:rPr>
        <w:t>　　在工程施工过程中，承包人进行专业分包必须遵守以下规定：</w:t>
      </w:r>
    </w:p>
    <w:p w14:paraId="54135984">
      <w:pPr>
        <w:spacing w:line="360" w:lineRule="auto"/>
        <w:rPr>
          <w:rFonts w:ascii="宋体" w:hAnsi="宋体" w:cs="宋体"/>
          <w:color w:val="000000"/>
          <w:sz w:val="24"/>
        </w:rPr>
      </w:pPr>
      <w:r>
        <w:rPr>
          <w:rFonts w:hint="eastAsia" w:ascii="宋体" w:hAnsi="宋体" w:cs="宋体"/>
          <w:color w:val="000000"/>
          <w:sz w:val="24"/>
        </w:rPr>
        <w:t>　　（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33E75FFD">
      <w:pPr>
        <w:spacing w:line="360" w:lineRule="auto"/>
        <w:rPr>
          <w:rFonts w:ascii="宋体" w:hAnsi="宋体" w:cs="宋体"/>
          <w:color w:val="000000"/>
          <w:sz w:val="24"/>
        </w:rPr>
      </w:pPr>
      <w:r>
        <w:rPr>
          <w:rFonts w:hint="eastAsia" w:ascii="宋体" w:hAnsi="宋体" w:cs="宋体"/>
          <w:color w:val="000000"/>
          <w:sz w:val="24"/>
        </w:rPr>
        <w:t>　　（2）专业分包人的资格能力（含安全生产能力）应与其分包工程的标准和规模相适应，且应当具备如下条件：</w:t>
      </w:r>
    </w:p>
    <w:p w14:paraId="5E511B34">
      <w:pPr>
        <w:spacing w:line="360" w:lineRule="auto"/>
        <w:rPr>
          <w:rFonts w:ascii="宋体" w:hAnsi="宋体" w:cs="宋体"/>
          <w:color w:val="000000"/>
          <w:sz w:val="24"/>
        </w:rPr>
      </w:pPr>
      <w:r>
        <w:rPr>
          <w:rFonts w:hint="eastAsia" w:ascii="宋体" w:hAnsi="宋体" w:cs="宋体"/>
          <w:color w:val="000000"/>
          <w:sz w:val="24"/>
        </w:rPr>
        <w:t>　　a.具有经工商登记的法人资格；</w:t>
      </w:r>
    </w:p>
    <w:p w14:paraId="70C640FD">
      <w:pPr>
        <w:spacing w:line="360" w:lineRule="auto"/>
        <w:rPr>
          <w:rFonts w:ascii="宋体" w:hAnsi="宋体" w:cs="宋体"/>
          <w:color w:val="000000"/>
          <w:sz w:val="24"/>
        </w:rPr>
      </w:pPr>
      <w:r>
        <w:rPr>
          <w:rFonts w:hint="eastAsia" w:ascii="宋体" w:hAnsi="宋体" w:cs="宋体"/>
          <w:color w:val="000000"/>
          <w:sz w:val="24"/>
        </w:rPr>
        <w:t>　　b.具有从事类似工程经验的管理与技术人员；</w:t>
      </w:r>
    </w:p>
    <w:p w14:paraId="1FC97F47">
      <w:pPr>
        <w:spacing w:line="360" w:lineRule="auto"/>
        <w:rPr>
          <w:rFonts w:ascii="宋体" w:hAnsi="宋体" w:cs="宋体"/>
          <w:color w:val="000000"/>
          <w:sz w:val="24"/>
        </w:rPr>
      </w:pPr>
      <w:r>
        <w:rPr>
          <w:rFonts w:hint="eastAsia" w:ascii="宋体" w:hAnsi="宋体" w:cs="宋体"/>
          <w:color w:val="000000"/>
          <w:sz w:val="24"/>
        </w:rPr>
        <w:t>　　c.具有（自有或租赁）分包工程所需的施工设备。</w:t>
      </w:r>
    </w:p>
    <w:p w14:paraId="3A5F5D84">
      <w:pPr>
        <w:spacing w:line="360" w:lineRule="auto"/>
        <w:rPr>
          <w:rFonts w:ascii="宋体" w:hAnsi="宋体" w:cs="宋体"/>
          <w:color w:val="000000"/>
          <w:sz w:val="24"/>
        </w:rPr>
      </w:pPr>
      <w:r>
        <w:rPr>
          <w:rFonts w:hint="eastAsia" w:ascii="宋体" w:hAnsi="宋体" w:cs="宋体"/>
          <w:color w:val="000000"/>
          <w:sz w:val="24"/>
        </w:rPr>
        <w:t>　　承包人应向监理人提交专业分包人的资格能力证明材料，经监理人审查并报发包人批准后，可以将相应专业工程分包给该专业分包人。</w:t>
      </w:r>
    </w:p>
    <w:p w14:paraId="22F1266C">
      <w:pPr>
        <w:spacing w:line="360" w:lineRule="auto"/>
        <w:rPr>
          <w:rFonts w:ascii="宋体" w:hAnsi="宋体" w:cs="宋体"/>
          <w:color w:val="000000"/>
          <w:sz w:val="24"/>
        </w:rPr>
      </w:pPr>
      <w:r>
        <w:rPr>
          <w:rFonts w:hint="eastAsia" w:ascii="宋体" w:hAnsi="宋体" w:cs="宋体"/>
          <w:color w:val="000000"/>
          <w:sz w:val="24"/>
        </w:rPr>
        <w:t>　　（3）专业分包工程不得再次分包。</w:t>
      </w:r>
    </w:p>
    <w:p w14:paraId="5CBFF708">
      <w:pPr>
        <w:spacing w:line="360" w:lineRule="auto"/>
        <w:rPr>
          <w:rFonts w:ascii="宋体" w:hAnsi="宋体" w:cs="宋体"/>
          <w:color w:val="000000"/>
          <w:sz w:val="24"/>
        </w:rPr>
      </w:pPr>
      <w:r>
        <w:rPr>
          <w:rFonts w:hint="eastAsia" w:ascii="宋体" w:hAnsi="宋体" w:cs="宋体"/>
          <w:color w:val="000000"/>
          <w:sz w:val="24"/>
        </w:rPr>
        <w:t>　　（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2BC18C4B">
      <w:pPr>
        <w:spacing w:line="360" w:lineRule="auto"/>
        <w:rPr>
          <w:rFonts w:ascii="宋体" w:hAnsi="宋体" w:cs="宋体"/>
          <w:color w:val="000000"/>
          <w:sz w:val="24"/>
        </w:rPr>
      </w:pPr>
      <w:r>
        <w:rPr>
          <w:rFonts w:hint="eastAsia" w:ascii="宋体" w:hAnsi="宋体" w:cs="宋体"/>
          <w:color w:val="000000"/>
          <w:sz w:val="24"/>
        </w:rPr>
        <w:t>　　（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7148A8D0">
      <w:pPr>
        <w:spacing w:line="360" w:lineRule="auto"/>
        <w:rPr>
          <w:rFonts w:ascii="宋体" w:hAnsi="宋体" w:cs="宋体"/>
          <w:color w:val="000000"/>
          <w:sz w:val="24"/>
        </w:rPr>
      </w:pPr>
      <w:r>
        <w:rPr>
          <w:rFonts w:hint="eastAsia" w:ascii="宋体" w:hAnsi="宋体" w:cs="宋体"/>
          <w:color w:val="000000"/>
          <w:sz w:val="24"/>
        </w:rPr>
        <w:t>　　（6）承包人应当建立健全相关分包管理制度和台账，对专业分包工程的质量、安全、进度和专业分包人的行为等实施全过程管理，按照本办法规定和合同约定对专业分包工程的实施向发包人负责，并承担赔偿责任。专业分包合同不免除承包合同中规定的承包人的责任或者义务。</w:t>
      </w:r>
    </w:p>
    <w:p w14:paraId="62C7D4CF">
      <w:pPr>
        <w:spacing w:line="360" w:lineRule="auto"/>
        <w:rPr>
          <w:rFonts w:ascii="宋体" w:hAnsi="宋体" w:cs="宋体"/>
          <w:color w:val="000000"/>
          <w:sz w:val="24"/>
        </w:rPr>
      </w:pPr>
      <w:r>
        <w:rPr>
          <w:rFonts w:hint="eastAsia" w:ascii="宋体" w:hAnsi="宋体" w:cs="宋体"/>
          <w:color w:val="000000"/>
          <w:sz w:val="24"/>
        </w:rPr>
        <w:t>　　（7）专业分包人应当依据专业分包合同的约定，组织分包工程的施工，并对分包工程的质量、安全和进度等实施有效控制。专业分包人对其分包的工程向承包人负责，并就所分包的工程向发包人承担连带责任。</w:t>
      </w:r>
    </w:p>
    <w:p w14:paraId="160D4331">
      <w:pPr>
        <w:spacing w:line="360" w:lineRule="auto"/>
        <w:rPr>
          <w:rFonts w:ascii="宋体" w:hAnsi="宋体" w:cs="宋体"/>
          <w:color w:val="000000"/>
          <w:sz w:val="24"/>
        </w:rPr>
      </w:pPr>
      <w:r>
        <w:rPr>
          <w:rFonts w:hint="eastAsia" w:ascii="宋体" w:hAnsi="宋体" w:cs="宋体"/>
          <w:color w:val="000000"/>
          <w:sz w:val="24"/>
        </w:rPr>
        <w:t>　　（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57E9DA2F">
      <w:pPr>
        <w:spacing w:line="360" w:lineRule="auto"/>
        <w:rPr>
          <w:rFonts w:ascii="宋体" w:hAnsi="宋体" w:cs="宋体"/>
          <w:color w:val="000000"/>
          <w:sz w:val="24"/>
        </w:rPr>
      </w:pPr>
      <w:r>
        <w:rPr>
          <w:rFonts w:hint="eastAsia" w:ascii="宋体" w:hAnsi="宋体" w:cs="宋体"/>
          <w:color w:val="000000"/>
          <w:sz w:val="24"/>
        </w:rPr>
        <w:t>　　违反上述规定之一者属违规分包。</w:t>
      </w:r>
    </w:p>
    <w:p w14:paraId="42088423">
      <w:pPr>
        <w:spacing w:line="360" w:lineRule="auto"/>
        <w:rPr>
          <w:rFonts w:ascii="宋体" w:hAnsi="宋体" w:cs="宋体"/>
          <w:color w:val="000000"/>
          <w:sz w:val="24"/>
        </w:rPr>
      </w:pPr>
      <w:r>
        <w:rPr>
          <w:rFonts w:hint="eastAsia" w:ascii="宋体" w:hAnsi="宋体" w:cs="宋体"/>
          <w:color w:val="000000"/>
          <w:sz w:val="24"/>
        </w:rPr>
        <w:t>　　4.3.4劳务分包</w:t>
      </w:r>
    </w:p>
    <w:p w14:paraId="08986F38">
      <w:pPr>
        <w:spacing w:line="360" w:lineRule="auto"/>
        <w:rPr>
          <w:rFonts w:ascii="宋体" w:hAnsi="宋体" w:cs="宋体"/>
          <w:color w:val="000000"/>
          <w:sz w:val="24"/>
        </w:rPr>
      </w:pPr>
      <w:r>
        <w:rPr>
          <w:rFonts w:hint="eastAsia" w:ascii="宋体" w:hAnsi="宋体" w:cs="宋体"/>
          <w:color w:val="000000"/>
          <w:sz w:val="24"/>
        </w:rPr>
        <w:t>　　在工程施工过程中，承包人进行劳务分包必须遵守以下规定：</w:t>
      </w:r>
    </w:p>
    <w:p w14:paraId="5A9211E6">
      <w:pPr>
        <w:spacing w:line="360" w:lineRule="auto"/>
        <w:rPr>
          <w:rFonts w:ascii="宋体" w:hAnsi="宋体" w:cs="宋体"/>
          <w:color w:val="000000"/>
          <w:sz w:val="24"/>
        </w:rPr>
      </w:pPr>
      <w:r>
        <w:rPr>
          <w:rFonts w:hint="eastAsia" w:ascii="宋体" w:hAnsi="宋体" w:cs="宋体"/>
          <w:color w:val="000000"/>
          <w:sz w:val="24"/>
        </w:rPr>
        <w:t>　　（1）劳务分包人应具有施工劳务资质。</w:t>
      </w:r>
    </w:p>
    <w:p w14:paraId="1738F242">
      <w:pPr>
        <w:spacing w:line="360" w:lineRule="auto"/>
        <w:rPr>
          <w:rFonts w:ascii="宋体" w:hAnsi="宋体" w:cs="宋体"/>
          <w:color w:val="000000"/>
          <w:sz w:val="24"/>
        </w:rPr>
      </w:pPr>
      <w:r>
        <w:rPr>
          <w:rFonts w:hint="eastAsia" w:ascii="宋体" w:hAnsi="宋体" w:cs="宋体"/>
          <w:color w:val="000000"/>
          <w:sz w:val="24"/>
        </w:rPr>
        <w:t>　　（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3567617F">
      <w:pPr>
        <w:spacing w:line="360" w:lineRule="auto"/>
        <w:rPr>
          <w:rFonts w:ascii="宋体" w:hAnsi="宋体" w:cs="宋体"/>
          <w:color w:val="000000"/>
          <w:sz w:val="24"/>
        </w:rPr>
      </w:pPr>
      <w:r>
        <w:rPr>
          <w:rFonts w:hint="eastAsia" w:ascii="宋体" w:hAnsi="宋体" w:cs="宋体"/>
          <w:color w:val="000000"/>
          <w:sz w:val="24"/>
        </w:rPr>
        <w:t>　　（3）承包人雇用的劳务作业应加入到承包人的施工班组统一管理。有关施工质量、施工安全、施工进度、环境保护、技术方案、试验检测、材料保管与供应、机械设备等都必须由承包人管理与调配，不得以包代管。</w:t>
      </w:r>
    </w:p>
    <w:p w14:paraId="2090B90D">
      <w:pPr>
        <w:spacing w:line="360" w:lineRule="auto"/>
        <w:rPr>
          <w:rFonts w:ascii="宋体" w:hAnsi="宋体" w:cs="宋体"/>
          <w:color w:val="000000"/>
          <w:sz w:val="24"/>
        </w:rPr>
      </w:pPr>
      <w:r>
        <w:rPr>
          <w:rFonts w:hint="eastAsia" w:ascii="宋体" w:hAnsi="宋体" w:cs="宋体"/>
          <w:color w:val="000000"/>
          <w:sz w:val="24"/>
        </w:rPr>
        <w:t>　　（4）承包人应当对劳务分包人员进行安全培训和管理，劳务分包人不得将其分包的劳务作业再次分包。</w:t>
      </w:r>
    </w:p>
    <w:p w14:paraId="190DAB17">
      <w:pPr>
        <w:spacing w:line="360" w:lineRule="auto"/>
        <w:rPr>
          <w:rFonts w:ascii="宋体" w:hAnsi="宋体" w:cs="宋体"/>
          <w:color w:val="000000"/>
          <w:sz w:val="24"/>
        </w:rPr>
      </w:pPr>
      <w:r>
        <w:rPr>
          <w:rFonts w:hint="eastAsia" w:ascii="宋体" w:hAnsi="宋体" w:cs="宋体"/>
          <w:color w:val="000000"/>
          <w:sz w:val="24"/>
        </w:rPr>
        <w:t>　　违反上述规定之一者属违规分包。</w:t>
      </w:r>
    </w:p>
    <w:p w14:paraId="228EBA9D">
      <w:pPr>
        <w:spacing w:line="360" w:lineRule="auto"/>
        <w:rPr>
          <w:rFonts w:ascii="宋体" w:hAnsi="宋体" w:cs="宋体"/>
          <w:color w:val="000000"/>
          <w:sz w:val="24"/>
        </w:rPr>
      </w:pPr>
      <w:r>
        <w:rPr>
          <w:rFonts w:hint="eastAsia" w:ascii="宋体" w:hAnsi="宋体" w:cs="宋体"/>
          <w:color w:val="000000"/>
          <w:sz w:val="24"/>
        </w:rPr>
        <w:t>　　本款补充第4.3.6项、第4.3.7项：</w:t>
      </w:r>
    </w:p>
    <w:p w14:paraId="16F1FAEA">
      <w:pPr>
        <w:spacing w:line="360" w:lineRule="auto"/>
        <w:rPr>
          <w:rFonts w:ascii="宋体" w:hAnsi="宋体" w:cs="宋体"/>
          <w:color w:val="000000"/>
          <w:sz w:val="24"/>
        </w:rPr>
      </w:pPr>
      <w:r>
        <w:rPr>
          <w:rFonts w:hint="eastAsia" w:ascii="宋体" w:hAnsi="宋体" w:cs="宋体"/>
          <w:color w:val="000000"/>
          <w:sz w:val="24"/>
        </w:rPr>
        <w:t>　　4.3.6发包人对承包人与分包人之间的法律与经济纠纷不承担任何责任和义务。</w:t>
      </w:r>
    </w:p>
    <w:p w14:paraId="5C7FF3E3">
      <w:pPr>
        <w:spacing w:line="360" w:lineRule="auto"/>
        <w:rPr>
          <w:rFonts w:ascii="宋体" w:hAnsi="宋体" w:cs="宋体"/>
          <w:color w:val="000000"/>
          <w:sz w:val="24"/>
        </w:rPr>
      </w:pPr>
      <w:r>
        <w:rPr>
          <w:rFonts w:hint="eastAsia" w:ascii="宋体" w:hAnsi="宋体" w:cs="宋体"/>
          <w:color w:val="000000"/>
          <w:sz w:val="24"/>
        </w:rPr>
        <w:t>　　4.3.7本项目的各项分包工作均应遵守《公路工程施工分包管理办法》的有关规定。</w:t>
      </w:r>
    </w:p>
    <w:p w14:paraId="3571B19A">
      <w:pPr>
        <w:spacing w:line="360" w:lineRule="auto"/>
        <w:rPr>
          <w:rFonts w:ascii="宋体" w:hAnsi="宋体" w:cs="宋体"/>
          <w:b/>
          <w:color w:val="000000"/>
          <w:kern w:val="0"/>
          <w:sz w:val="24"/>
        </w:rPr>
      </w:pPr>
      <w:bookmarkStart w:id="183" w:name="_Toc514414293"/>
      <w:bookmarkStart w:id="184" w:name="_Toc899"/>
      <w:bookmarkStart w:id="185" w:name="_Toc23147"/>
      <w:r>
        <w:rPr>
          <w:rFonts w:hint="eastAsia" w:ascii="宋体" w:hAnsi="宋体" w:cs="宋体"/>
          <w:b/>
          <w:color w:val="000000"/>
          <w:kern w:val="0"/>
          <w:sz w:val="24"/>
        </w:rPr>
        <w:t>4.4．联合体</w:t>
      </w:r>
      <w:bookmarkEnd w:id="183"/>
      <w:bookmarkEnd w:id="184"/>
      <w:bookmarkEnd w:id="185"/>
    </w:p>
    <w:p w14:paraId="104CD38E">
      <w:pPr>
        <w:spacing w:line="360" w:lineRule="auto"/>
        <w:rPr>
          <w:rFonts w:ascii="宋体" w:hAnsi="宋体" w:cs="宋体"/>
          <w:color w:val="000000"/>
          <w:sz w:val="24"/>
        </w:rPr>
      </w:pPr>
      <w:r>
        <w:rPr>
          <w:rFonts w:hint="eastAsia" w:ascii="宋体" w:hAnsi="宋体" w:cs="宋体"/>
          <w:color w:val="000000"/>
          <w:sz w:val="24"/>
        </w:rPr>
        <w:t>　　本款补充第4.4.4项：</w:t>
      </w:r>
    </w:p>
    <w:p w14:paraId="6578854A">
      <w:pPr>
        <w:spacing w:line="360" w:lineRule="auto"/>
        <w:rPr>
          <w:rFonts w:ascii="宋体" w:hAnsi="宋体" w:cs="宋体"/>
          <w:color w:val="000000"/>
          <w:sz w:val="24"/>
        </w:rPr>
      </w:pPr>
      <w:r>
        <w:rPr>
          <w:rFonts w:hint="eastAsia" w:ascii="宋体" w:hAnsi="宋体" w:cs="宋体"/>
          <w:color w:val="000000"/>
          <w:sz w:val="24"/>
        </w:rPr>
        <w:t>　　4.4.4未经发包人事先同意，联合体的组成与结构不得变动。</w:t>
      </w:r>
    </w:p>
    <w:p w14:paraId="5EE9DAF9">
      <w:pPr>
        <w:spacing w:line="360" w:lineRule="auto"/>
        <w:rPr>
          <w:rFonts w:ascii="宋体" w:hAnsi="宋体" w:cs="宋体"/>
          <w:b/>
          <w:color w:val="000000"/>
          <w:kern w:val="0"/>
          <w:sz w:val="24"/>
        </w:rPr>
      </w:pPr>
      <w:bookmarkStart w:id="186" w:name="_Toc514414294"/>
      <w:bookmarkStart w:id="187" w:name="_Toc533"/>
      <w:bookmarkStart w:id="188" w:name="_Toc3600"/>
      <w:r>
        <w:rPr>
          <w:rFonts w:hint="eastAsia" w:ascii="宋体" w:hAnsi="宋体" w:cs="宋体"/>
          <w:b/>
          <w:color w:val="000000"/>
          <w:kern w:val="0"/>
          <w:sz w:val="24"/>
        </w:rPr>
        <w:t>4.6．承包人人员的管理</w:t>
      </w:r>
      <w:bookmarkEnd w:id="186"/>
      <w:bookmarkEnd w:id="187"/>
      <w:bookmarkEnd w:id="188"/>
    </w:p>
    <w:p w14:paraId="1C5B681C">
      <w:pPr>
        <w:spacing w:line="360" w:lineRule="auto"/>
        <w:rPr>
          <w:rFonts w:ascii="宋体" w:hAnsi="宋体" w:cs="宋体"/>
          <w:color w:val="000000"/>
          <w:sz w:val="24"/>
        </w:rPr>
      </w:pPr>
      <w:r>
        <w:rPr>
          <w:rFonts w:hint="eastAsia" w:ascii="宋体" w:hAnsi="宋体" w:cs="宋体"/>
          <w:color w:val="000000"/>
          <w:sz w:val="24"/>
        </w:rPr>
        <w:t>　　第4.6.3项细化为：</w:t>
      </w:r>
    </w:p>
    <w:p w14:paraId="011248F7">
      <w:pPr>
        <w:spacing w:line="360" w:lineRule="auto"/>
        <w:rPr>
          <w:rFonts w:ascii="宋体" w:hAnsi="宋体" w:cs="宋体"/>
          <w:color w:val="000000"/>
          <w:sz w:val="24"/>
        </w:rPr>
      </w:pPr>
      <w:r>
        <w:rPr>
          <w:rFonts w:hint="eastAsia" w:ascii="宋体" w:hAnsi="宋体" w:cs="宋体"/>
          <w:color w:val="000000"/>
          <w:sz w:val="24"/>
        </w:rPr>
        <w:t>　　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2FFC7E7F">
      <w:pPr>
        <w:spacing w:line="360" w:lineRule="auto"/>
        <w:rPr>
          <w:rFonts w:ascii="宋体" w:hAnsi="宋体" w:cs="宋体"/>
          <w:color w:val="000000"/>
          <w:sz w:val="24"/>
        </w:rPr>
      </w:pPr>
      <w:r>
        <w:rPr>
          <w:rFonts w:hint="eastAsia" w:ascii="宋体" w:hAnsi="宋体" w:cs="宋体"/>
          <w:color w:val="000000"/>
          <w:sz w:val="24"/>
        </w:rPr>
        <w:t>　　本款补充第4.6.5项：</w:t>
      </w:r>
    </w:p>
    <w:p w14:paraId="29156EB8">
      <w:pPr>
        <w:spacing w:line="360" w:lineRule="auto"/>
        <w:rPr>
          <w:rFonts w:ascii="宋体" w:hAnsi="宋体" w:cs="宋体"/>
          <w:color w:val="000000"/>
          <w:sz w:val="24"/>
        </w:rPr>
      </w:pPr>
      <w:r>
        <w:rPr>
          <w:rFonts w:hint="eastAsia" w:ascii="宋体" w:hAnsi="宋体" w:cs="宋体"/>
          <w:color w:val="000000"/>
          <w:sz w:val="24"/>
        </w:rPr>
        <w:t>　　4.6.5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计划工期延误由承包人承担。</w:t>
      </w:r>
    </w:p>
    <w:p w14:paraId="5391F16E">
      <w:pPr>
        <w:spacing w:line="360" w:lineRule="auto"/>
        <w:rPr>
          <w:rFonts w:ascii="宋体" w:hAnsi="宋体" w:cs="宋体"/>
          <w:b/>
          <w:color w:val="000000"/>
          <w:kern w:val="0"/>
          <w:sz w:val="24"/>
        </w:rPr>
      </w:pPr>
      <w:bookmarkStart w:id="189" w:name="_Toc514414295"/>
      <w:bookmarkStart w:id="190" w:name="_Toc28852"/>
      <w:bookmarkStart w:id="191" w:name="_Toc23458"/>
      <w:r>
        <w:rPr>
          <w:rFonts w:hint="eastAsia" w:ascii="宋体" w:hAnsi="宋体" w:cs="宋体"/>
          <w:b/>
          <w:color w:val="000000"/>
          <w:kern w:val="0"/>
          <w:sz w:val="24"/>
        </w:rPr>
        <w:t>4.7．撤换承包人项目经理和其他人员</w:t>
      </w:r>
      <w:bookmarkEnd w:id="189"/>
      <w:bookmarkEnd w:id="190"/>
      <w:bookmarkEnd w:id="191"/>
    </w:p>
    <w:p w14:paraId="1F4C9560">
      <w:pPr>
        <w:spacing w:line="360" w:lineRule="auto"/>
        <w:rPr>
          <w:rFonts w:ascii="宋体" w:hAnsi="宋体" w:cs="宋体"/>
          <w:color w:val="000000"/>
          <w:sz w:val="24"/>
        </w:rPr>
      </w:pPr>
      <w:r>
        <w:rPr>
          <w:rFonts w:hint="eastAsia" w:ascii="宋体" w:hAnsi="宋体" w:cs="宋体"/>
          <w:color w:val="000000"/>
          <w:sz w:val="24"/>
        </w:rPr>
        <w:t>　　本款细化为：</w:t>
      </w:r>
    </w:p>
    <w:p w14:paraId="44F972CE">
      <w:pPr>
        <w:spacing w:line="360" w:lineRule="auto"/>
        <w:rPr>
          <w:rFonts w:ascii="宋体" w:hAnsi="宋体" w:cs="宋体"/>
          <w:color w:val="000000"/>
          <w:sz w:val="24"/>
        </w:rPr>
      </w:pPr>
      <w:r>
        <w:rPr>
          <w:rFonts w:hint="eastAsia" w:ascii="宋体" w:hAnsi="宋体" w:cs="宋体"/>
          <w:color w:val="000000"/>
          <w:sz w:val="24"/>
        </w:rPr>
        <w:t>　　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0B3D4F43">
      <w:pPr>
        <w:spacing w:line="360" w:lineRule="auto"/>
        <w:rPr>
          <w:rFonts w:ascii="宋体" w:hAnsi="宋体" w:cs="宋体"/>
          <w:b/>
          <w:color w:val="000000"/>
          <w:kern w:val="0"/>
          <w:sz w:val="24"/>
        </w:rPr>
      </w:pPr>
      <w:bookmarkStart w:id="192" w:name="_Toc514414296"/>
      <w:bookmarkStart w:id="193" w:name="_Toc4912"/>
      <w:bookmarkStart w:id="194" w:name="_Toc28275"/>
      <w:r>
        <w:rPr>
          <w:rFonts w:hint="eastAsia" w:ascii="宋体" w:hAnsi="宋体" w:cs="宋体"/>
          <w:b/>
          <w:color w:val="000000"/>
          <w:kern w:val="0"/>
          <w:sz w:val="24"/>
        </w:rPr>
        <w:t>4.9．工程价款应专款专用</w:t>
      </w:r>
      <w:bookmarkEnd w:id="192"/>
      <w:bookmarkEnd w:id="193"/>
      <w:bookmarkEnd w:id="194"/>
    </w:p>
    <w:p w14:paraId="0947A5A9">
      <w:pPr>
        <w:spacing w:line="360" w:lineRule="auto"/>
        <w:rPr>
          <w:rFonts w:ascii="宋体" w:hAnsi="宋体" w:cs="宋体"/>
          <w:color w:val="000000"/>
          <w:sz w:val="24"/>
        </w:rPr>
      </w:pPr>
      <w:r>
        <w:rPr>
          <w:rFonts w:hint="eastAsia" w:ascii="宋体" w:hAnsi="宋体" w:cs="宋体"/>
          <w:color w:val="000000"/>
          <w:sz w:val="24"/>
        </w:rPr>
        <w:t>　　本款细化为：</w:t>
      </w:r>
    </w:p>
    <w:p w14:paraId="6C0F9E71">
      <w:pPr>
        <w:spacing w:line="360" w:lineRule="auto"/>
        <w:rPr>
          <w:rFonts w:ascii="宋体" w:hAnsi="宋体" w:cs="宋体"/>
          <w:color w:val="000000"/>
          <w:sz w:val="24"/>
        </w:rPr>
      </w:pPr>
      <w:r>
        <w:rPr>
          <w:rFonts w:hint="eastAsia" w:ascii="宋体" w:hAnsi="宋体" w:cs="宋体"/>
          <w:color w:val="000000"/>
          <w:sz w:val="24"/>
        </w:rPr>
        <w:t>　　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60EC8310">
      <w:pPr>
        <w:spacing w:line="360" w:lineRule="auto"/>
        <w:rPr>
          <w:rFonts w:ascii="宋体" w:hAnsi="宋体" w:cs="宋体"/>
          <w:b/>
          <w:color w:val="000000"/>
          <w:kern w:val="0"/>
          <w:sz w:val="24"/>
        </w:rPr>
      </w:pPr>
      <w:bookmarkStart w:id="195" w:name="_Toc5095"/>
      <w:bookmarkStart w:id="196" w:name="_Toc514414297"/>
      <w:bookmarkStart w:id="197" w:name="_Toc26896"/>
      <w:r>
        <w:rPr>
          <w:rFonts w:hint="eastAsia" w:ascii="宋体" w:hAnsi="宋体" w:cs="宋体"/>
          <w:b/>
          <w:color w:val="000000"/>
          <w:kern w:val="0"/>
          <w:sz w:val="24"/>
        </w:rPr>
        <w:t>4.10．承包人现场查勘</w:t>
      </w:r>
      <w:bookmarkEnd w:id="195"/>
      <w:bookmarkEnd w:id="196"/>
      <w:bookmarkEnd w:id="197"/>
    </w:p>
    <w:p w14:paraId="162EB223">
      <w:pPr>
        <w:spacing w:line="360" w:lineRule="auto"/>
        <w:rPr>
          <w:rFonts w:ascii="宋体" w:hAnsi="宋体" w:cs="宋体"/>
          <w:color w:val="000000"/>
          <w:sz w:val="24"/>
        </w:rPr>
      </w:pPr>
      <w:r>
        <w:rPr>
          <w:rFonts w:hint="eastAsia" w:ascii="宋体" w:hAnsi="宋体" w:cs="宋体"/>
          <w:color w:val="000000"/>
          <w:sz w:val="24"/>
        </w:rPr>
        <w:t>　　第4.10.1项细化为：</w:t>
      </w:r>
    </w:p>
    <w:p w14:paraId="749E2F30">
      <w:pPr>
        <w:spacing w:line="360" w:lineRule="auto"/>
        <w:rPr>
          <w:rFonts w:ascii="宋体" w:hAnsi="宋体" w:cs="宋体"/>
          <w:color w:val="000000"/>
          <w:sz w:val="24"/>
        </w:rPr>
      </w:pPr>
      <w:r>
        <w:rPr>
          <w:rFonts w:hint="eastAsia" w:ascii="宋体" w:hAnsi="宋体" w:cs="宋体"/>
          <w:color w:val="000000"/>
          <w:sz w:val="24"/>
        </w:rPr>
        <w:t>　　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537ECB8C">
      <w:pPr>
        <w:spacing w:line="360" w:lineRule="auto"/>
        <w:rPr>
          <w:rFonts w:ascii="宋体" w:hAnsi="宋体" w:cs="宋体"/>
          <w:b/>
          <w:color w:val="000000"/>
          <w:kern w:val="0"/>
          <w:sz w:val="24"/>
        </w:rPr>
      </w:pPr>
      <w:bookmarkStart w:id="198" w:name="_Toc27546"/>
      <w:bookmarkStart w:id="199" w:name="_Toc17162"/>
      <w:bookmarkStart w:id="200" w:name="_Toc514414298"/>
      <w:r>
        <w:rPr>
          <w:rFonts w:hint="eastAsia" w:ascii="宋体" w:hAnsi="宋体" w:cs="宋体"/>
          <w:b/>
          <w:color w:val="000000"/>
          <w:kern w:val="0"/>
          <w:sz w:val="24"/>
        </w:rPr>
        <w:t>4.11．不利物质条件</w:t>
      </w:r>
      <w:bookmarkEnd w:id="198"/>
      <w:bookmarkEnd w:id="199"/>
      <w:bookmarkEnd w:id="200"/>
    </w:p>
    <w:p w14:paraId="25D5DA45">
      <w:pPr>
        <w:spacing w:line="360" w:lineRule="auto"/>
        <w:rPr>
          <w:rFonts w:ascii="宋体" w:hAnsi="宋体" w:cs="宋体"/>
          <w:color w:val="000000"/>
          <w:sz w:val="24"/>
        </w:rPr>
      </w:pPr>
      <w:r>
        <w:rPr>
          <w:rFonts w:hint="eastAsia" w:ascii="宋体" w:hAnsi="宋体" w:cs="宋体"/>
          <w:color w:val="000000"/>
          <w:sz w:val="24"/>
        </w:rPr>
        <w:t>　　第4.11.2项细化为：</w:t>
      </w:r>
    </w:p>
    <w:p w14:paraId="576442FA">
      <w:pPr>
        <w:spacing w:line="360" w:lineRule="auto"/>
        <w:rPr>
          <w:rFonts w:ascii="宋体" w:hAnsi="宋体" w:cs="宋体"/>
          <w:color w:val="000000"/>
          <w:sz w:val="24"/>
        </w:rPr>
      </w:pPr>
      <w:r>
        <w:rPr>
          <w:rFonts w:hint="eastAsia" w:ascii="宋体" w:hAnsi="宋体" w:cs="宋体"/>
          <w:color w:val="000000"/>
          <w:sz w:val="24"/>
        </w:rPr>
        <w:t>　　4.11.2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计划工期延误，由发包人承担。</w:t>
      </w:r>
    </w:p>
    <w:p w14:paraId="38B1CA83">
      <w:pPr>
        <w:spacing w:line="360" w:lineRule="auto"/>
        <w:rPr>
          <w:rFonts w:ascii="宋体" w:hAnsi="宋体" w:cs="宋体"/>
          <w:color w:val="000000"/>
          <w:sz w:val="24"/>
        </w:rPr>
      </w:pPr>
      <w:r>
        <w:rPr>
          <w:rFonts w:hint="eastAsia" w:ascii="宋体" w:hAnsi="宋体" w:cs="宋体"/>
          <w:color w:val="000000"/>
          <w:sz w:val="24"/>
        </w:rPr>
        <w:t>　　本款补充第4.11.3项：</w:t>
      </w:r>
    </w:p>
    <w:p w14:paraId="429BE382">
      <w:pPr>
        <w:spacing w:line="360" w:lineRule="auto"/>
        <w:rPr>
          <w:rFonts w:ascii="宋体" w:hAnsi="宋体" w:cs="宋体"/>
          <w:color w:val="000000"/>
          <w:sz w:val="24"/>
        </w:rPr>
      </w:pPr>
      <w:r>
        <w:rPr>
          <w:rFonts w:hint="eastAsia" w:ascii="宋体" w:hAnsi="宋体" w:cs="宋体"/>
          <w:color w:val="000000"/>
          <w:sz w:val="24"/>
        </w:rPr>
        <w:t>　　4.11.3可预见的不利物质条件</w:t>
      </w:r>
    </w:p>
    <w:p w14:paraId="276FB679">
      <w:pPr>
        <w:spacing w:line="360" w:lineRule="auto"/>
        <w:rPr>
          <w:rFonts w:ascii="宋体" w:hAnsi="宋体" w:cs="宋体"/>
          <w:color w:val="000000"/>
          <w:sz w:val="24"/>
        </w:rPr>
      </w:pPr>
      <w:r>
        <w:rPr>
          <w:rFonts w:hint="eastAsia" w:ascii="宋体" w:hAnsi="宋体" w:cs="宋体"/>
          <w:color w:val="000000"/>
          <w:sz w:val="24"/>
        </w:rPr>
        <w:t>　　（1）对于项目专用合同条款中已经明确指出的不利物质条件无论承包人是否有其经历和经验均视为承包人在接受合同时已预见其影响，并已在签约合同价中计入因其影响而可能发生的一切费用。</w:t>
      </w:r>
    </w:p>
    <w:p w14:paraId="37911D62">
      <w:pPr>
        <w:spacing w:line="360" w:lineRule="auto"/>
        <w:rPr>
          <w:rFonts w:ascii="宋体" w:hAnsi="宋体" w:cs="宋体"/>
          <w:color w:val="000000"/>
          <w:sz w:val="24"/>
        </w:rPr>
      </w:pPr>
      <w:r>
        <w:rPr>
          <w:rFonts w:hint="eastAsia" w:ascii="宋体" w:hAnsi="宋体" w:cs="宋体"/>
          <w:color w:val="000000"/>
          <w:sz w:val="24"/>
        </w:rPr>
        <w:t>　　（2）对于项目专用合同条款未明确指出，但是在不利物质条件发生之前，监理人已经指示承包人有可能发生，但承包人未能及时采取有效措施，而导致的损失和后果均由承包人承担。</w:t>
      </w:r>
    </w:p>
    <w:p w14:paraId="1C8A5CC9">
      <w:pPr>
        <w:spacing w:line="360" w:lineRule="auto"/>
        <w:rPr>
          <w:rFonts w:ascii="宋体" w:hAnsi="宋体" w:cs="宋体"/>
          <w:b/>
          <w:color w:val="000000"/>
          <w:sz w:val="24"/>
        </w:rPr>
      </w:pPr>
      <w:r>
        <w:rPr>
          <w:rFonts w:hint="eastAsia" w:ascii="宋体" w:hAnsi="宋体" w:cs="宋体"/>
          <w:b/>
          <w:color w:val="000000"/>
          <w:sz w:val="24"/>
        </w:rPr>
        <w:t>补充第4.12款、第4.13款：</w:t>
      </w:r>
    </w:p>
    <w:p w14:paraId="77BF688E">
      <w:pPr>
        <w:spacing w:line="360" w:lineRule="auto"/>
        <w:rPr>
          <w:rFonts w:ascii="宋体" w:hAnsi="宋体" w:cs="宋体"/>
          <w:b/>
          <w:color w:val="000000"/>
          <w:kern w:val="0"/>
          <w:sz w:val="24"/>
        </w:rPr>
      </w:pPr>
      <w:bookmarkStart w:id="201" w:name="_Toc514414299"/>
      <w:bookmarkStart w:id="202" w:name="_Toc27516"/>
      <w:bookmarkStart w:id="203" w:name="_Toc25357"/>
      <w:r>
        <w:rPr>
          <w:rFonts w:hint="eastAsia" w:ascii="宋体" w:hAnsi="宋体" w:cs="宋体"/>
          <w:b/>
          <w:color w:val="000000"/>
          <w:kern w:val="0"/>
          <w:sz w:val="24"/>
        </w:rPr>
        <w:t>4.12．投标文件的完备性</w:t>
      </w:r>
      <w:bookmarkEnd w:id="201"/>
      <w:bookmarkEnd w:id="202"/>
      <w:bookmarkEnd w:id="203"/>
    </w:p>
    <w:p w14:paraId="6EABBC2B">
      <w:pPr>
        <w:spacing w:line="360" w:lineRule="auto"/>
        <w:rPr>
          <w:rFonts w:ascii="宋体" w:hAnsi="宋体" w:cs="宋体"/>
          <w:color w:val="000000"/>
          <w:sz w:val="24"/>
        </w:rPr>
      </w:pPr>
      <w:r>
        <w:rPr>
          <w:rFonts w:hint="eastAsia" w:ascii="宋体" w:hAnsi="宋体" w:cs="宋体"/>
          <w:color w:val="000000"/>
          <w:sz w:val="24"/>
        </w:rPr>
        <w:t>　　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62138D7F">
      <w:pPr>
        <w:spacing w:line="360" w:lineRule="auto"/>
        <w:rPr>
          <w:rFonts w:ascii="宋体" w:hAnsi="宋体" w:cs="宋体"/>
          <w:b/>
          <w:color w:val="000000"/>
          <w:kern w:val="0"/>
          <w:sz w:val="24"/>
        </w:rPr>
      </w:pPr>
      <w:bookmarkStart w:id="204" w:name="_Toc13187"/>
      <w:bookmarkStart w:id="205" w:name="_Toc15603"/>
      <w:bookmarkStart w:id="206" w:name="_Toc514414300"/>
      <w:r>
        <w:rPr>
          <w:rFonts w:hint="eastAsia" w:ascii="宋体" w:hAnsi="宋体" w:cs="宋体"/>
          <w:b/>
          <w:color w:val="000000"/>
          <w:kern w:val="0"/>
          <w:sz w:val="24"/>
        </w:rPr>
        <w:t>4.13．开展党建工作要求</w:t>
      </w:r>
      <w:bookmarkEnd w:id="204"/>
      <w:bookmarkEnd w:id="205"/>
      <w:bookmarkEnd w:id="206"/>
    </w:p>
    <w:p w14:paraId="73C870C8">
      <w:pPr>
        <w:spacing w:line="360" w:lineRule="auto"/>
        <w:rPr>
          <w:rFonts w:ascii="宋体" w:hAnsi="宋体" w:cs="宋体"/>
          <w:color w:val="000000"/>
          <w:sz w:val="24"/>
        </w:rPr>
      </w:pPr>
      <w:r>
        <w:rPr>
          <w:rFonts w:hint="eastAsia" w:ascii="宋体" w:hAnsi="宋体" w:cs="宋体"/>
          <w:color w:val="000000"/>
          <w:sz w:val="24"/>
        </w:rPr>
        <w:t>　　对于政府投资的国家高速公路项目，或承包人为国有控股或参股企业的，承包人应按规定在项目现场设立基层党组织。不满足上述情形的，承包人应创造条件使党员能够参加党组织生活并接受相应管理。</w:t>
      </w:r>
    </w:p>
    <w:p w14:paraId="5E159907">
      <w:pPr>
        <w:spacing w:line="360" w:lineRule="auto"/>
        <w:rPr>
          <w:rFonts w:ascii="宋体" w:hAnsi="宋体" w:cs="宋体"/>
          <w:color w:val="000000"/>
          <w:sz w:val="24"/>
        </w:rPr>
      </w:pPr>
      <w:r>
        <w:rPr>
          <w:rFonts w:hint="eastAsia" w:ascii="宋体" w:hAnsi="宋体" w:cs="宋体"/>
          <w:color w:val="000000"/>
          <w:sz w:val="24"/>
        </w:rPr>
        <w:t>　　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200FACD8">
      <w:pPr>
        <w:spacing w:line="360" w:lineRule="auto"/>
        <w:rPr>
          <w:rFonts w:ascii="宋体" w:hAnsi="宋体" w:cs="宋体"/>
          <w:b/>
          <w:color w:val="000000"/>
          <w:kern w:val="0"/>
          <w:sz w:val="24"/>
        </w:rPr>
      </w:pPr>
      <w:bookmarkStart w:id="207" w:name="_Toc30262"/>
      <w:bookmarkStart w:id="208" w:name="_Toc11914"/>
      <w:bookmarkStart w:id="209" w:name="_Toc514414301"/>
      <w:r>
        <w:rPr>
          <w:rFonts w:hint="eastAsia" w:ascii="宋体" w:hAnsi="宋体" w:cs="宋体"/>
          <w:b/>
          <w:color w:val="000000"/>
          <w:kern w:val="0"/>
          <w:sz w:val="24"/>
        </w:rPr>
        <w:t>5．材料和工程设备</w:t>
      </w:r>
      <w:bookmarkEnd w:id="207"/>
      <w:bookmarkEnd w:id="208"/>
      <w:bookmarkEnd w:id="209"/>
    </w:p>
    <w:p w14:paraId="2D76B161">
      <w:pPr>
        <w:spacing w:line="360" w:lineRule="auto"/>
        <w:rPr>
          <w:rFonts w:ascii="宋体" w:hAnsi="宋体" w:cs="宋体"/>
          <w:b/>
          <w:color w:val="000000"/>
          <w:kern w:val="0"/>
          <w:sz w:val="24"/>
        </w:rPr>
      </w:pPr>
      <w:bookmarkStart w:id="210" w:name="_Toc514414302"/>
      <w:bookmarkStart w:id="211" w:name="_Toc16018"/>
      <w:bookmarkStart w:id="212" w:name="_Toc7803"/>
      <w:r>
        <w:rPr>
          <w:rFonts w:hint="eastAsia" w:ascii="宋体" w:hAnsi="宋体" w:cs="宋体"/>
          <w:b/>
          <w:color w:val="000000"/>
          <w:kern w:val="0"/>
          <w:sz w:val="24"/>
        </w:rPr>
        <w:t>5.2．发包人提供的材料和工程设备</w:t>
      </w:r>
      <w:bookmarkEnd w:id="210"/>
      <w:bookmarkEnd w:id="211"/>
      <w:bookmarkEnd w:id="212"/>
    </w:p>
    <w:p w14:paraId="057B1EF5">
      <w:pPr>
        <w:spacing w:line="360" w:lineRule="auto"/>
        <w:rPr>
          <w:rFonts w:ascii="宋体" w:hAnsi="宋体" w:cs="宋体"/>
          <w:color w:val="000000"/>
          <w:sz w:val="24"/>
        </w:rPr>
      </w:pPr>
      <w:r>
        <w:rPr>
          <w:rFonts w:hint="eastAsia" w:ascii="宋体" w:hAnsi="宋体" w:cs="宋体"/>
          <w:color w:val="000000"/>
          <w:sz w:val="24"/>
        </w:rPr>
        <w:t>　　第5.2.3项补充：</w:t>
      </w:r>
    </w:p>
    <w:p w14:paraId="3437604C">
      <w:pPr>
        <w:spacing w:line="360" w:lineRule="auto"/>
        <w:rPr>
          <w:rFonts w:ascii="宋体" w:hAnsi="宋体" w:cs="宋体"/>
          <w:color w:val="000000"/>
          <w:sz w:val="24"/>
        </w:rPr>
      </w:pPr>
      <w:r>
        <w:rPr>
          <w:rFonts w:hint="eastAsia" w:ascii="宋体" w:hAnsi="宋体" w:cs="宋体"/>
          <w:color w:val="000000"/>
          <w:sz w:val="24"/>
        </w:rPr>
        <w:t>　　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65DC0E5A">
      <w:pPr>
        <w:spacing w:line="360" w:lineRule="auto"/>
        <w:rPr>
          <w:rFonts w:ascii="宋体" w:hAnsi="宋体" w:cs="宋体"/>
          <w:b/>
          <w:color w:val="000000"/>
          <w:kern w:val="0"/>
          <w:sz w:val="24"/>
        </w:rPr>
      </w:pPr>
      <w:bookmarkStart w:id="213" w:name="_Toc514414303"/>
      <w:bookmarkStart w:id="214" w:name="_Toc28335"/>
      <w:bookmarkStart w:id="215" w:name="_Toc23509"/>
      <w:r>
        <w:rPr>
          <w:rFonts w:hint="eastAsia" w:ascii="宋体" w:hAnsi="宋体" w:cs="宋体"/>
          <w:b/>
          <w:color w:val="000000"/>
          <w:kern w:val="0"/>
          <w:sz w:val="24"/>
        </w:rPr>
        <w:t>6．施工设备和临时设施</w:t>
      </w:r>
      <w:bookmarkEnd w:id="213"/>
      <w:bookmarkEnd w:id="214"/>
      <w:bookmarkEnd w:id="215"/>
    </w:p>
    <w:p w14:paraId="5449AFBA">
      <w:pPr>
        <w:spacing w:line="360" w:lineRule="auto"/>
        <w:rPr>
          <w:rFonts w:ascii="宋体" w:hAnsi="宋体" w:cs="宋体"/>
          <w:b/>
          <w:color w:val="000000"/>
          <w:kern w:val="0"/>
          <w:sz w:val="24"/>
        </w:rPr>
      </w:pPr>
      <w:bookmarkStart w:id="216" w:name="_Toc27114"/>
      <w:bookmarkStart w:id="217" w:name="_Toc4989"/>
      <w:bookmarkStart w:id="218" w:name="_Toc514414304"/>
      <w:r>
        <w:rPr>
          <w:rFonts w:hint="eastAsia" w:ascii="宋体" w:hAnsi="宋体" w:cs="宋体"/>
          <w:b/>
          <w:color w:val="000000"/>
          <w:kern w:val="0"/>
          <w:sz w:val="24"/>
        </w:rPr>
        <w:t>6.1．承包人提供的施工设备和临时设施</w:t>
      </w:r>
      <w:bookmarkEnd w:id="216"/>
      <w:bookmarkEnd w:id="217"/>
      <w:bookmarkEnd w:id="218"/>
    </w:p>
    <w:p w14:paraId="7997A8CA">
      <w:pPr>
        <w:spacing w:line="360" w:lineRule="auto"/>
        <w:rPr>
          <w:rFonts w:ascii="宋体" w:hAnsi="宋体" w:cs="宋体"/>
          <w:color w:val="000000"/>
          <w:sz w:val="24"/>
        </w:rPr>
      </w:pPr>
      <w:r>
        <w:rPr>
          <w:rFonts w:hint="eastAsia" w:ascii="宋体" w:hAnsi="宋体" w:cs="宋体"/>
          <w:color w:val="000000"/>
          <w:sz w:val="24"/>
        </w:rPr>
        <w:t>　　第6.1.2项约定为：</w:t>
      </w:r>
    </w:p>
    <w:p w14:paraId="650D27D9">
      <w:pPr>
        <w:spacing w:line="360" w:lineRule="auto"/>
        <w:rPr>
          <w:rFonts w:ascii="宋体" w:hAnsi="宋体" w:cs="宋体"/>
          <w:color w:val="000000"/>
          <w:sz w:val="24"/>
        </w:rPr>
      </w:pPr>
      <w:r>
        <w:rPr>
          <w:rFonts w:hint="eastAsia" w:ascii="宋体" w:hAnsi="宋体" w:cs="宋体"/>
          <w:color w:val="000000"/>
          <w:sz w:val="24"/>
        </w:rPr>
        <w:t>　　承包人应自行承担修建临时设施的费用，需要临时占地的，应由承包人按第4.1.10项（1）目的规定办理。</w:t>
      </w:r>
    </w:p>
    <w:p w14:paraId="3A20178C">
      <w:pPr>
        <w:spacing w:line="360" w:lineRule="auto"/>
        <w:rPr>
          <w:rFonts w:ascii="宋体" w:hAnsi="宋体" w:cs="宋体"/>
          <w:b/>
          <w:color w:val="000000"/>
          <w:kern w:val="0"/>
          <w:sz w:val="24"/>
        </w:rPr>
      </w:pPr>
      <w:bookmarkStart w:id="219" w:name="_Toc514414305"/>
      <w:bookmarkStart w:id="220" w:name="_Toc21376"/>
      <w:bookmarkStart w:id="221" w:name="_Toc25659"/>
      <w:r>
        <w:rPr>
          <w:rFonts w:hint="eastAsia" w:ascii="宋体" w:hAnsi="宋体" w:cs="宋体"/>
          <w:b/>
          <w:color w:val="000000"/>
          <w:kern w:val="0"/>
          <w:sz w:val="24"/>
        </w:rPr>
        <w:t>6.3．要求承包人增加或更换施工设备</w:t>
      </w:r>
      <w:bookmarkEnd w:id="219"/>
      <w:bookmarkEnd w:id="220"/>
      <w:bookmarkEnd w:id="221"/>
    </w:p>
    <w:p w14:paraId="33672F13">
      <w:pPr>
        <w:spacing w:line="360" w:lineRule="auto"/>
        <w:rPr>
          <w:rFonts w:ascii="宋体" w:hAnsi="宋体" w:cs="宋体"/>
          <w:color w:val="000000"/>
          <w:sz w:val="24"/>
        </w:rPr>
      </w:pPr>
      <w:r>
        <w:rPr>
          <w:rFonts w:hint="eastAsia" w:ascii="宋体" w:hAnsi="宋体" w:cs="宋体"/>
          <w:color w:val="000000"/>
          <w:sz w:val="24"/>
        </w:rPr>
        <w:t>　　本款细化为：</w:t>
      </w:r>
    </w:p>
    <w:p w14:paraId="0F70CC23">
      <w:pPr>
        <w:spacing w:line="360" w:lineRule="auto"/>
        <w:rPr>
          <w:rFonts w:ascii="宋体" w:hAnsi="宋体" w:cs="宋体"/>
          <w:color w:val="000000"/>
          <w:sz w:val="24"/>
        </w:rPr>
      </w:pPr>
      <w:r>
        <w:rPr>
          <w:rFonts w:hint="eastAsia" w:ascii="宋体" w:hAnsi="宋体" w:cs="宋体"/>
          <w:color w:val="000000"/>
          <w:sz w:val="24"/>
        </w:rPr>
        <w:t>　　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计划工期延误由承包人承担。</w:t>
      </w:r>
    </w:p>
    <w:p w14:paraId="2FD7B79D">
      <w:pPr>
        <w:spacing w:line="360" w:lineRule="auto"/>
        <w:rPr>
          <w:rFonts w:ascii="宋体" w:hAnsi="宋体" w:cs="宋体"/>
          <w:b/>
          <w:color w:val="000000"/>
          <w:kern w:val="0"/>
          <w:sz w:val="24"/>
        </w:rPr>
      </w:pPr>
      <w:bookmarkStart w:id="222" w:name="_Toc17671"/>
      <w:bookmarkStart w:id="223" w:name="_Toc514414306"/>
      <w:bookmarkStart w:id="224" w:name="_Toc31779"/>
      <w:r>
        <w:rPr>
          <w:rFonts w:hint="eastAsia" w:ascii="宋体" w:hAnsi="宋体" w:cs="宋体"/>
          <w:b/>
          <w:color w:val="000000"/>
          <w:kern w:val="0"/>
          <w:sz w:val="24"/>
        </w:rPr>
        <w:t>7．交通运输</w:t>
      </w:r>
      <w:bookmarkEnd w:id="222"/>
      <w:bookmarkEnd w:id="223"/>
      <w:bookmarkEnd w:id="224"/>
    </w:p>
    <w:p w14:paraId="73953717">
      <w:pPr>
        <w:spacing w:line="360" w:lineRule="auto"/>
        <w:rPr>
          <w:rFonts w:ascii="宋体" w:hAnsi="宋体" w:cs="宋体"/>
          <w:b/>
          <w:color w:val="000000"/>
          <w:kern w:val="0"/>
          <w:sz w:val="24"/>
        </w:rPr>
      </w:pPr>
      <w:bookmarkStart w:id="225" w:name="_Toc514414307"/>
      <w:bookmarkStart w:id="226" w:name="_Toc15128"/>
      <w:bookmarkStart w:id="227" w:name="_Toc11368"/>
      <w:r>
        <w:rPr>
          <w:rFonts w:hint="eastAsia" w:ascii="宋体" w:hAnsi="宋体" w:cs="宋体"/>
          <w:b/>
          <w:color w:val="000000"/>
          <w:kern w:val="0"/>
          <w:sz w:val="24"/>
        </w:rPr>
        <w:t>7.1．道路通行权和场外设施</w:t>
      </w:r>
      <w:bookmarkEnd w:id="225"/>
      <w:bookmarkEnd w:id="226"/>
      <w:bookmarkEnd w:id="227"/>
    </w:p>
    <w:p w14:paraId="60739BBF">
      <w:pPr>
        <w:spacing w:line="360" w:lineRule="auto"/>
        <w:rPr>
          <w:rFonts w:ascii="宋体" w:hAnsi="宋体" w:cs="宋体"/>
          <w:color w:val="000000"/>
          <w:sz w:val="24"/>
        </w:rPr>
      </w:pPr>
      <w:r>
        <w:rPr>
          <w:rFonts w:hint="eastAsia" w:ascii="宋体" w:hAnsi="宋体" w:cs="宋体"/>
          <w:color w:val="000000"/>
          <w:sz w:val="24"/>
        </w:rPr>
        <w:t>　　本款约定为：</w:t>
      </w:r>
    </w:p>
    <w:p w14:paraId="385A2868">
      <w:pPr>
        <w:spacing w:line="360" w:lineRule="auto"/>
        <w:rPr>
          <w:rFonts w:ascii="宋体" w:hAnsi="宋体" w:cs="宋体"/>
          <w:color w:val="000000"/>
          <w:sz w:val="24"/>
        </w:rPr>
      </w:pPr>
      <w:r>
        <w:rPr>
          <w:rFonts w:hint="eastAsia" w:ascii="宋体" w:hAnsi="宋体" w:cs="宋体"/>
          <w:color w:val="000000"/>
          <w:sz w:val="24"/>
        </w:rPr>
        <w:t>　　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1A0D292F">
      <w:pPr>
        <w:spacing w:line="360" w:lineRule="auto"/>
        <w:rPr>
          <w:rFonts w:ascii="宋体" w:hAnsi="宋体" w:cs="宋体"/>
          <w:b/>
          <w:color w:val="000000"/>
          <w:kern w:val="0"/>
          <w:sz w:val="24"/>
        </w:rPr>
      </w:pPr>
      <w:bookmarkStart w:id="228" w:name="_Toc14454"/>
      <w:bookmarkStart w:id="229" w:name="_Toc514414308"/>
      <w:bookmarkStart w:id="230" w:name="_Toc12415"/>
      <w:r>
        <w:rPr>
          <w:rFonts w:hint="eastAsia" w:ascii="宋体" w:hAnsi="宋体" w:cs="宋体"/>
          <w:b/>
          <w:color w:val="000000"/>
          <w:kern w:val="0"/>
          <w:sz w:val="24"/>
        </w:rPr>
        <w:t>8．测量放线</w:t>
      </w:r>
      <w:bookmarkEnd w:id="228"/>
      <w:bookmarkEnd w:id="229"/>
      <w:bookmarkEnd w:id="230"/>
    </w:p>
    <w:p w14:paraId="0FAC53DC">
      <w:pPr>
        <w:spacing w:line="360" w:lineRule="auto"/>
        <w:rPr>
          <w:rFonts w:ascii="宋体" w:hAnsi="宋体" w:cs="宋体"/>
          <w:b/>
          <w:color w:val="000000"/>
          <w:kern w:val="0"/>
          <w:sz w:val="24"/>
        </w:rPr>
      </w:pPr>
      <w:bookmarkStart w:id="231" w:name="_Toc26334"/>
      <w:bookmarkStart w:id="232" w:name="_Toc514414309"/>
      <w:r>
        <w:rPr>
          <w:rFonts w:hint="eastAsia" w:ascii="宋体" w:hAnsi="宋体" w:cs="宋体"/>
          <w:b/>
          <w:color w:val="000000"/>
          <w:kern w:val="0"/>
          <w:sz w:val="24"/>
        </w:rPr>
        <w:t>8.4．监理人使用施工控制网</w:t>
      </w:r>
      <w:bookmarkEnd w:id="231"/>
      <w:bookmarkEnd w:id="232"/>
    </w:p>
    <w:p w14:paraId="359EA10C">
      <w:pPr>
        <w:spacing w:line="360" w:lineRule="auto"/>
        <w:rPr>
          <w:rFonts w:ascii="宋体" w:hAnsi="宋体" w:cs="宋体"/>
          <w:color w:val="000000"/>
          <w:sz w:val="24"/>
        </w:rPr>
      </w:pPr>
      <w:r>
        <w:rPr>
          <w:rFonts w:hint="eastAsia" w:ascii="宋体" w:hAnsi="宋体" w:cs="宋体"/>
          <w:color w:val="000000"/>
          <w:sz w:val="24"/>
        </w:rPr>
        <w:t>　　本款补充：</w:t>
      </w:r>
    </w:p>
    <w:p w14:paraId="71D29D16">
      <w:pPr>
        <w:spacing w:line="360" w:lineRule="auto"/>
        <w:rPr>
          <w:rFonts w:ascii="宋体" w:hAnsi="宋体" w:cs="宋体"/>
          <w:color w:val="000000"/>
          <w:sz w:val="24"/>
        </w:rPr>
      </w:pPr>
      <w:r>
        <w:rPr>
          <w:rFonts w:hint="eastAsia" w:ascii="宋体" w:hAnsi="宋体" w:cs="宋体"/>
          <w:color w:val="000000"/>
          <w:sz w:val="24"/>
        </w:rPr>
        <w:t>　　经监理人批准，其他相关承包人也可免费使用施工控制网。</w:t>
      </w:r>
    </w:p>
    <w:p w14:paraId="3A751F6B">
      <w:pPr>
        <w:spacing w:line="360" w:lineRule="auto"/>
        <w:rPr>
          <w:rFonts w:ascii="宋体" w:hAnsi="宋体" w:cs="宋体"/>
          <w:b/>
          <w:color w:val="000000"/>
          <w:kern w:val="0"/>
          <w:sz w:val="24"/>
        </w:rPr>
      </w:pPr>
      <w:bookmarkStart w:id="233" w:name="_Toc5376"/>
      <w:bookmarkStart w:id="234" w:name="_Toc22672"/>
      <w:bookmarkStart w:id="235" w:name="_Toc514414310"/>
      <w:r>
        <w:rPr>
          <w:rFonts w:hint="eastAsia" w:ascii="宋体" w:hAnsi="宋体" w:cs="宋体"/>
          <w:b/>
          <w:color w:val="000000"/>
          <w:kern w:val="0"/>
          <w:sz w:val="24"/>
        </w:rPr>
        <w:t>9．施工安全、治安保卫和环境保护</w:t>
      </w:r>
      <w:bookmarkEnd w:id="233"/>
      <w:bookmarkEnd w:id="234"/>
      <w:bookmarkEnd w:id="235"/>
    </w:p>
    <w:p w14:paraId="13E21B10">
      <w:pPr>
        <w:spacing w:line="360" w:lineRule="auto"/>
        <w:rPr>
          <w:rFonts w:ascii="宋体" w:hAnsi="宋体" w:cs="宋体"/>
          <w:b/>
          <w:color w:val="000000"/>
          <w:kern w:val="0"/>
          <w:sz w:val="24"/>
        </w:rPr>
      </w:pPr>
      <w:bookmarkStart w:id="236" w:name="_Toc514414311"/>
      <w:bookmarkStart w:id="237" w:name="_Toc31590"/>
      <w:bookmarkStart w:id="238" w:name="_Toc15614"/>
      <w:r>
        <w:rPr>
          <w:rFonts w:hint="eastAsia" w:ascii="宋体" w:hAnsi="宋体" w:cs="宋体"/>
          <w:b/>
          <w:color w:val="000000"/>
          <w:kern w:val="0"/>
          <w:sz w:val="24"/>
        </w:rPr>
        <w:t>9.2．承包人的施工安全责任</w:t>
      </w:r>
      <w:bookmarkEnd w:id="236"/>
      <w:bookmarkEnd w:id="237"/>
      <w:bookmarkEnd w:id="238"/>
    </w:p>
    <w:p w14:paraId="1B3E8C8C">
      <w:pPr>
        <w:spacing w:line="360" w:lineRule="auto"/>
        <w:rPr>
          <w:rFonts w:ascii="宋体" w:hAnsi="宋体" w:cs="宋体"/>
          <w:color w:val="000000"/>
          <w:sz w:val="24"/>
        </w:rPr>
      </w:pPr>
      <w:r>
        <w:rPr>
          <w:rFonts w:hint="eastAsia" w:ascii="宋体" w:hAnsi="宋体" w:cs="宋体"/>
          <w:color w:val="000000"/>
          <w:sz w:val="24"/>
        </w:rPr>
        <w:t>　　第9.2.1项细化为：</w:t>
      </w:r>
    </w:p>
    <w:p w14:paraId="5C341A26">
      <w:pPr>
        <w:spacing w:line="360" w:lineRule="auto"/>
        <w:rPr>
          <w:rFonts w:ascii="宋体" w:hAnsi="宋体" w:cs="宋体"/>
          <w:color w:val="000000"/>
          <w:sz w:val="24"/>
        </w:rPr>
      </w:pPr>
      <w:r>
        <w:rPr>
          <w:rFonts w:hint="eastAsia" w:ascii="宋体" w:hAnsi="宋体" w:cs="宋体"/>
          <w:color w:val="000000"/>
          <w:sz w:val="24"/>
        </w:rPr>
        <w:t>　　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3BA0607C">
      <w:pPr>
        <w:spacing w:line="360" w:lineRule="auto"/>
        <w:rPr>
          <w:rFonts w:ascii="宋体" w:hAnsi="宋体" w:cs="宋体"/>
          <w:color w:val="000000"/>
          <w:sz w:val="24"/>
        </w:rPr>
      </w:pPr>
      <w:r>
        <w:rPr>
          <w:rFonts w:hint="eastAsia" w:ascii="宋体" w:hAnsi="宋体" w:cs="宋体"/>
          <w:color w:val="000000"/>
          <w:sz w:val="24"/>
        </w:rPr>
        <w:t>　　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60303966">
      <w:pPr>
        <w:spacing w:line="360" w:lineRule="auto"/>
        <w:rPr>
          <w:rFonts w:ascii="宋体" w:hAnsi="宋体" w:cs="宋体"/>
          <w:color w:val="000000"/>
          <w:sz w:val="24"/>
        </w:rPr>
      </w:pPr>
      <w:r>
        <w:rPr>
          <w:rFonts w:hint="eastAsia" w:ascii="宋体" w:hAnsi="宋体" w:cs="宋体"/>
          <w:color w:val="000000"/>
          <w:sz w:val="24"/>
        </w:rPr>
        <w:t>　　本项目需要编制专项施工方案的工程包括但不限于以下内容：</w:t>
      </w:r>
    </w:p>
    <w:p w14:paraId="2AFB13E3">
      <w:pPr>
        <w:spacing w:line="360" w:lineRule="auto"/>
        <w:rPr>
          <w:rFonts w:ascii="宋体" w:hAnsi="宋体" w:cs="宋体"/>
          <w:color w:val="000000"/>
          <w:sz w:val="24"/>
        </w:rPr>
      </w:pPr>
      <w:r>
        <w:rPr>
          <w:rFonts w:hint="eastAsia" w:ascii="宋体" w:hAnsi="宋体" w:cs="宋体"/>
          <w:color w:val="000000"/>
          <w:sz w:val="24"/>
        </w:rPr>
        <w:t>　　（1）不良地质条件下有潜在危险性的土方、石方开挖；</w:t>
      </w:r>
    </w:p>
    <w:p w14:paraId="7DD54886">
      <w:pPr>
        <w:spacing w:line="360" w:lineRule="auto"/>
        <w:rPr>
          <w:rFonts w:ascii="宋体" w:hAnsi="宋体" w:cs="宋体"/>
          <w:color w:val="000000"/>
          <w:sz w:val="24"/>
        </w:rPr>
      </w:pPr>
      <w:r>
        <w:rPr>
          <w:rFonts w:hint="eastAsia" w:ascii="宋体" w:hAnsi="宋体" w:cs="宋体"/>
          <w:color w:val="000000"/>
          <w:sz w:val="24"/>
        </w:rPr>
        <w:t>　　（2）滑坡和高边坡处理；</w:t>
      </w:r>
    </w:p>
    <w:p w14:paraId="5EAE630C">
      <w:pPr>
        <w:spacing w:line="360" w:lineRule="auto"/>
        <w:rPr>
          <w:rFonts w:ascii="宋体" w:hAnsi="宋体" w:cs="宋体"/>
          <w:color w:val="000000"/>
          <w:sz w:val="24"/>
        </w:rPr>
      </w:pPr>
      <w:r>
        <w:rPr>
          <w:rFonts w:hint="eastAsia" w:ascii="宋体" w:hAnsi="宋体" w:cs="宋体"/>
          <w:color w:val="000000"/>
          <w:sz w:val="24"/>
        </w:rPr>
        <w:t>　　（3）桩基础、挡墙基础、深水基础及围堰工程；</w:t>
      </w:r>
    </w:p>
    <w:p w14:paraId="5B59F094">
      <w:pPr>
        <w:spacing w:line="360" w:lineRule="auto"/>
        <w:rPr>
          <w:rFonts w:ascii="宋体" w:hAnsi="宋体" w:cs="宋体"/>
          <w:color w:val="000000"/>
          <w:sz w:val="24"/>
        </w:rPr>
      </w:pPr>
      <w:r>
        <w:rPr>
          <w:rFonts w:hint="eastAsia" w:ascii="宋体" w:hAnsi="宋体" w:cs="宋体"/>
          <w:color w:val="000000"/>
          <w:sz w:val="24"/>
        </w:rPr>
        <w:t>　　（4）桥梁工程中的梁、拱、柱等构件施工等；</w:t>
      </w:r>
    </w:p>
    <w:p w14:paraId="01DD1D2C">
      <w:pPr>
        <w:spacing w:line="360" w:lineRule="auto"/>
        <w:rPr>
          <w:rFonts w:ascii="宋体" w:hAnsi="宋体" w:cs="宋体"/>
          <w:color w:val="000000"/>
          <w:sz w:val="24"/>
        </w:rPr>
      </w:pPr>
      <w:r>
        <w:rPr>
          <w:rFonts w:hint="eastAsia" w:ascii="宋体" w:hAnsi="宋体" w:cs="宋体"/>
          <w:color w:val="000000"/>
          <w:sz w:val="24"/>
        </w:rPr>
        <w:t>　　（5）隧道工程中的不良地质隧道、高瓦斯隧道等；</w:t>
      </w:r>
    </w:p>
    <w:p w14:paraId="537FE8D0">
      <w:pPr>
        <w:spacing w:line="360" w:lineRule="auto"/>
        <w:rPr>
          <w:rFonts w:ascii="宋体" w:hAnsi="宋体" w:cs="宋体"/>
          <w:color w:val="000000"/>
          <w:sz w:val="24"/>
        </w:rPr>
      </w:pPr>
      <w:r>
        <w:rPr>
          <w:rFonts w:hint="eastAsia" w:ascii="宋体" w:hAnsi="宋体" w:cs="宋体"/>
          <w:color w:val="000000"/>
          <w:sz w:val="24"/>
        </w:rPr>
        <w:t>　　（6）水上工程中的打桩船作业、施工船作业、外海孤岛作业、边通航边施工作业等；</w:t>
      </w:r>
    </w:p>
    <w:p w14:paraId="5D1EC0AD">
      <w:pPr>
        <w:spacing w:line="360" w:lineRule="auto"/>
        <w:rPr>
          <w:rFonts w:ascii="宋体" w:hAnsi="宋体" w:cs="宋体"/>
          <w:color w:val="000000"/>
          <w:sz w:val="24"/>
        </w:rPr>
      </w:pPr>
      <w:r>
        <w:rPr>
          <w:rFonts w:hint="eastAsia" w:ascii="宋体" w:hAnsi="宋体" w:cs="宋体"/>
          <w:color w:val="000000"/>
          <w:sz w:val="24"/>
        </w:rPr>
        <w:t>　　（7）水下工程中的水下焊接、混凝土浇筑、爆破工程等；</w:t>
      </w:r>
    </w:p>
    <w:p w14:paraId="30388987">
      <w:pPr>
        <w:spacing w:line="360" w:lineRule="auto"/>
        <w:rPr>
          <w:rFonts w:ascii="宋体" w:hAnsi="宋体" w:cs="宋体"/>
          <w:color w:val="000000"/>
          <w:sz w:val="24"/>
        </w:rPr>
      </w:pPr>
      <w:r>
        <w:rPr>
          <w:rFonts w:hint="eastAsia" w:ascii="宋体" w:hAnsi="宋体" w:cs="宋体"/>
          <w:color w:val="000000"/>
          <w:sz w:val="24"/>
        </w:rPr>
        <w:t>　　（8）爆破工程；</w:t>
      </w:r>
    </w:p>
    <w:p w14:paraId="6D23DD14">
      <w:pPr>
        <w:spacing w:line="360" w:lineRule="auto"/>
        <w:rPr>
          <w:rFonts w:ascii="宋体" w:hAnsi="宋体" w:cs="宋体"/>
          <w:color w:val="000000"/>
          <w:sz w:val="24"/>
        </w:rPr>
      </w:pPr>
      <w:r>
        <w:rPr>
          <w:rFonts w:hint="eastAsia" w:ascii="宋体" w:hAnsi="宋体" w:cs="宋体"/>
          <w:color w:val="000000"/>
          <w:sz w:val="24"/>
        </w:rPr>
        <w:t>　　（9）大型临时工程中的大型支架、模板、便桥的架设与拆除；桥梁、码头的加固与拆除；</w:t>
      </w:r>
    </w:p>
    <w:p w14:paraId="3BDAB911">
      <w:pPr>
        <w:spacing w:line="360" w:lineRule="auto"/>
        <w:rPr>
          <w:rFonts w:ascii="宋体" w:hAnsi="宋体" w:cs="宋体"/>
          <w:color w:val="000000"/>
          <w:sz w:val="24"/>
        </w:rPr>
      </w:pPr>
      <w:r>
        <w:rPr>
          <w:rFonts w:hint="eastAsia" w:ascii="宋体" w:hAnsi="宋体" w:cs="宋体"/>
          <w:color w:val="000000"/>
          <w:sz w:val="24"/>
        </w:rPr>
        <w:t>　　（10）其他危险性较大的工程。</w:t>
      </w:r>
    </w:p>
    <w:p w14:paraId="316F6F9D">
      <w:pPr>
        <w:spacing w:line="360" w:lineRule="auto"/>
        <w:rPr>
          <w:rFonts w:ascii="宋体" w:hAnsi="宋体" w:cs="宋体"/>
          <w:color w:val="000000"/>
          <w:sz w:val="24"/>
        </w:rPr>
      </w:pPr>
      <w:r>
        <w:rPr>
          <w:rFonts w:hint="eastAsia" w:ascii="宋体" w:hAnsi="宋体" w:cs="宋体"/>
          <w:color w:val="000000"/>
          <w:sz w:val="24"/>
        </w:rPr>
        <w:t>　　监理人和发包人在检查中发现有安全问题或有违反安全管理规章制度的情况时，可视为承包人违约，应按第22.1款的规定办理。</w:t>
      </w:r>
    </w:p>
    <w:p w14:paraId="68346CC0">
      <w:pPr>
        <w:spacing w:line="360" w:lineRule="auto"/>
        <w:rPr>
          <w:rFonts w:ascii="宋体" w:hAnsi="宋体" w:cs="宋体"/>
          <w:color w:val="000000"/>
          <w:sz w:val="24"/>
        </w:rPr>
      </w:pPr>
      <w:r>
        <w:rPr>
          <w:rFonts w:hint="eastAsia" w:ascii="宋体" w:hAnsi="宋体" w:cs="宋体"/>
          <w:color w:val="000000"/>
          <w:sz w:val="24"/>
        </w:rPr>
        <w:t>　　第9.2.5项细化为：</w:t>
      </w:r>
    </w:p>
    <w:p w14:paraId="50EE476E">
      <w:pPr>
        <w:spacing w:line="360" w:lineRule="auto"/>
        <w:rPr>
          <w:rFonts w:ascii="宋体" w:hAnsi="宋体" w:cs="宋体"/>
          <w:color w:val="000000"/>
          <w:sz w:val="24"/>
        </w:rPr>
      </w:pPr>
      <w:r>
        <w:rPr>
          <w:rFonts w:hint="eastAsia" w:ascii="宋体" w:hAnsi="宋体" w:cs="宋体"/>
          <w:color w:val="000000"/>
          <w:sz w:val="24"/>
        </w:rPr>
        <w:t>　　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1725DD27">
      <w:pPr>
        <w:spacing w:line="360" w:lineRule="auto"/>
        <w:rPr>
          <w:rFonts w:ascii="宋体" w:hAnsi="宋体" w:cs="宋体"/>
          <w:color w:val="000000"/>
          <w:sz w:val="24"/>
        </w:rPr>
      </w:pPr>
      <w:r>
        <w:rPr>
          <w:rFonts w:hint="eastAsia" w:ascii="宋体" w:hAnsi="宋体" w:cs="宋体"/>
          <w:color w:val="000000"/>
          <w:sz w:val="24"/>
        </w:rPr>
        <w:t>　　本款补充第9.2.8项～第9.2.11项：</w:t>
      </w:r>
    </w:p>
    <w:p w14:paraId="1FD4F598">
      <w:pPr>
        <w:spacing w:line="360" w:lineRule="auto"/>
        <w:rPr>
          <w:rFonts w:ascii="宋体" w:hAnsi="宋体" w:cs="宋体"/>
          <w:color w:val="000000"/>
          <w:sz w:val="24"/>
        </w:rPr>
      </w:pPr>
      <w:r>
        <w:rPr>
          <w:rFonts w:hint="eastAsia" w:ascii="宋体" w:hAnsi="宋体" w:cs="宋体"/>
          <w:color w:val="000000"/>
          <w:sz w:val="24"/>
        </w:rPr>
        <w:t>　　9.2.8承包人应充分关注和保障所有在现场工作的人员的安全，采取以下有效措施，使现场和本合同工程的实施保持有条不紊，以免使上述人员的安全受到威胁。</w:t>
      </w:r>
    </w:p>
    <w:p w14:paraId="722F30D9">
      <w:pPr>
        <w:spacing w:line="360" w:lineRule="auto"/>
        <w:rPr>
          <w:rFonts w:ascii="宋体" w:hAnsi="宋体" w:cs="宋体"/>
          <w:color w:val="000000"/>
          <w:sz w:val="24"/>
        </w:rPr>
      </w:pPr>
      <w:r>
        <w:rPr>
          <w:rFonts w:hint="eastAsia" w:ascii="宋体" w:hAnsi="宋体" w:cs="宋体"/>
          <w:color w:val="000000"/>
          <w:sz w:val="24"/>
        </w:rPr>
        <w:t>　　（1）按《公路水运工程安全生产监督管理办法》规定的最低数量和资质条件配备专职安全生产管理人员；</w:t>
      </w:r>
    </w:p>
    <w:p w14:paraId="2275B59B">
      <w:pPr>
        <w:spacing w:line="360" w:lineRule="auto"/>
        <w:rPr>
          <w:rFonts w:ascii="宋体" w:hAnsi="宋体" w:cs="宋体"/>
          <w:color w:val="000000"/>
          <w:sz w:val="24"/>
        </w:rPr>
      </w:pPr>
      <w:r>
        <w:rPr>
          <w:rFonts w:hint="eastAsia" w:ascii="宋体" w:hAnsi="宋体" w:cs="宋体"/>
          <w:color w:val="000000"/>
          <w:sz w:val="24"/>
        </w:rPr>
        <w:t>　　（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72CF1535">
      <w:pPr>
        <w:spacing w:line="360" w:lineRule="auto"/>
        <w:rPr>
          <w:rFonts w:ascii="宋体" w:hAnsi="宋体" w:cs="宋体"/>
          <w:color w:val="000000"/>
          <w:sz w:val="24"/>
        </w:rPr>
      </w:pPr>
      <w:r>
        <w:rPr>
          <w:rFonts w:hint="eastAsia" w:ascii="宋体" w:hAnsi="宋体" w:cs="宋体"/>
          <w:color w:val="000000"/>
          <w:sz w:val="24"/>
        </w:rPr>
        <w:t>　　（3）所有施工机具设备和高空作业设备均应定期检查，并有安全员的签字记录；</w:t>
      </w:r>
    </w:p>
    <w:p w14:paraId="400C0CAB">
      <w:pPr>
        <w:spacing w:line="360" w:lineRule="auto"/>
        <w:rPr>
          <w:rFonts w:ascii="宋体" w:hAnsi="宋体" w:cs="宋体"/>
          <w:color w:val="000000"/>
          <w:sz w:val="24"/>
        </w:rPr>
      </w:pPr>
      <w:r>
        <w:rPr>
          <w:rFonts w:hint="eastAsia" w:ascii="宋体" w:hAnsi="宋体" w:cs="宋体"/>
          <w:color w:val="000000"/>
          <w:sz w:val="24"/>
        </w:rPr>
        <w:t>　　（4）根据本合同各单位工程的施工特点，严格执行《公路水运工程安全生产监督管理办法》《公路工程施工安全技术规范》等有关规定。</w:t>
      </w:r>
    </w:p>
    <w:p w14:paraId="026DBA52">
      <w:pPr>
        <w:spacing w:line="360" w:lineRule="auto"/>
        <w:rPr>
          <w:rFonts w:ascii="宋体" w:hAnsi="宋体" w:cs="宋体"/>
          <w:color w:val="000000"/>
          <w:sz w:val="24"/>
        </w:rPr>
      </w:pPr>
      <w:r>
        <w:rPr>
          <w:rFonts w:hint="eastAsia" w:ascii="宋体" w:hAnsi="宋体" w:cs="宋体"/>
          <w:color w:val="000000"/>
          <w:sz w:val="24"/>
        </w:rPr>
        <w:t>　　9.2.9为了保护本合同工程免遭损坏，或为了现场附近和过往群众的安全与方便，在确有必要的时候和地方，或当监理人或有关主管部门要求时，承包人应自费提供照明、警卫、护栅、警告标志等安全防护设施。</w:t>
      </w:r>
    </w:p>
    <w:p w14:paraId="0C97C875">
      <w:pPr>
        <w:spacing w:line="360" w:lineRule="auto"/>
        <w:rPr>
          <w:rFonts w:ascii="宋体" w:hAnsi="宋体" w:cs="宋体"/>
          <w:color w:val="000000"/>
          <w:sz w:val="24"/>
        </w:rPr>
      </w:pPr>
      <w:r>
        <w:rPr>
          <w:rFonts w:hint="eastAsia" w:ascii="宋体" w:hAnsi="宋体" w:cs="宋体"/>
          <w:color w:val="000000"/>
          <w:sz w:val="24"/>
        </w:rPr>
        <w:t>　　9.2.10在通航水域施工时，承包人应与当地主管部门取得联系，设置必要的导航标志，及时发布航行通告，确保施工水域安全。</w:t>
      </w:r>
    </w:p>
    <w:p w14:paraId="57CE5DC8">
      <w:pPr>
        <w:spacing w:line="360" w:lineRule="auto"/>
        <w:rPr>
          <w:rFonts w:ascii="宋体" w:hAnsi="宋体" w:cs="宋体"/>
          <w:color w:val="000000"/>
          <w:sz w:val="24"/>
        </w:rPr>
      </w:pPr>
      <w:r>
        <w:rPr>
          <w:rFonts w:hint="eastAsia" w:ascii="宋体" w:hAnsi="宋体" w:cs="宋体"/>
          <w:color w:val="000000"/>
          <w:sz w:val="24"/>
        </w:rPr>
        <w:t>　　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616BB66A">
      <w:pPr>
        <w:spacing w:line="360" w:lineRule="auto"/>
        <w:rPr>
          <w:rFonts w:ascii="宋体" w:hAnsi="宋体" w:cs="宋体"/>
          <w:b/>
          <w:color w:val="000000"/>
          <w:kern w:val="0"/>
          <w:sz w:val="24"/>
        </w:rPr>
      </w:pPr>
      <w:bookmarkStart w:id="239" w:name="_Toc31600"/>
      <w:bookmarkStart w:id="240" w:name="_Toc7952"/>
      <w:bookmarkStart w:id="241" w:name="_Toc514414312"/>
      <w:r>
        <w:rPr>
          <w:rFonts w:hint="eastAsia" w:ascii="宋体" w:hAnsi="宋体" w:cs="宋体"/>
          <w:b/>
          <w:color w:val="000000"/>
          <w:kern w:val="0"/>
          <w:sz w:val="24"/>
        </w:rPr>
        <w:t>9.4．环境保护</w:t>
      </w:r>
      <w:bookmarkEnd w:id="239"/>
      <w:bookmarkEnd w:id="240"/>
      <w:bookmarkEnd w:id="241"/>
    </w:p>
    <w:p w14:paraId="4DB7B7BC">
      <w:pPr>
        <w:spacing w:line="360" w:lineRule="auto"/>
        <w:rPr>
          <w:rFonts w:ascii="宋体" w:hAnsi="宋体" w:cs="宋体"/>
          <w:color w:val="000000"/>
          <w:sz w:val="24"/>
        </w:rPr>
      </w:pPr>
      <w:r>
        <w:rPr>
          <w:rFonts w:hint="eastAsia" w:ascii="宋体" w:hAnsi="宋体" w:cs="宋体"/>
          <w:color w:val="000000"/>
          <w:sz w:val="24"/>
        </w:rPr>
        <w:t>　　本款补充第9.4.7项～第9.4.11项：</w:t>
      </w:r>
    </w:p>
    <w:p w14:paraId="247F4EF6">
      <w:pPr>
        <w:spacing w:line="360" w:lineRule="auto"/>
        <w:rPr>
          <w:rFonts w:ascii="宋体" w:hAnsi="宋体" w:cs="宋体"/>
          <w:color w:val="000000"/>
          <w:sz w:val="24"/>
        </w:rPr>
      </w:pPr>
      <w:r>
        <w:rPr>
          <w:rFonts w:hint="eastAsia" w:ascii="宋体" w:hAnsi="宋体" w:cs="宋体"/>
          <w:color w:val="000000"/>
          <w:sz w:val="24"/>
        </w:rPr>
        <w:t>　　9.4.7承包人应切实执行技术规范中有关环境保护方面的条款和规定。</w:t>
      </w:r>
    </w:p>
    <w:p w14:paraId="1B237B48">
      <w:pPr>
        <w:spacing w:line="360" w:lineRule="auto"/>
        <w:rPr>
          <w:rFonts w:ascii="宋体" w:hAnsi="宋体" w:cs="宋体"/>
          <w:color w:val="000000"/>
          <w:sz w:val="24"/>
        </w:rPr>
      </w:pPr>
      <w:r>
        <w:rPr>
          <w:rFonts w:hint="eastAsia" w:ascii="宋体" w:hAnsi="宋体" w:cs="宋体"/>
          <w:color w:val="000000"/>
          <w:sz w:val="24"/>
        </w:rPr>
        <w:t>　　（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61AB6070">
      <w:pPr>
        <w:spacing w:line="360" w:lineRule="auto"/>
        <w:rPr>
          <w:rFonts w:ascii="宋体" w:hAnsi="宋体" w:cs="宋体"/>
          <w:color w:val="000000"/>
          <w:sz w:val="24"/>
        </w:rPr>
      </w:pPr>
      <w:r>
        <w:rPr>
          <w:rFonts w:hint="eastAsia" w:ascii="宋体" w:hAnsi="宋体" w:cs="宋体"/>
          <w:color w:val="000000"/>
          <w:sz w:val="24"/>
        </w:rPr>
        <w:t>　　（2）对于公路施工中粉尘污染的主要污染源――灰土拌和、施工车辆和筑路机械运行及运输产生的扬尘，应采取有效措施减轻其对施工现场的大气污染，保护人民健康，如：</w:t>
      </w:r>
    </w:p>
    <w:p w14:paraId="2151FB5F">
      <w:pPr>
        <w:spacing w:line="360" w:lineRule="auto"/>
        <w:rPr>
          <w:rFonts w:ascii="宋体" w:hAnsi="宋体" w:cs="宋体"/>
          <w:color w:val="000000"/>
          <w:sz w:val="24"/>
        </w:rPr>
      </w:pPr>
      <w:r>
        <w:rPr>
          <w:rFonts w:hint="eastAsia" w:ascii="宋体" w:hAnsi="宋体" w:cs="宋体"/>
          <w:color w:val="000000"/>
          <w:sz w:val="24"/>
        </w:rPr>
        <w:t>　　a.拌和设备应有较好的密封，或有防尘设备。</w:t>
      </w:r>
    </w:p>
    <w:p w14:paraId="30DB7524">
      <w:pPr>
        <w:spacing w:line="360" w:lineRule="auto"/>
        <w:rPr>
          <w:rFonts w:ascii="宋体" w:hAnsi="宋体" w:cs="宋体"/>
          <w:color w:val="000000"/>
          <w:sz w:val="24"/>
        </w:rPr>
      </w:pPr>
      <w:r>
        <w:rPr>
          <w:rFonts w:hint="eastAsia" w:ascii="宋体" w:hAnsi="宋体" w:cs="宋体"/>
          <w:color w:val="000000"/>
          <w:sz w:val="24"/>
        </w:rPr>
        <w:t>　　b.施工通道、沥青混凝土拌和站及灰土拌和站应经常进行洒水降尘。</w:t>
      </w:r>
    </w:p>
    <w:p w14:paraId="4791B157">
      <w:pPr>
        <w:spacing w:line="360" w:lineRule="auto"/>
        <w:rPr>
          <w:rFonts w:ascii="宋体" w:hAnsi="宋体" w:cs="宋体"/>
          <w:color w:val="000000"/>
          <w:sz w:val="24"/>
        </w:rPr>
      </w:pPr>
      <w:r>
        <w:rPr>
          <w:rFonts w:hint="eastAsia" w:ascii="宋体" w:hAnsi="宋体" w:cs="宋体"/>
          <w:color w:val="000000"/>
          <w:sz w:val="24"/>
        </w:rPr>
        <w:t>　　c.路面施工应注意保持水分，以免扬尘。</w:t>
      </w:r>
    </w:p>
    <w:p w14:paraId="3F34DBBF">
      <w:pPr>
        <w:spacing w:line="360" w:lineRule="auto"/>
        <w:rPr>
          <w:rFonts w:ascii="宋体" w:hAnsi="宋体" w:cs="宋体"/>
          <w:color w:val="000000"/>
          <w:sz w:val="24"/>
        </w:rPr>
      </w:pPr>
      <w:r>
        <w:rPr>
          <w:rFonts w:hint="eastAsia" w:ascii="宋体" w:hAnsi="宋体" w:cs="宋体"/>
          <w:color w:val="000000"/>
          <w:sz w:val="24"/>
        </w:rPr>
        <w:t>　　d.隧道出渣和桥梁钻孔灌注桩施工时排出的泥浆要进行妥善处理，严禁向河流或农田排放。</w:t>
      </w:r>
    </w:p>
    <w:p w14:paraId="1A68A31A">
      <w:pPr>
        <w:spacing w:line="360" w:lineRule="auto"/>
        <w:rPr>
          <w:rFonts w:ascii="宋体" w:hAnsi="宋体" w:cs="宋体"/>
          <w:color w:val="000000"/>
          <w:sz w:val="24"/>
        </w:rPr>
      </w:pPr>
      <w:r>
        <w:rPr>
          <w:rFonts w:hint="eastAsia" w:ascii="宋体" w:hAnsi="宋体" w:cs="宋体"/>
          <w:color w:val="000000"/>
          <w:sz w:val="24"/>
        </w:rPr>
        <w:t>　　（3）采取可靠措施保证原有交通的正常通行，维持沿线村镇的居民饮水、农田灌溉、生产生活用电及通信等管线的正常使用。</w:t>
      </w:r>
    </w:p>
    <w:p w14:paraId="7C6EC1D4">
      <w:pPr>
        <w:spacing w:line="360" w:lineRule="auto"/>
        <w:rPr>
          <w:rFonts w:ascii="宋体" w:hAnsi="宋体" w:cs="宋体"/>
          <w:color w:val="000000"/>
          <w:sz w:val="24"/>
        </w:rPr>
      </w:pPr>
      <w:r>
        <w:rPr>
          <w:rFonts w:hint="eastAsia" w:ascii="宋体" w:hAnsi="宋体" w:cs="宋体"/>
          <w:color w:val="000000"/>
          <w:sz w:val="24"/>
        </w:rPr>
        <w:t>　　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1DE7B015">
      <w:pPr>
        <w:spacing w:line="360" w:lineRule="auto"/>
        <w:rPr>
          <w:rFonts w:ascii="宋体" w:hAnsi="宋体" w:cs="宋体"/>
          <w:color w:val="000000"/>
          <w:sz w:val="24"/>
        </w:rPr>
      </w:pPr>
      <w:r>
        <w:rPr>
          <w:rFonts w:hint="eastAsia" w:ascii="宋体" w:hAnsi="宋体" w:cs="宋体"/>
          <w:color w:val="000000"/>
          <w:sz w:val="24"/>
        </w:rPr>
        <w:t>　　9.4.9在施计划工期间，承包人应随时保持现场整洁，施工设备和材料、工程设备应整齐妥善存放和储存，废料与垃圾及不再需要的临时设施应及时从现场清除、拆除并运走。</w:t>
      </w:r>
    </w:p>
    <w:p w14:paraId="21135425">
      <w:pPr>
        <w:spacing w:line="360" w:lineRule="auto"/>
        <w:rPr>
          <w:rFonts w:ascii="宋体" w:hAnsi="宋体" w:cs="宋体"/>
          <w:color w:val="000000"/>
          <w:sz w:val="24"/>
        </w:rPr>
      </w:pPr>
      <w:r>
        <w:rPr>
          <w:rFonts w:hint="eastAsia" w:ascii="宋体" w:hAnsi="宋体" w:cs="宋体"/>
          <w:color w:val="000000"/>
          <w:sz w:val="24"/>
        </w:rPr>
        <w:t>　　9.4.10在施计划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00113652">
      <w:pPr>
        <w:spacing w:line="360" w:lineRule="auto"/>
        <w:rPr>
          <w:rFonts w:ascii="宋体" w:hAnsi="宋体" w:cs="宋体"/>
          <w:color w:val="000000"/>
          <w:sz w:val="24"/>
        </w:rPr>
      </w:pPr>
      <w:r>
        <w:rPr>
          <w:rFonts w:hint="eastAsia" w:ascii="宋体" w:hAnsi="宋体" w:cs="宋体"/>
          <w:color w:val="000000"/>
          <w:sz w:val="24"/>
        </w:rPr>
        <w:t>　　9.4.11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3D0F830B">
      <w:pPr>
        <w:spacing w:line="360" w:lineRule="auto"/>
        <w:rPr>
          <w:rFonts w:ascii="宋体" w:hAnsi="宋体" w:cs="宋体"/>
          <w:b/>
          <w:color w:val="000000"/>
          <w:kern w:val="0"/>
          <w:sz w:val="24"/>
        </w:rPr>
      </w:pPr>
      <w:bookmarkStart w:id="242" w:name="_Toc27017"/>
      <w:bookmarkStart w:id="243" w:name="_Toc29631"/>
      <w:bookmarkStart w:id="244" w:name="_Toc514414313"/>
      <w:r>
        <w:rPr>
          <w:rFonts w:hint="eastAsia" w:ascii="宋体" w:hAnsi="宋体" w:cs="宋体"/>
          <w:b/>
          <w:color w:val="000000"/>
          <w:kern w:val="0"/>
          <w:sz w:val="24"/>
        </w:rPr>
        <w:t>10．进度计划</w:t>
      </w:r>
      <w:bookmarkEnd w:id="242"/>
      <w:bookmarkEnd w:id="243"/>
      <w:bookmarkEnd w:id="244"/>
    </w:p>
    <w:p w14:paraId="2409F8AD">
      <w:pPr>
        <w:spacing w:line="360" w:lineRule="auto"/>
        <w:rPr>
          <w:rFonts w:ascii="宋体" w:hAnsi="宋体" w:cs="宋体"/>
          <w:b/>
          <w:color w:val="000000"/>
          <w:kern w:val="0"/>
          <w:sz w:val="24"/>
        </w:rPr>
      </w:pPr>
      <w:bookmarkStart w:id="245" w:name="_Toc18969"/>
      <w:bookmarkStart w:id="246" w:name="_Toc31973"/>
      <w:bookmarkStart w:id="247" w:name="_Toc514414314"/>
      <w:r>
        <w:rPr>
          <w:rFonts w:hint="eastAsia" w:ascii="宋体" w:hAnsi="宋体" w:cs="宋体"/>
          <w:b/>
          <w:color w:val="000000"/>
          <w:kern w:val="0"/>
          <w:sz w:val="24"/>
        </w:rPr>
        <w:t>10.1．合同进度计划</w:t>
      </w:r>
      <w:bookmarkEnd w:id="245"/>
      <w:bookmarkEnd w:id="246"/>
      <w:bookmarkEnd w:id="247"/>
    </w:p>
    <w:p w14:paraId="539CC45C">
      <w:pPr>
        <w:spacing w:line="360" w:lineRule="auto"/>
        <w:rPr>
          <w:rFonts w:ascii="宋体" w:hAnsi="宋体" w:cs="宋体"/>
          <w:color w:val="000000"/>
          <w:sz w:val="24"/>
        </w:rPr>
      </w:pPr>
      <w:r>
        <w:rPr>
          <w:rFonts w:hint="eastAsia" w:ascii="宋体" w:hAnsi="宋体" w:cs="宋体"/>
          <w:color w:val="000000"/>
          <w:sz w:val="24"/>
        </w:rPr>
        <w:t>　　本款补充：</w:t>
      </w:r>
    </w:p>
    <w:p w14:paraId="0F0E92CC">
      <w:pPr>
        <w:spacing w:line="360" w:lineRule="auto"/>
        <w:rPr>
          <w:rFonts w:ascii="宋体" w:hAnsi="宋体" w:cs="宋体"/>
          <w:color w:val="000000"/>
          <w:sz w:val="24"/>
        </w:rPr>
      </w:pPr>
      <w:r>
        <w:rPr>
          <w:rFonts w:hint="eastAsia" w:ascii="宋体" w:hAnsi="宋体" w:cs="宋体"/>
          <w:color w:val="000000"/>
          <w:sz w:val="24"/>
        </w:rPr>
        <w:t>　　承包人编制施工方案说明的内容见项目专用合同条款。</w:t>
      </w:r>
    </w:p>
    <w:p w14:paraId="2D601585">
      <w:pPr>
        <w:spacing w:line="360" w:lineRule="auto"/>
        <w:rPr>
          <w:rFonts w:ascii="宋体" w:hAnsi="宋体" w:cs="宋体"/>
          <w:color w:val="000000"/>
          <w:sz w:val="24"/>
        </w:rPr>
      </w:pPr>
      <w:r>
        <w:rPr>
          <w:rFonts w:hint="eastAsia" w:ascii="宋体" w:hAnsi="宋体" w:cs="宋体"/>
          <w:color w:val="000000"/>
          <w:sz w:val="24"/>
        </w:rPr>
        <w:t>　　承包人向监理人报送施工进度计划和施工方案说明的期限：签订合同协议书后28天之内。</w:t>
      </w:r>
    </w:p>
    <w:p w14:paraId="6735F438">
      <w:pPr>
        <w:spacing w:line="360" w:lineRule="auto"/>
        <w:rPr>
          <w:rFonts w:ascii="宋体" w:hAnsi="宋体" w:cs="宋体"/>
          <w:color w:val="000000"/>
          <w:sz w:val="24"/>
        </w:rPr>
      </w:pPr>
      <w:r>
        <w:rPr>
          <w:rFonts w:hint="eastAsia" w:ascii="宋体" w:hAnsi="宋体" w:cs="宋体"/>
          <w:color w:val="000000"/>
          <w:sz w:val="24"/>
        </w:rPr>
        <w:t>　　监理人应在14天内对承包人施工进度计划和施工方案说明予以批复或提出修改意见。</w:t>
      </w:r>
    </w:p>
    <w:p w14:paraId="76877B3E">
      <w:pPr>
        <w:spacing w:line="360" w:lineRule="auto"/>
        <w:rPr>
          <w:rFonts w:ascii="宋体" w:hAnsi="宋体" w:cs="宋体"/>
          <w:color w:val="000000"/>
          <w:sz w:val="24"/>
        </w:rPr>
      </w:pPr>
      <w:r>
        <w:rPr>
          <w:rFonts w:hint="eastAsia" w:ascii="宋体" w:hAnsi="宋体" w:cs="宋体"/>
          <w:color w:val="000000"/>
          <w:sz w:val="24"/>
        </w:rPr>
        <w:t>　　合同进度计划应按照关键线路网络图和主要工作横道图两种形式分别编绘，并应包括每月预计完成的工作量和形象进度。</w:t>
      </w:r>
    </w:p>
    <w:p w14:paraId="66973CB1">
      <w:pPr>
        <w:spacing w:line="360" w:lineRule="auto"/>
        <w:rPr>
          <w:rFonts w:ascii="宋体" w:hAnsi="宋体" w:cs="宋体"/>
          <w:b/>
          <w:color w:val="000000"/>
          <w:kern w:val="0"/>
          <w:sz w:val="24"/>
        </w:rPr>
      </w:pPr>
      <w:bookmarkStart w:id="248" w:name="_Toc514414315"/>
      <w:bookmarkStart w:id="249" w:name="_Toc23563"/>
      <w:bookmarkStart w:id="250" w:name="_Toc20363"/>
      <w:r>
        <w:rPr>
          <w:rFonts w:hint="eastAsia" w:ascii="宋体" w:hAnsi="宋体" w:cs="宋体"/>
          <w:b/>
          <w:color w:val="000000"/>
          <w:kern w:val="0"/>
          <w:sz w:val="24"/>
        </w:rPr>
        <w:t>10.2．合同进度计划的修订</w:t>
      </w:r>
      <w:bookmarkEnd w:id="248"/>
      <w:bookmarkEnd w:id="249"/>
      <w:bookmarkEnd w:id="250"/>
    </w:p>
    <w:p w14:paraId="08780A06">
      <w:pPr>
        <w:spacing w:line="360" w:lineRule="auto"/>
        <w:rPr>
          <w:rFonts w:ascii="宋体" w:hAnsi="宋体" w:cs="宋体"/>
          <w:color w:val="000000"/>
          <w:sz w:val="24"/>
        </w:rPr>
      </w:pPr>
      <w:r>
        <w:rPr>
          <w:rFonts w:hint="eastAsia" w:ascii="宋体" w:hAnsi="宋体" w:cs="宋体"/>
          <w:color w:val="000000"/>
          <w:sz w:val="24"/>
        </w:rPr>
        <w:t>　　本款补充：</w:t>
      </w:r>
    </w:p>
    <w:p w14:paraId="597D0450">
      <w:pPr>
        <w:spacing w:line="360" w:lineRule="auto"/>
        <w:rPr>
          <w:rFonts w:ascii="宋体" w:hAnsi="宋体" w:cs="宋体"/>
          <w:color w:val="000000"/>
          <w:sz w:val="24"/>
        </w:rPr>
      </w:pPr>
      <w:r>
        <w:rPr>
          <w:rFonts w:hint="eastAsia" w:ascii="宋体" w:hAnsi="宋体" w:cs="宋体"/>
          <w:color w:val="000000"/>
          <w:sz w:val="24"/>
        </w:rPr>
        <w:t>　　承包人提交合同进度计划修订申请报告，并附有关措施和相关资料的期限：实际进度发生滞后的当月25日前。</w:t>
      </w:r>
    </w:p>
    <w:p w14:paraId="770F57C5">
      <w:pPr>
        <w:spacing w:line="360" w:lineRule="auto"/>
        <w:rPr>
          <w:rFonts w:ascii="宋体" w:hAnsi="宋体" w:cs="宋体"/>
          <w:color w:val="000000"/>
          <w:sz w:val="24"/>
        </w:rPr>
      </w:pPr>
      <w:r>
        <w:rPr>
          <w:rFonts w:hint="eastAsia" w:ascii="宋体" w:hAnsi="宋体" w:cs="宋体"/>
          <w:color w:val="000000"/>
          <w:sz w:val="24"/>
        </w:rPr>
        <w:t>　　监理人批复修订合同进度计划的期限：收到修订合同进度计划后14天内。</w:t>
      </w:r>
    </w:p>
    <w:p w14:paraId="56172A63">
      <w:pPr>
        <w:spacing w:line="360" w:lineRule="auto"/>
        <w:rPr>
          <w:rFonts w:ascii="宋体" w:hAnsi="宋体" w:cs="宋体"/>
          <w:b/>
          <w:color w:val="000000"/>
          <w:sz w:val="24"/>
        </w:rPr>
      </w:pPr>
      <w:r>
        <w:rPr>
          <w:rFonts w:hint="eastAsia" w:ascii="宋体" w:hAnsi="宋体" w:cs="宋体"/>
          <w:b/>
          <w:color w:val="000000"/>
          <w:sz w:val="24"/>
        </w:rPr>
        <w:t>本条补充第10.3款、第10.4款：</w:t>
      </w:r>
    </w:p>
    <w:p w14:paraId="49C528AA">
      <w:pPr>
        <w:spacing w:line="360" w:lineRule="auto"/>
        <w:rPr>
          <w:rFonts w:ascii="宋体" w:hAnsi="宋体" w:cs="宋体"/>
          <w:b/>
          <w:color w:val="000000"/>
          <w:kern w:val="0"/>
          <w:sz w:val="24"/>
        </w:rPr>
      </w:pPr>
      <w:bookmarkStart w:id="251" w:name="_Toc514414316"/>
      <w:bookmarkStart w:id="252" w:name="_Toc21672"/>
      <w:bookmarkStart w:id="253" w:name="_Toc7254"/>
      <w:r>
        <w:rPr>
          <w:rFonts w:hint="eastAsia" w:ascii="宋体" w:hAnsi="宋体" w:cs="宋体"/>
          <w:b/>
          <w:color w:val="000000"/>
          <w:kern w:val="0"/>
          <w:sz w:val="24"/>
        </w:rPr>
        <w:t>10.3．年度施工计划</w:t>
      </w:r>
      <w:bookmarkEnd w:id="251"/>
      <w:bookmarkEnd w:id="252"/>
      <w:bookmarkEnd w:id="253"/>
    </w:p>
    <w:p w14:paraId="329D2AF8">
      <w:pPr>
        <w:spacing w:line="360" w:lineRule="auto"/>
        <w:rPr>
          <w:rFonts w:ascii="宋体" w:hAnsi="宋体" w:cs="宋体"/>
          <w:color w:val="000000"/>
          <w:sz w:val="24"/>
        </w:rPr>
      </w:pPr>
      <w:r>
        <w:rPr>
          <w:rFonts w:hint="eastAsia" w:ascii="宋体" w:hAnsi="宋体" w:cs="宋体"/>
          <w:color w:val="000000"/>
          <w:sz w:val="24"/>
        </w:rPr>
        <w:t>　　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1D43AF83">
      <w:pPr>
        <w:spacing w:line="360" w:lineRule="auto"/>
        <w:rPr>
          <w:rFonts w:ascii="宋体" w:hAnsi="宋体" w:cs="宋体"/>
          <w:b/>
          <w:color w:val="000000"/>
          <w:kern w:val="0"/>
          <w:sz w:val="24"/>
        </w:rPr>
      </w:pPr>
      <w:bookmarkStart w:id="254" w:name="_Toc1518"/>
      <w:bookmarkStart w:id="255" w:name="_Toc514414317"/>
      <w:bookmarkStart w:id="256" w:name="_Toc14374"/>
      <w:r>
        <w:rPr>
          <w:rFonts w:hint="eastAsia" w:ascii="宋体" w:hAnsi="宋体" w:cs="宋体"/>
          <w:b/>
          <w:color w:val="000000"/>
          <w:kern w:val="0"/>
          <w:sz w:val="24"/>
        </w:rPr>
        <w:t>10.4．合同用款计划</w:t>
      </w:r>
      <w:bookmarkEnd w:id="254"/>
      <w:bookmarkEnd w:id="255"/>
      <w:bookmarkEnd w:id="256"/>
    </w:p>
    <w:p w14:paraId="0274DA85">
      <w:pPr>
        <w:spacing w:line="360" w:lineRule="auto"/>
        <w:rPr>
          <w:rFonts w:ascii="宋体" w:hAnsi="宋体" w:cs="宋体"/>
          <w:color w:val="000000"/>
          <w:sz w:val="24"/>
        </w:rPr>
      </w:pPr>
      <w:r>
        <w:rPr>
          <w:rFonts w:hint="eastAsia" w:ascii="宋体" w:hAnsi="宋体" w:cs="宋体"/>
          <w:color w:val="000000"/>
          <w:sz w:val="24"/>
        </w:rPr>
        <w:t>　　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71939E3F">
      <w:pPr>
        <w:spacing w:line="360" w:lineRule="auto"/>
        <w:rPr>
          <w:rFonts w:ascii="宋体" w:hAnsi="宋体" w:cs="宋体"/>
          <w:b/>
          <w:color w:val="000000"/>
          <w:kern w:val="0"/>
          <w:sz w:val="24"/>
        </w:rPr>
      </w:pPr>
      <w:bookmarkStart w:id="257" w:name="_Toc16045"/>
      <w:bookmarkStart w:id="258" w:name="_Toc23448"/>
      <w:bookmarkStart w:id="259" w:name="_Toc514414318"/>
      <w:r>
        <w:rPr>
          <w:rFonts w:hint="eastAsia" w:ascii="宋体" w:hAnsi="宋体" w:cs="宋体"/>
          <w:b/>
          <w:color w:val="000000"/>
          <w:kern w:val="0"/>
          <w:sz w:val="24"/>
        </w:rPr>
        <w:t>11．开工和交工</w:t>
      </w:r>
      <w:bookmarkEnd w:id="257"/>
      <w:bookmarkEnd w:id="258"/>
      <w:bookmarkEnd w:id="259"/>
    </w:p>
    <w:p w14:paraId="709CEDE4">
      <w:pPr>
        <w:spacing w:line="360" w:lineRule="auto"/>
        <w:rPr>
          <w:rFonts w:ascii="宋体" w:hAnsi="宋体" w:cs="宋体"/>
          <w:b/>
          <w:color w:val="000000"/>
          <w:kern w:val="0"/>
          <w:sz w:val="24"/>
        </w:rPr>
      </w:pPr>
      <w:bookmarkStart w:id="260" w:name="_Toc21552"/>
      <w:bookmarkStart w:id="261" w:name="_Toc514414319"/>
      <w:bookmarkStart w:id="262" w:name="_Toc5387"/>
      <w:r>
        <w:rPr>
          <w:rFonts w:hint="eastAsia" w:ascii="宋体" w:hAnsi="宋体" w:cs="宋体"/>
          <w:b/>
          <w:color w:val="000000"/>
          <w:kern w:val="0"/>
          <w:sz w:val="24"/>
        </w:rPr>
        <w:t>11.1．开工</w:t>
      </w:r>
      <w:bookmarkEnd w:id="260"/>
      <w:bookmarkEnd w:id="261"/>
      <w:bookmarkEnd w:id="262"/>
    </w:p>
    <w:p w14:paraId="303FF182">
      <w:pPr>
        <w:spacing w:line="360" w:lineRule="auto"/>
        <w:rPr>
          <w:rFonts w:ascii="宋体" w:hAnsi="宋体" w:cs="宋体"/>
          <w:color w:val="000000"/>
          <w:sz w:val="24"/>
        </w:rPr>
      </w:pPr>
      <w:r>
        <w:rPr>
          <w:rFonts w:hint="eastAsia" w:ascii="宋体" w:hAnsi="宋体" w:cs="宋体"/>
          <w:color w:val="000000"/>
          <w:sz w:val="24"/>
        </w:rPr>
        <w:t>　　第11.1.2项补充：</w:t>
      </w:r>
    </w:p>
    <w:p w14:paraId="4C266DB2">
      <w:pPr>
        <w:spacing w:line="360" w:lineRule="auto"/>
        <w:rPr>
          <w:rFonts w:ascii="宋体" w:hAnsi="宋体" w:cs="宋体"/>
          <w:color w:val="000000"/>
          <w:sz w:val="24"/>
        </w:rPr>
      </w:pPr>
      <w:r>
        <w:rPr>
          <w:rFonts w:hint="eastAsia" w:ascii="宋体" w:hAnsi="宋体" w:cs="宋体"/>
          <w:color w:val="000000"/>
          <w:sz w:val="24"/>
        </w:rPr>
        <w:t>　　承包人应在分部工程开工前14天向监理人提交分部工程开工报审表，若承包人的开工准备、工作计划和质量控方法是可接受的且已获得批准，则经监理人书面同意，分部工程才能开工。</w:t>
      </w:r>
    </w:p>
    <w:p w14:paraId="1C8E2CF5">
      <w:pPr>
        <w:spacing w:line="360" w:lineRule="auto"/>
        <w:rPr>
          <w:rFonts w:ascii="宋体" w:hAnsi="宋体" w:cs="宋体"/>
          <w:b/>
          <w:color w:val="000000"/>
          <w:kern w:val="0"/>
          <w:sz w:val="24"/>
        </w:rPr>
      </w:pPr>
      <w:bookmarkStart w:id="263" w:name="_Toc11404"/>
      <w:bookmarkStart w:id="264" w:name="_Toc514414320"/>
      <w:bookmarkStart w:id="265" w:name="_Toc7056"/>
      <w:r>
        <w:rPr>
          <w:rFonts w:hint="eastAsia" w:ascii="宋体" w:hAnsi="宋体" w:cs="宋体"/>
          <w:b/>
          <w:color w:val="000000"/>
          <w:kern w:val="0"/>
          <w:sz w:val="24"/>
        </w:rPr>
        <w:t>11.3．发包人的计划工期延误</w:t>
      </w:r>
      <w:bookmarkEnd w:id="263"/>
      <w:bookmarkEnd w:id="264"/>
      <w:bookmarkEnd w:id="265"/>
    </w:p>
    <w:p w14:paraId="775C89EE">
      <w:pPr>
        <w:spacing w:line="360" w:lineRule="auto"/>
        <w:rPr>
          <w:rFonts w:ascii="宋体" w:hAnsi="宋体" w:cs="宋体"/>
          <w:color w:val="000000"/>
          <w:sz w:val="24"/>
        </w:rPr>
      </w:pPr>
      <w:r>
        <w:rPr>
          <w:rFonts w:hint="eastAsia" w:ascii="宋体" w:hAnsi="宋体" w:cs="宋体"/>
          <w:color w:val="000000"/>
          <w:sz w:val="24"/>
        </w:rPr>
        <w:t>　　本款补充：</w:t>
      </w:r>
    </w:p>
    <w:p w14:paraId="79CC9011">
      <w:pPr>
        <w:spacing w:line="360" w:lineRule="auto"/>
        <w:rPr>
          <w:rFonts w:ascii="宋体" w:hAnsi="宋体" w:cs="宋体"/>
          <w:color w:val="000000"/>
          <w:sz w:val="24"/>
        </w:rPr>
      </w:pPr>
      <w:r>
        <w:rPr>
          <w:rFonts w:hint="eastAsia" w:ascii="宋体" w:hAnsi="宋体" w:cs="宋体"/>
          <w:color w:val="000000"/>
          <w:sz w:val="24"/>
        </w:rPr>
        <w:t>　　即使由于上述原因造成计划工期延误，如果受影响的工程并非处在工程施工进度网络计划的关键线路上，则承包人无权要求延长总计划工期。</w:t>
      </w:r>
    </w:p>
    <w:p w14:paraId="353E3D85">
      <w:pPr>
        <w:spacing w:line="360" w:lineRule="auto"/>
        <w:rPr>
          <w:rFonts w:ascii="宋体" w:hAnsi="宋体" w:cs="宋体"/>
          <w:b/>
          <w:color w:val="000000"/>
          <w:kern w:val="0"/>
          <w:sz w:val="24"/>
        </w:rPr>
      </w:pPr>
      <w:bookmarkStart w:id="266" w:name="_Toc514414321"/>
      <w:bookmarkStart w:id="267" w:name="_Toc234"/>
      <w:r>
        <w:rPr>
          <w:rFonts w:hint="eastAsia" w:ascii="宋体" w:hAnsi="宋体" w:cs="宋体"/>
          <w:b/>
          <w:color w:val="000000"/>
          <w:kern w:val="0"/>
          <w:sz w:val="24"/>
        </w:rPr>
        <w:t>11.4．异常恶劣的气候条件</w:t>
      </w:r>
      <w:bookmarkEnd w:id="266"/>
      <w:bookmarkEnd w:id="267"/>
    </w:p>
    <w:p w14:paraId="6D61579B">
      <w:pPr>
        <w:spacing w:line="360" w:lineRule="auto"/>
        <w:rPr>
          <w:rFonts w:ascii="宋体" w:hAnsi="宋体" w:cs="宋体"/>
          <w:color w:val="000000"/>
          <w:sz w:val="24"/>
        </w:rPr>
      </w:pPr>
      <w:r>
        <w:rPr>
          <w:rFonts w:hint="eastAsia" w:ascii="宋体" w:hAnsi="宋体" w:cs="宋体"/>
          <w:color w:val="000000"/>
          <w:sz w:val="24"/>
        </w:rPr>
        <w:t>　　本款补充：</w:t>
      </w:r>
    </w:p>
    <w:p w14:paraId="0815B384">
      <w:pPr>
        <w:spacing w:line="360" w:lineRule="auto"/>
        <w:rPr>
          <w:rFonts w:ascii="宋体" w:hAnsi="宋体" w:cs="宋体"/>
          <w:color w:val="000000"/>
          <w:sz w:val="24"/>
        </w:rPr>
      </w:pPr>
      <w:r>
        <w:rPr>
          <w:rFonts w:hint="eastAsia" w:ascii="宋体" w:hAnsi="宋体" w:cs="宋体"/>
          <w:color w:val="000000"/>
          <w:sz w:val="24"/>
        </w:rPr>
        <w:t>　　异常气候是指项目所在地30年以上一遇的罕见气候现象（包括温度、降水、降雪、风等）。异常恶劣的气候条件在项目专用合同条款中作具体约定。</w:t>
      </w:r>
    </w:p>
    <w:p w14:paraId="0A2AE7CF">
      <w:pPr>
        <w:spacing w:line="360" w:lineRule="auto"/>
        <w:rPr>
          <w:rFonts w:ascii="宋体" w:hAnsi="宋体" w:cs="宋体"/>
          <w:b/>
          <w:color w:val="000000"/>
          <w:kern w:val="0"/>
          <w:sz w:val="24"/>
        </w:rPr>
      </w:pPr>
      <w:bookmarkStart w:id="268" w:name="_Toc13090"/>
      <w:bookmarkStart w:id="269" w:name="_Toc514414322"/>
      <w:bookmarkStart w:id="270" w:name="_Toc22421"/>
      <w:r>
        <w:rPr>
          <w:rFonts w:hint="eastAsia" w:ascii="宋体" w:hAnsi="宋体" w:cs="宋体"/>
          <w:b/>
          <w:color w:val="000000"/>
          <w:kern w:val="0"/>
          <w:sz w:val="24"/>
        </w:rPr>
        <w:t>11.5．承包人的计划工期延误</w:t>
      </w:r>
      <w:bookmarkEnd w:id="268"/>
      <w:bookmarkEnd w:id="269"/>
      <w:bookmarkEnd w:id="270"/>
    </w:p>
    <w:p w14:paraId="02114837">
      <w:pPr>
        <w:spacing w:line="360" w:lineRule="auto"/>
        <w:rPr>
          <w:rFonts w:ascii="宋体" w:hAnsi="宋体" w:cs="宋体"/>
          <w:color w:val="000000"/>
          <w:sz w:val="24"/>
        </w:rPr>
      </w:pPr>
      <w:r>
        <w:rPr>
          <w:rFonts w:hint="eastAsia" w:ascii="宋体" w:hAnsi="宋体" w:cs="宋体"/>
          <w:color w:val="000000"/>
          <w:sz w:val="24"/>
        </w:rPr>
        <w:t>　　本款细化为：</w:t>
      </w:r>
    </w:p>
    <w:p w14:paraId="386D961D">
      <w:pPr>
        <w:spacing w:line="360" w:lineRule="auto"/>
        <w:rPr>
          <w:rFonts w:ascii="宋体" w:hAnsi="宋体" w:cs="宋体"/>
          <w:color w:val="000000"/>
          <w:sz w:val="24"/>
        </w:rPr>
      </w:pPr>
      <w:r>
        <w:rPr>
          <w:rFonts w:hint="eastAsia" w:ascii="宋体" w:hAnsi="宋体" w:cs="宋体"/>
          <w:color w:val="000000"/>
          <w:sz w:val="24"/>
        </w:rPr>
        <w:t>　　（1）承包人应严格执行监理人批准的合同进度计划，对工作量计划和形象进度计划分别控制。除第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计划工期内交工。承包人应采取措施加快进度，并承担加快进度所增加的费用。</w:t>
      </w:r>
    </w:p>
    <w:p w14:paraId="3A402069">
      <w:pPr>
        <w:spacing w:line="360" w:lineRule="auto"/>
        <w:rPr>
          <w:rFonts w:ascii="宋体" w:hAnsi="宋体" w:cs="宋体"/>
          <w:color w:val="000000"/>
          <w:sz w:val="24"/>
        </w:rPr>
      </w:pPr>
      <w:r>
        <w:rPr>
          <w:rFonts w:hint="eastAsia" w:ascii="宋体" w:hAnsi="宋体" w:cs="宋体"/>
          <w:color w:val="000000"/>
          <w:sz w:val="24"/>
        </w:rPr>
        <w:t>　　（2）如果承包人在接到监理人通知后的14天内，未能采取加快工程进度的措施，致使实际工程进度进一步滞后，或承包人虽采取了一些措施，仍无法按预计计划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571783C3">
      <w:pPr>
        <w:spacing w:line="360" w:lineRule="auto"/>
        <w:rPr>
          <w:rFonts w:ascii="宋体" w:hAnsi="宋体" w:cs="宋体"/>
          <w:color w:val="000000"/>
          <w:sz w:val="24"/>
        </w:rPr>
      </w:pPr>
      <w:r>
        <w:rPr>
          <w:rFonts w:hint="eastAsia" w:ascii="宋体" w:hAnsi="宋体" w:cs="宋体"/>
          <w:color w:val="000000"/>
          <w:sz w:val="24"/>
        </w:rPr>
        <w:t>　　（3）由于承包人原因造成计划工期延误，承包人应支付逾期交工违约金。逾期交工违约金的计算方法在项目专用合同条款数据表中约定，时间自预定的交工日期起到交工验收证书中写明的实际交工日期止（扣除已批准的延长计划工期），按天计算。逾期交工违约金累计金额最高不超过项目专用合同条款数据表中写明的限额。发包人可以从应付或到期应付给承包人的任何款项中或采用其他方法扣除此违约金。</w:t>
      </w:r>
    </w:p>
    <w:p w14:paraId="21BBA01D">
      <w:pPr>
        <w:spacing w:line="360" w:lineRule="auto"/>
        <w:rPr>
          <w:rFonts w:ascii="宋体" w:hAnsi="宋体" w:cs="宋体"/>
          <w:color w:val="000000"/>
          <w:sz w:val="24"/>
        </w:rPr>
      </w:pPr>
      <w:r>
        <w:rPr>
          <w:rFonts w:hint="eastAsia" w:ascii="宋体" w:hAnsi="宋体" w:cs="宋体"/>
          <w:color w:val="000000"/>
          <w:sz w:val="24"/>
        </w:rPr>
        <w:t>　　（4）承包人支付逾期交工违约金，不免除承包人完成工程及修补缺陷的义务。</w:t>
      </w:r>
    </w:p>
    <w:p w14:paraId="130FE73B">
      <w:pPr>
        <w:spacing w:line="360" w:lineRule="auto"/>
        <w:rPr>
          <w:rFonts w:ascii="宋体" w:hAnsi="宋体" w:cs="宋体"/>
          <w:color w:val="000000"/>
          <w:sz w:val="24"/>
        </w:rPr>
      </w:pPr>
      <w:r>
        <w:rPr>
          <w:rFonts w:hint="eastAsia" w:ascii="宋体" w:hAnsi="宋体" w:cs="宋体"/>
          <w:color w:val="000000"/>
          <w:sz w:val="24"/>
        </w:rPr>
        <w:t>　　（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5D345E45">
      <w:pPr>
        <w:spacing w:line="360" w:lineRule="auto"/>
        <w:rPr>
          <w:rFonts w:ascii="宋体" w:hAnsi="宋体" w:cs="宋体"/>
          <w:b/>
          <w:color w:val="000000"/>
          <w:kern w:val="0"/>
          <w:sz w:val="24"/>
        </w:rPr>
      </w:pPr>
      <w:bookmarkStart w:id="271" w:name="_Toc22865"/>
      <w:bookmarkStart w:id="272" w:name="_Toc20148"/>
      <w:bookmarkStart w:id="273" w:name="_Toc514414323"/>
      <w:r>
        <w:rPr>
          <w:rFonts w:hint="eastAsia" w:ascii="宋体" w:hAnsi="宋体" w:cs="宋体"/>
          <w:b/>
          <w:color w:val="000000"/>
          <w:kern w:val="0"/>
          <w:sz w:val="24"/>
        </w:rPr>
        <w:t>11.6．计划工期提前</w:t>
      </w:r>
      <w:bookmarkEnd w:id="271"/>
      <w:bookmarkEnd w:id="272"/>
      <w:bookmarkEnd w:id="273"/>
    </w:p>
    <w:p w14:paraId="482F1A02">
      <w:pPr>
        <w:spacing w:line="360" w:lineRule="auto"/>
        <w:rPr>
          <w:rFonts w:ascii="宋体" w:hAnsi="宋体" w:cs="宋体"/>
          <w:color w:val="000000"/>
          <w:sz w:val="24"/>
        </w:rPr>
      </w:pPr>
      <w:r>
        <w:rPr>
          <w:rFonts w:hint="eastAsia" w:ascii="宋体" w:hAnsi="宋体" w:cs="宋体"/>
          <w:color w:val="000000"/>
          <w:sz w:val="24"/>
        </w:rPr>
        <w:t>　　本款补充：</w:t>
      </w:r>
    </w:p>
    <w:p w14:paraId="09277BA1">
      <w:pPr>
        <w:spacing w:line="360" w:lineRule="auto"/>
        <w:rPr>
          <w:rFonts w:ascii="宋体" w:hAnsi="宋体" w:cs="宋体"/>
          <w:color w:val="000000"/>
          <w:sz w:val="24"/>
        </w:rPr>
      </w:pPr>
      <w:r>
        <w:rPr>
          <w:rFonts w:hint="eastAsia" w:ascii="宋体" w:hAnsi="宋体" w:cs="宋体"/>
          <w:color w:val="000000"/>
          <w:sz w:val="24"/>
        </w:rPr>
        <w:t>　　发包人不得随意要求承包人提前交工，承包人也不得随意提出提前交工的建议。如遇特殊情况，确需将计划工期提前的，发包人和承包人必须采取有效措施，确保质量要求。</w:t>
      </w:r>
    </w:p>
    <w:p w14:paraId="3A4733E8">
      <w:pPr>
        <w:spacing w:line="360" w:lineRule="auto"/>
        <w:rPr>
          <w:rFonts w:ascii="宋体" w:hAnsi="宋体" w:cs="宋体"/>
          <w:color w:val="000000"/>
          <w:sz w:val="24"/>
        </w:rPr>
      </w:pPr>
      <w:r>
        <w:rPr>
          <w:rFonts w:hint="eastAsia" w:ascii="宋体" w:hAnsi="宋体" w:cs="宋体"/>
          <w:color w:val="000000"/>
          <w:sz w:val="24"/>
        </w:rPr>
        <w:t>　　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0B09236C">
      <w:pPr>
        <w:spacing w:line="360" w:lineRule="auto"/>
        <w:rPr>
          <w:rFonts w:ascii="宋体" w:hAnsi="宋体" w:cs="宋体"/>
          <w:b/>
          <w:color w:val="000000"/>
          <w:sz w:val="24"/>
        </w:rPr>
      </w:pPr>
      <w:r>
        <w:rPr>
          <w:rFonts w:hint="eastAsia" w:ascii="宋体" w:hAnsi="宋体" w:cs="宋体"/>
          <w:b/>
          <w:color w:val="000000"/>
          <w:sz w:val="24"/>
        </w:rPr>
        <w:t>本条补充第11.7款：</w:t>
      </w:r>
    </w:p>
    <w:p w14:paraId="0930123E">
      <w:pPr>
        <w:spacing w:line="360" w:lineRule="auto"/>
        <w:rPr>
          <w:rFonts w:ascii="宋体" w:hAnsi="宋体" w:cs="宋体"/>
          <w:b/>
          <w:color w:val="000000"/>
          <w:kern w:val="0"/>
          <w:sz w:val="24"/>
        </w:rPr>
      </w:pPr>
      <w:bookmarkStart w:id="274" w:name="_Toc514414324"/>
      <w:bookmarkStart w:id="275" w:name="_Toc13602"/>
      <w:bookmarkStart w:id="276" w:name="_Toc25794"/>
      <w:r>
        <w:rPr>
          <w:rFonts w:hint="eastAsia" w:ascii="宋体" w:hAnsi="宋体" w:cs="宋体"/>
          <w:b/>
          <w:color w:val="000000"/>
          <w:kern w:val="0"/>
          <w:sz w:val="24"/>
        </w:rPr>
        <w:t>11.7．工作时间的限制</w:t>
      </w:r>
      <w:bookmarkEnd w:id="274"/>
      <w:bookmarkEnd w:id="275"/>
      <w:bookmarkEnd w:id="276"/>
    </w:p>
    <w:p w14:paraId="307A1997">
      <w:pPr>
        <w:spacing w:line="360" w:lineRule="auto"/>
        <w:rPr>
          <w:rFonts w:ascii="宋体" w:hAnsi="宋体" w:cs="宋体"/>
          <w:color w:val="000000"/>
          <w:sz w:val="24"/>
        </w:rPr>
      </w:pPr>
      <w:r>
        <w:rPr>
          <w:rFonts w:hint="eastAsia" w:ascii="宋体" w:hAnsi="宋体" w:cs="宋体"/>
          <w:color w:val="000000"/>
          <w:sz w:val="24"/>
        </w:rPr>
        <w:t>　　承包人在夜间或国家规定的节假日进行永久工程的施工，应向监理人报告，以便监理人履行监理职责和义务。</w:t>
      </w:r>
    </w:p>
    <w:p w14:paraId="54934841">
      <w:pPr>
        <w:spacing w:line="360" w:lineRule="auto"/>
        <w:rPr>
          <w:rFonts w:ascii="宋体" w:hAnsi="宋体" w:cs="宋体"/>
          <w:color w:val="000000"/>
          <w:sz w:val="24"/>
        </w:rPr>
      </w:pPr>
      <w:r>
        <w:rPr>
          <w:rFonts w:hint="eastAsia" w:ascii="宋体" w:hAnsi="宋体" w:cs="宋体"/>
          <w:color w:val="000000"/>
          <w:sz w:val="24"/>
        </w:rPr>
        <w:t>　　但是，为了抢救生命或保护财产，或为了工程的安全、质量而不可避免地短暂作业，则不必事先向监理人报告。但承包人应在事后立即向监理人报告。</w:t>
      </w:r>
    </w:p>
    <w:p w14:paraId="723F3702">
      <w:pPr>
        <w:spacing w:line="360" w:lineRule="auto"/>
        <w:rPr>
          <w:rFonts w:ascii="宋体" w:hAnsi="宋体" w:cs="宋体"/>
          <w:color w:val="000000"/>
          <w:sz w:val="24"/>
        </w:rPr>
      </w:pPr>
      <w:r>
        <w:rPr>
          <w:rFonts w:hint="eastAsia" w:ascii="宋体" w:hAnsi="宋体" w:cs="宋体"/>
          <w:color w:val="000000"/>
          <w:sz w:val="24"/>
        </w:rPr>
        <w:t>　　本款规定不适用于习惯上或施工本身要求实行连续生产的作业。</w:t>
      </w:r>
    </w:p>
    <w:p w14:paraId="0A82880F">
      <w:pPr>
        <w:spacing w:line="360" w:lineRule="auto"/>
        <w:rPr>
          <w:rFonts w:ascii="宋体" w:hAnsi="宋体" w:cs="宋体"/>
          <w:b/>
          <w:color w:val="000000"/>
          <w:kern w:val="0"/>
          <w:sz w:val="24"/>
        </w:rPr>
      </w:pPr>
      <w:bookmarkStart w:id="277" w:name="_Toc514414325"/>
      <w:bookmarkStart w:id="278" w:name="_Toc24524"/>
      <w:bookmarkStart w:id="279" w:name="_Toc10746"/>
      <w:r>
        <w:rPr>
          <w:rFonts w:hint="eastAsia" w:ascii="宋体" w:hAnsi="宋体" w:cs="宋体"/>
          <w:b/>
          <w:color w:val="000000"/>
          <w:kern w:val="0"/>
          <w:sz w:val="24"/>
        </w:rPr>
        <w:t>12．暂停施工</w:t>
      </w:r>
      <w:bookmarkEnd w:id="277"/>
      <w:bookmarkEnd w:id="278"/>
      <w:bookmarkEnd w:id="279"/>
    </w:p>
    <w:p w14:paraId="366D2704">
      <w:pPr>
        <w:spacing w:line="360" w:lineRule="auto"/>
        <w:rPr>
          <w:rFonts w:ascii="宋体" w:hAnsi="宋体" w:cs="宋体"/>
          <w:b/>
          <w:color w:val="000000"/>
          <w:kern w:val="0"/>
          <w:sz w:val="24"/>
        </w:rPr>
      </w:pPr>
      <w:bookmarkStart w:id="280" w:name="_Toc16873"/>
      <w:bookmarkStart w:id="281" w:name="_Toc514414326"/>
      <w:bookmarkStart w:id="282" w:name="_Toc16157"/>
      <w:r>
        <w:rPr>
          <w:rFonts w:hint="eastAsia" w:ascii="宋体" w:hAnsi="宋体" w:cs="宋体"/>
          <w:b/>
          <w:color w:val="000000"/>
          <w:kern w:val="0"/>
          <w:sz w:val="24"/>
        </w:rPr>
        <w:t>12.1．承包人暂停施工的责任</w:t>
      </w:r>
      <w:bookmarkEnd w:id="280"/>
      <w:bookmarkEnd w:id="281"/>
      <w:bookmarkEnd w:id="282"/>
    </w:p>
    <w:p w14:paraId="4D1C564B">
      <w:pPr>
        <w:spacing w:line="360" w:lineRule="auto"/>
        <w:rPr>
          <w:rFonts w:ascii="宋体" w:hAnsi="宋体" w:cs="宋体"/>
          <w:color w:val="000000"/>
          <w:sz w:val="24"/>
        </w:rPr>
      </w:pPr>
      <w:r>
        <w:rPr>
          <w:rFonts w:hint="eastAsia" w:ascii="宋体" w:hAnsi="宋体" w:cs="宋体"/>
          <w:color w:val="000000"/>
          <w:sz w:val="24"/>
        </w:rPr>
        <w:t>　　本款第（5）项细化为：</w:t>
      </w:r>
    </w:p>
    <w:p w14:paraId="520DADBA">
      <w:pPr>
        <w:spacing w:line="360" w:lineRule="auto"/>
        <w:rPr>
          <w:rFonts w:ascii="宋体" w:hAnsi="宋体" w:cs="宋体"/>
          <w:color w:val="000000"/>
          <w:sz w:val="24"/>
        </w:rPr>
      </w:pPr>
      <w:r>
        <w:rPr>
          <w:rFonts w:hint="eastAsia" w:ascii="宋体" w:hAnsi="宋体" w:cs="宋体"/>
          <w:color w:val="000000"/>
          <w:sz w:val="24"/>
        </w:rPr>
        <w:t>　　（5）现场气候条件导致的必要停工（第11.4款约定的异常恶劣的气候条件除外）；</w:t>
      </w:r>
    </w:p>
    <w:p w14:paraId="1A2257AE">
      <w:pPr>
        <w:spacing w:line="360" w:lineRule="auto"/>
        <w:rPr>
          <w:rFonts w:ascii="宋体" w:hAnsi="宋体" w:cs="宋体"/>
          <w:color w:val="000000"/>
          <w:sz w:val="24"/>
        </w:rPr>
      </w:pPr>
      <w:r>
        <w:rPr>
          <w:rFonts w:hint="eastAsia" w:ascii="宋体" w:hAnsi="宋体" w:cs="宋体"/>
          <w:color w:val="000000"/>
          <w:sz w:val="24"/>
        </w:rPr>
        <w:t>　　（6）项目专用合同条款可能约定的由承包人承担的其他暂停施工。</w:t>
      </w:r>
    </w:p>
    <w:p w14:paraId="59138767">
      <w:pPr>
        <w:spacing w:line="360" w:lineRule="auto"/>
        <w:rPr>
          <w:rFonts w:ascii="宋体" w:hAnsi="宋体" w:cs="宋体"/>
          <w:b/>
          <w:color w:val="000000"/>
          <w:kern w:val="0"/>
          <w:sz w:val="24"/>
        </w:rPr>
      </w:pPr>
      <w:bookmarkStart w:id="283" w:name="_Toc24562"/>
      <w:bookmarkStart w:id="284" w:name="_Toc514414327"/>
      <w:bookmarkStart w:id="285" w:name="_Toc8326"/>
      <w:r>
        <w:rPr>
          <w:rFonts w:hint="eastAsia" w:ascii="宋体" w:hAnsi="宋体" w:cs="宋体"/>
          <w:b/>
          <w:color w:val="000000"/>
          <w:kern w:val="0"/>
          <w:sz w:val="24"/>
        </w:rPr>
        <w:t>13．质量要求</w:t>
      </w:r>
      <w:bookmarkEnd w:id="283"/>
      <w:bookmarkEnd w:id="284"/>
      <w:bookmarkEnd w:id="285"/>
    </w:p>
    <w:p w14:paraId="26ACA98E">
      <w:pPr>
        <w:spacing w:line="360" w:lineRule="auto"/>
        <w:rPr>
          <w:rFonts w:ascii="宋体" w:hAnsi="宋体" w:cs="宋体"/>
          <w:b/>
          <w:color w:val="000000"/>
          <w:kern w:val="0"/>
          <w:sz w:val="24"/>
        </w:rPr>
      </w:pPr>
      <w:bookmarkStart w:id="286" w:name="_Toc14505"/>
      <w:bookmarkStart w:id="287" w:name="_Toc514414328"/>
      <w:bookmarkStart w:id="288" w:name="_Toc27717"/>
      <w:r>
        <w:rPr>
          <w:rFonts w:hint="eastAsia" w:ascii="宋体" w:hAnsi="宋体" w:cs="宋体"/>
          <w:b/>
          <w:color w:val="000000"/>
          <w:kern w:val="0"/>
          <w:sz w:val="24"/>
        </w:rPr>
        <w:t>13.1．质量要求要求</w:t>
      </w:r>
      <w:bookmarkEnd w:id="286"/>
      <w:bookmarkEnd w:id="287"/>
      <w:bookmarkEnd w:id="288"/>
    </w:p>
    <w:p w14:paraId="784295BB">
      <w:pPr>
        <w:spacing w:line="360" w:lineRule="auto"/>
        <w:rPr>
          <w:rFonts w:ascii="宋体" w:hAnsi="宋体" w:cs="宋体"/>
          <w:color w:val="000000"/>
          <w:sz w:val="24"/>
        </w:rPr>
      </w:pPr>
      <w:r>
        <w:rPr>
          <w:rFonts w:hint="eastAsia" w:ascii="宋体" w:hAnsi="宋体" w:cs="宋体"/>
          <w:color w:val="000000"/>
          <w:sz w:val="24"/>
        </w:rPr>
        <w:t>　　第13.1.1项约定为：</w:t>
      </w:r>
    </w:p>
    <w:p w14:paraId="4CF4B782">
      <w:pPr>
        <w:spacing w:line="360" w:lineRule="auto"/>
        <w:rPr>
          <w:rFonts w:ascii="宋体" w:hAnsi="宋体" w:cs="宋体"/>
          <w:color w:val="000000"/>
          <w:sz w:val="24"/>
        </w:rPr>
      </w:pPr>
      <w:r>
        <w:rPr>
          <w:rFonts w:hint="eastAsia" w:ascii="宋体" w:hAnsi="宋体" w:cs="宋体"/>
          <w:color w:val="000000"/>
          <w:sz w:val="24"/>
        </w:rPr>
        <w:t>　　质量要求验收按技术规范及《公路质量要求检验评定标准》执行。</w:t>
      </w:r>
    </w:p>
    <w:p w14:paraId="17A7C0F6">
      <w:pPr>
        <w:spacing w:line="360" w:lineRule="auto"/>
        <w:rPr>
          <w:rFonts w:ascii="宋体" w:hAnsi="宋体" w:cs="宋体"/>
          <w:color w:val="000000"/>
          <w:sz w:val="24"/>
        </w:rPr>
      </w:pPr>
      <w:r>
        <w:rPr>
          <w:rFonts w:hint="eastAsia" w:ascii="宋体" w:hAnsi="宋体" w:cs="宋体"/>
          <w:color w:val="000000"/>
          <w:sz w:val="24"/>
        </w:rPr>
        <w:t>　　本款补充第13.1.4项、第13.1.5项：</w:t>
      </w:r>
    </w:p>
    <w:p w14:paraId="767BA71E">
      <w:pPr>
        <w:spacing w:line="360" w:lineRule="auto"/>
        <w:rPr>
          <w:rFonts w:ascii="宋体" w:hAnsi="宋体" w:cs="宋体"/>
          <w:color w:val="000000"/>
          <w:sz w:val="24"/>
        </w:rPr>
      </w:pPr>
      <w:r>
        <w:rPr>
          <w:rFonts w:hint="eastAsia" w:ascii="宋体" w:hAnsi="宋体" w:cs="宋体"/>
          <w:color w:val="000000"/>
          <w:sz w:val="24"/>
        </w:rPr>
        <w:t>　　13.1.4发包人和承包人应严格遵守《关于严格落实公路质量要求责任制的若干意见》的相关规定，认真执行质量要求责任登记制度并按要求填写质量要求责任登记表。</w:t>
      </w:r>
    </w:p>
    <w:p w14:paraId="500660B8">
      <w:pPr>
        <w:spacing w:line="360" w:lineRule="auto"/>
        <w:rPr>
          <w:rFonts w:ascii="宋体" w:hAnsi="宋体" w:cs="宋体"/>
          <w:color w:val="000000"/>
          <w:sz w:val="24"/>
        </w:rPr>
      </w:pPr>
      <w:r>
        <w:rPr>
          <w:rFonts w:hint="eastAsia" w:ascii="宋体" w:hAnsi="宋体" w:cs="宋体"/>
          <w:color w:val="000000"/>
          <w:sz w:val="24"/>
        </w:rPr>
        <w:t>　　13.1.5本项目严格执行质量责任追究制度。质量事故处理实行“四不放过”原则：事故原因调查不清不放过；事故责任者没有受到教育不放过；没有防范措施不放过；相关责任人没受到处理不放过。</w:t>
      </w:r>
    </w:p>
    <w:p w14:paraId="4EBF9FDF">
      <w:pPr>
        <w:spacing w:line="360" w:lineRule="auto"/>
        <w:rPr>
          <w:rFonts w:ascii="宋体" w:hAnsi="宋体" w:cs="宋体"/>
          <w:b/>
          <w:color w:val="000000"/>
          <w:kern w:val="0"/>
          <w:sz w:val="24"/>
        </w:rPr>
      </w:pPr>
      <w:bookmarkStart w:id="289" w:name="_Toc22077"/>
      <w:bookmarkStart w:id="290" w:name="_Toc514414329"/>
      <w:bookmarkStart w:id="291" w:name="_Toc456"/>
      <w:r>
        <w:rPr>
          <w:rFonts w:hint="eastAsia" w:ascii="宋体" w:hAnsi="宋体" w:cs="宋体"/>
          <w:b/>
          <w:color w:val="000000"/>
          <w:kern w:val="0"/>
          <w:sz w:val="24"/>
        </w:rPr>
        <w:t>13.2．承包人的质量管理</w:t>
      </w:r>
      <w:bookmarkEnd w:id="289"/>
      <w:bookmarkEnd w:id="290"/>
      <w:bookmarkEnd w:id="291"/>
    </w:p>
    <w:p w14:paraId="65176BE0">
      <w:pPr>
        <w:spacing w:line="360" w:lineRule="auto"/>
        <w:rPr>
          <w:rFonts w:ascii="宋体" w:hAnsi="宋体" w:cs="宋体"/>
          <w:color w:val="000000"/>
          <w:sz w:val="24"/>
        </w:rPr>
      </w:pPr>
      <w:r>
        <w:rPr>
          <w:rFonts w:hint="eastAsia" w:ascii="宋体" w:hAnsi="宋体" w:cs="宋体"/>
          <w:color w:val="000000"/>
          <w:sz w:val="24"/>
        </w:rPr>
        <w:t>　　第13.2.1项补充：</w:t>
      </w:r>
    </w:p>
    <w:p w14:paraId="4CB91126">
      <w:pPr>
        <w:spacing w:line="360" w:lineRule="auto"/>
        <w:rPr>
          <w:rFonts w:ascii="宋体" w:hAnsi="宋体" w:cs="宋体"/>
          <w:color w:val="000000"/>
          <w:sz w:val="24"/>
        </w:rPr>
      </w:pPr>
      <w:r>
        <w:rPr>
          <w:rFonts w:hint="eastAsia" w:ascii="宋体" w:hAnsi="宋体" w:cs="宋体"/>
          <w:color w:val="000000"/>
          <w:sz w:val="24"/>
        </w:rPr>
        <w:t>　　承包人提交质量要求保证措施文件的期限：签订合同协议书后28天之内。</w:t>
      </w:r>
    </w:p>
    <w:p w14:paraId="14629E43">
      <w:pPr>
        <w:spacing w:line="360" w:lineRule="auto"/>
        <w:rPr>
          <w:rFonts w:ascii="宋体" w:hAnsi="宋体" w:cs="宋体"/>
          <w:color w:val="000000"/>
          <w:sz w:val="24"/>
        </w:rPr>
      </w:pPr>
      <w:r>
        <w:rPr>
          <w:rFonts w:hint="eastAsia" w:ascii="宋体" w:hAnsi="宋体" w:cs="宋体"/>
          <w:color w:val="000000"/>
          <w:sz w:val="24"/>
        </w:rPr>
        <w:t>　　本款补充第13.2.3项～第13.2.10项：</w:t>
      </w:r>
    </w:p>
    <w:p w14:paraId="4F037D36">
      <w:pPr>
        <w:spacing w:line="360" w:lineRule="auto"/>
        <w:rPr>
          <w:rFonts w:ascii="宋体" w:hAnsi="宋体" w:cs="宋体"/>
          <w:color w:val="000000"/>
          <w:sz w:val="24"/>
        </w:rPr>
      </w:pPr>
      <w:r>
        <w:rPr>
          <w:rFonts w:hint="eastAsia" w:ascii="宋体" w:hAnsi="宋体" w:cs="宋体"/>
          <w:color w:val="000000"/>
          <w:sz w:val="24"/>
        </w:rPr>
        <w:t>　　13.2.3公路工程施行质量责任终身制。承包人应当书面明确相应的项目负责人和质量负责人。承包人的相关人员按照国家法律法规和有关规定在工程合理使用年限内承担相应的质量责任。</w:t>
      </w:r>
    </w:p>
    <w:p w14:paraId="49858AA7">
      <w:pPr>
        <w:spacing w:line="360" w:lineRule="auto"/>
        <w:rPr>
          <w:rFonts w:ascii="宋体" w:hAnsi="宋体" w:cs="宋体"/>
          <w:color w:val="000000"/>
          <w:sz w:val="24"/>
        </w:rPr>
      </w:pPr>
      <w:r>
        <w:rPr>
          <w:rFonts w:hint="eastAsia" w:ascii="宋体" w:hAnsi="宋体" w:cs="宋体"/>
          <w:color w:val="000000"/>
          <w:sz w:val="24"/>
        </w:rPr>
        <w:t>　　13.2.4承包人应当建立健全质量要求保证体系，制定质量管理制度，强化质量要求管理措施，完善质量要求目标保障机制；严格遵守国家有关法律、法规和规章，严格执行公路工程强制性技术标准、各类技术规范及规程，全面履行工程合同义务。</w:t>
      </w:r>
    </w:p>
    <w:p w14:paraId="62A3BDE2">
      <w:pPr>
        <w:spacing w:line="360" w:lineRule="auto"/>
        <w:rPr>
          <w:rFonts w:ascii="宋体" w:hAnsi="宋体" w:cs="宋体"/>
          <w:color w:val="000000"/>
          <w:sz w:val="24"/>
        </w:rPr>
      </w:pPr>
      <w:r>
        <w:rPr>
          <w:rFonts w:hint="eastAsia" w:ascii="宋体" w:hAnsi="宋体" w:cs="宋体"/>
          <w:color w:val="000000"/>
          <w:sz w:val="24"/>
        </w:rPr>
        <w:t>　　13.2.5承包人对工程施工质量负责，应当按合同约定设立现场质量管理机构、配备工程技术人员和质量管理人员，落实工程施工质量责任制。</w:t>
      </w:r>
    </w:p>
    <w:p w14:paraId="782ACD75">
      <w:pPr>
        <w:spacing w:line="360" w:lineRule="auto"/>
        <w:rPr>
          <w:rFonts w:ascii="宋体" w:hAnsi="宋体" w:cs="宋体"/>
          <w:color w:val="000000"/>
          <w:sz w:val="24"/>
        </w:rPr>
      </w:pPr>
      <w:r>
        <w:rPr>
          <w:rFonts w:hint="eastAsia" w:ascii="宋体" w:hAnsi="宋体" w:cs="宋体"/>
          <w:color w:val="000000"/>
          <w:sz w:val="24"/>
        </w:rPr>
        <w:t>　　13.2.6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7BC6060A">
      <w:pPr>
        <w:spacing w:line="360" w:lineRule="auto"/>
        <w:rPr>
          <w:rFonts w:ascii="宋体" w:hAnsi="宋体" w:cs="宋体"/>
          <w:color w:val="000000"/>
          <w:sz w:val="24"/>
        </w:rPr>
      </w:pPr>
      <w:r>
        <w:rPr>
          <w:rFonts w:hint="eastAsia" w:ascii="宋体" w:hAnsi="宋体" w:cs="宋体"/>
          <w:color w:val="000000"/>
          <w:sz w:val="24"/>
        </w:rPr>
        <w:t>　　13.2.7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4BDC61B3">
      <w:pPr>
        <w:spacing w:line="360" w:lineRule="auto"/>
        <w:rPr>
          <w:rFonts w:ascii="宋体" w:hAnsi="宋体" w:cs="宋体"/>
          <w:color w:val="000000"/>
          <w:sz w:val="24"/>
        </w:rPr>
      </w:pPr>
      <w:r>
        <w:rPr>
          <w:rFonts w:hint="eastAsia" w:ascii="宋体" w:hAnsi="宋体" w:cs="宋体"/>
          <w:color w:val="000000"/>
          <w:sz w:val="24"/>
        </w:rPr>
        <w:t>　　13.2.8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27AE46EE">
      <w:pPr>
        <w:spacing w:line="360" w:lineRule="auto"/>
        <w:rPr>
          <w:rFonts w:ascii="宋体" w:hAnsi="宋体" w:cs="宋体"/>
          <w:color w:val="000000"/>
          <w:sz w:val="24"/>
        </w:rPr>
      </w:pPr>
      <w:r>
        <w:rPr>
          <w:rFonts w:hint="eastAsia" w:ascii="宋体" w:hAnsi="宋体" w:cs="宋体"/>
          <w:color w:val="000000"/>
          <w:sz w:val="24"/>
        </w:rPr>
        <w:t>　　13.2.9承包人应当依法规范分包行为，并对承担的质量要求负总责，分包单位对分包合同范围内的质量要求负责。</w:t>
      </w:r>
    </w:p>
    <w:p w14:paraId="01AB2C37">
      <w:pPr>
        <w:spacing w:line="360" w:lineRule="auto"/>
        <w:rPr>
          <w:rFonts w:ascii="宋体" w:hAnsi="宋体" w:cs="宋体"/>
          <w:color w:val="000000"/>
          <w:sz w:val="24"/>
        </w:rPr>
      </w:pPr>
      <w:r>
        <w:rPr>
          <w:rFonts w:hint="eastAsia" w:ascii="宋体" w:hAnsi="宋体" w:cs="宋体"/>
          <w:color w:val="000000"/>
          <w:sz w:val="24"/>
        </w:rPr>
        <w:t>　　13.2.10承包人驻工程现场机构应在现场驻地和重要的分部、分项工程施工现场设置明显的质量要求责任登记表公示牌。</w:t>
      </w:r>
    </w:p>
    <w:p w14:paraId="688ED451">
      <w:pPr>
        <w:spacing w:line="360" w:lineRule="auto"/>
        <w:rPr>
          <w:rFonts w:ascii="宋体" w:hAnsi="宋体" w:cs="宋体"/>
          <w:b/>
          <w:color w:val="000000"/>
          <w:kern w:val="0"/>
          <w:sz w:val="24"/>
        </w:rPr>
      </w:pPr>
      <w:bookmarkStart w:id="292" w:name="_Toc1478"/>
      <w:bookmarkStart w:id="293" w:name="_Toc514414330"/>
      <w:bookmarkStart w:id="294" w:name="_Toc15598"/>
      <w:r>
        <w:rPr>
          <w:rFonts w:hint="eastAsia" w:ascii="宋体" w:hAnsi="宋体" w:cs="宋体"/>
          <w:b/>
          <w:color w:val="000000"/>
          <w:kern w:val="0"/>
          <w:sz w:val="24"/>
        </w:rPr>
        <w:t>13.4．监理人的质量检查</w:t>
      </w:r>
      <w:bookmarkEnd w:id="292"/>
      <w:bookmarkEnd w:id="293"/>
      <w:bookmarkEnd w:id="294"/>
    </w:p>
    <w:p w14:paraId="4ADB76B1">
      <w:pPr>
        <w:spacing w:line="360" w:lineRule="auto"/>
        <w:rPr>
          <w:rFonts w:ascii="宋体" w:hAnsi="宋体" w:cs="宋体"/>
          <w:color w:val="000000"/>
          <w:sz w:val="24"/>
        </w:rPr>
      </w:pPr>
      <w:r>
        <w:rPr>
          <w:rFonts w:hint="eastAsia" w:ascii="宋体" w:hAnsi="宋体" w:cs="宋体"/>
          <w:color w:val="000000"/>
          <w:sz w:val="24"/>
        </w:rPr>
        <w:t>　　本款补充：</w:t>
      </w:r>
    </w:p>
    <w:p w14:paraId="65938326">
      <w:pPr>
        <w:spacing w:line="360" w:lineRule="auto"/>
        <w:rPr>
          <w:rFonts w:ascii="宋体" w:hAnsi="宋体" w:cs="宋体"/>
          <w:color w:val="000000"/>
          <w:sz w:val="24"/>
        </w:rPr>
      </w:pPr>
      <w:r>
        <w:rPr>
          <w:rFonts w:hint="eastAsia" w:ascii="宋体" w:hAnsi="宋体" w:cs="宋体"/>
          <w:color w:val="000000"/>
          <w:sz w:val="24"/>
        </w:rPr>
        <w:t>　　监理人及其委派的检验人员，应能进入工程现场，以及材料或工程设备的制造、加工或制配的车间和场所，包括不属于承包人的车间或场所进行检查，承包人应为此提供便利和协助。</w:t>
      </w:r>
    </w:p>
    <w:p w14:paraId="776D8C2C">
      <w:pPr>
        <w:spacing w:line="360" w:lineRule="auto"/>
        <w:rPr>
          <w:rFonts w:ascii="宋体" w:hAnsi="宋体" w:cs="宋体"/>
          <w:color w:val="000000"/>
          <w:sz w:val="24"/>
        </w:rPr>
      </w:pPr>
      <w:r>
        <w:rPr>
          <w:rFonts w:hint="eastAsia" w:ascii="宋体" w:hAnsi="宋体" w:cs="宋体"/>
          <w:color w:val="000000"/>
          <w:sz w:val="24"/>
        </w:rPr>
        <w:t>　　监理人可以将材料或工程设备的检查和检验委托给一家独立的有质量检验认证资格的检验单位。该独立检验单位的检验结果应视为监理人完成的。监理人应将这种委托的通知书不少于7天前交给承包人。</w:t>
      </w:r>
    </w:p>
    <w:p w14:paraId="4F0876F6">
      <w:pPr>
        <w:spacing w:line="360" w:lineRule="auto"/>
        <w:rPr>
          <w:rFonts w:ascii="宋体" w:hAnsi="宋体" w:cs="宋体"/>
          <w:b/>
          <w:color w:val="000000"/>
          <w:kern w:val="0"/>
          <w:sz w:val="24"/>
        </w:rPr>
      </w:pPr>
      <w:bookmarkStart w:id="295" w:name="_Toc8206"/>
      <w:bookmarkStart w:id="296" w:name="_Toc514414331"/>
      <w:bookmarkStart w:id="297" w:name="_Toc9890"/>
      <w:r>
        <w:rPr>
          <w:rFonts w:hint="eastAsia" w:ascii="宋体" w:hAnsi="宋体" w:cs="宋体"/>
          <w:b/>
          <w:color w:val="000000"/>
          <w:kern w:val="0"/>
          <w:sz w:val="24"/>
        </w:rPr>
        <w:t>13.5．工程隐蔽部位覆盖前的检查</w:t>
      </w:r>
      <w:bookmarkEnd w:id="295"/>
      <w:bookmarkEnd w:id="296"/>
      <w:bookmarkEnd w:id="297"/>
    </w:p>
    <w:p w14:paraId="22B63D9A">
      <w:pPr>
        <w:spacing w:line="360" w:lineRule="auto"/>
        <w:rPr>
          <w:rFonts w:ascii="宋体" w:hAnsi="宋体" w:cs="宋体"/>
          <w:color w:val="000000"/>
          <w:sz w:val="24"/>
        </w:rPr>
      </w:pPr>
      <w:r>
        <w:rPr>
          <w:rFonts w:hint="eastAsia" w:ascii="宋体" w:hAnsi="宋体" w:cs="宋体"/>
          <w:color w:val="000000"/>
          <w:sz w:val="24"/>
        </w:rPr>
        <w:t>　　第13.5.1项补充：</w:t>
      </w:r>
    </w:p>
    <w:p w14:paraId="0AE696E8">
      <w:pPr>
        <w:spacing w:line="360" w:lineRule="auto"/>
        <w:rPr>
          <w:rFonts w:ascii="宋体" w:hAnsi="宋体" w:cs="宋体"/>
          <w:color w:val="000000"/>
          <w:sz w:val="24"/>
        </w:rPr>
      </w:pPr>
      <w:r>
        <w:rPr>
          <w:rFonts w:hint="eastAsia" w:ascii="宋体" w:hAnsi="宋体" w:cs="宋体"/>
          <w:color w:val="000000"/>
          <w:sz w:val="24"/>
        </w:rPr>
        <w:t>　　当监理人有指令时，承包人应对重要隐蔽工程进行拍摄或照相并应保证监理人有充分的机会对将要覆盖或掩蔽的工程进行检查和量测，特别是在基础以上的任一部分工程修筑之前，对该基础进行检查。</w:t>
      </w:r>
    </w:p>
    <w:p w14:paraId="67439091">
      <w:pPr>
        <w:spacing w:line="360" w:lineRule="auto"/>
        <w:rPr>
          <w:rFonts w:ascii="宋体" w:hAnsi="宋体" w:cs="宋体"/>
          <w:b/>
          <w:color w:val="000000"/>
          <w:kern w:val="0"/>
          <w:sz w:val="24"/>
        </w:rPr>
      </w:pPr>
      <w:bookmarkStart w:id="298" w:name="_Toc11649"/>
      <w:bookmarkStart w:id="299" w:name="_Toc514414332"/>
      <w:bookmarkStart w:id="300" w:name="_Toc20863"/>
      <w:r>
        <w:rPr>
          <w:rFonts w:hint="eastAsia" w:ascii="宋体" w:hAnsi="宋体" w:cs="宋体"/>
          <w:b/>
          <w:color w:val="000000"/>
          <w:kern w:val="0"/>
          <w:sz w:val="24"/>
        </w:rPr>
        <w:t>13.6．清除不合格工程</w:t>
      </w:r>
      <w:bookmarkEnd w:id="298"/>
      <w:bookmarkEnd w:id="299"/>
      <w:bookmarkEnd w:id="300"/>
    </w:p>
    <w:p w14:paraId="45E3C2A7">
      <w:pPr>
        <w:spacing w:line="360" w:lineRule="auto"/>
        <w:rPr>
          <w:rFonts w:ascii="宋体" w:hAnsi="宋体" w:cs="宋体"/>
          <w:color w:val="000000"/>
          <w:sz w:val="24"/>
        </w:rPr>
      </w:pPr>
      <w:r>
        <w:rPr>
          <w:rFonts w:hint="eastAsia" w:ascii="宋体" w:hAnsi="宋体" w:cs="宋体"/>
          <w:color w:val="000000"/>
          <w:sz w:val="24"/>
        </w:rPr>
        <w:t>　　第13.6.1项细化为：</w:t>
      </w:r>
    </w:p>
    <w:p w14:paraId="52127933">
      <w:pPr>
        <w:spacing w:line="360" w:lineRule="auto"/>
        <w:rPr>
          <w:rFonts w:ascii="宋体" w:hAnsi="宋体" w:cs="宋体"/>
          <w:color w:val="000000"/>
          <w:sz w:val="24"/>
        </w:rPr>
      </w:pPr>
      <w:r>
        <w:rPr>
          <w:rFonts w:hint="eastAsia" w:ascii="宋体" w:hAnsi="宋体" w:cs="宋体"/>
          <w:color w:val="000000"/>
          <w:sz w:val="24"/>
        </w:rPr>
        <w:t>　　（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计划工期延误由承包人承担。</w:t>
      </w:r>
    </w:p>
    <w:p w14:paraId="7630DC13">
      <w:pPr>
        <w:spacing w:line="360" w:lineRule="auto"/>
        <w:rPr>
          <w:rFonts w:ascii="宋体" w:hAnsi="宋体" w:cs="宋体"/>
          <w:color w:val="000000"/>
          <w:sz w:val="24"/>
        </w:rPr>
      </w:pPr>
      <w:r>
        <w:rPr>
          <w:rFonts w:hint="eastAsia" w:ascii="宋体" w:hAnsi="宋体" w:cs="宋体"/>
          <w:color w:val="000000"/>
          <w:sz w:val="24"/>
        </w:rPr>
        <w:t>　　（2）如果承包人未在规定时间内执行监理人的指示，发包人有权雇用他人执行，由此增加的费用和（或）计划工期延误由承包人承担。</w:t>
      </w:r>
    </w:p>
    <w:p w14:paraId="0BA4E62D">
      <w:pPr>
        <w:spacing w:line="360" w:lineRule="auto"/>
        <w:rPr>
          <w:rFonts w:ascii="宋体" w:hAnsi="宋体" w:cs="宋体"/>
          <w:b/>
          <w:color w:val="000000"/>
          <w:kern w:val="0"/>
          <w:sz w:val="24"/>
        </w:rPr>
      </w:pPr>
      <w:bookmarkStart w:id="301" w:name="_Toc2943"/>
      <w:bookmarkStart w:id="302" w:name="_Toc514414333"/>
      <w:bookmarkStart w:id="303" w:name="_Toc19617"/>
      <w:r>
        <w:rPr>
          <w:rFonts w:hint="eastAsia" w:ascii="宋体" w:hAnsi="宋体" w:cs="宋体"/>
          <w:b/>
          <w:color w:val="000000"/>
          <w:kern w:val="0"/>
          <w:sz w:val="24"/>
        </w:rPr>
        <w:t>14．试验和检验</w:t>
      </w:r>
      <w:bookmarkEnd w:id="301"/>
      <w:bookmarkEnd w:id="302"/>
      <w:bookmarkEnd w:id="303"/>
    </w:p>
    <w:p w14:paraId="549FE336">
      <w:pPr>
        <w:spacing w:line="360" w:lineRule="auto"/>
        <w:rPr>
          <w:rFonts w:ascii="宋体" w:hAnsi="宋体" w:cs="宋体"/>
          <w:b/>
          <w:color w:val="000000"/>
          <w:sz w:val="24"/>
        </w:rPr>
      </w:pPr>
      <w:r>
        <w:rPr>
          <w:rFonts w:hint="eastAsia" w:ascii="宋体" w:hAnsi="宋体" w:cs="宋体"/>
          <w:b/>
          <w:color w:val="000000"/>
          <w:sz w:val="24"/>
        </w:rPr>
        <w:t>补充第14.4款：</w:t>
      </w:r>
    </w:p>
    <w:p w14:paraId="53E5E856">
      <w:pPr>
        <w:spacing w:line="360" w:lineRule="auto"/>
        <w:rPr>
          <w:rFonts w:ascii="宋体" w:hAnsi="宋体" w:cs="宋体"/>
          <w:b/>
          <w:color w:val="000000"/>
          <w:kern w:val="0"/>
          <w:sz w:val="24"/>
        </w:rPr>
      </w:pPr>
      <w:bookmarkStart w:id="304" w:name="_Toc17655"/>
      <w:bookmarkStart w:id="305" w:name="_Toc5373"/>
      <w:bookmarkStart w:id="306" w:name="_Toc514414334"/>
      <w:r>
        <w:rPr>
          <w:rFonts w:hint="eastAsia" w:ascii="宋体" w:hAnsi="宋体" w:cs="宋体"/>
          <w:b/>
          <w:color w:val="000000"/>
          <w:kern w:val="0"/>
          <w:sz w:val="24"/>
        </w:rPr>
        <w:t>14.4．试验和检验费用</w:t>
      </w:r>
      <w:bookmarkEnd w:id="304"/>
      <w:bookmarkEnd w:id="305"/>
      <w:bookmarkEnd w:id="306"/>
    </w:p>
    <w:p w14:paraId="240638FE">
      <w:pPr>
        <w:spacing w:line="360" w:lineRule="auto"/>
        <w:rPr>
          <w:rFonts w:ascii="宋体" w:hAnsi="宋体" w:cs="宋体"/>
          <w:color w:val="000000"/>
          <w:sz w:val="24"/>
        </w:rPr>
      </w:pPr>
      <w:r>
        <w:rPr>
          <w:rFonts w:hint="eastAsia" w:ascii="宋体" w:hAnsi="宋体" w:cs="宋体"/>
          <w:color w:val="000000"/>
          <w:sz w:val="24"/>
        </w:rPr>
        <w:t>　　（1）承包人应负责提供合同和技术规范规定的试验和检验所需的全部样品，并承担其费用。</w:t>
      </w:r>
    </w:p>
    <w:p w14:paraId="5D407223">
      <w:pPr>
        <w:spacing w:line="360" w:lineRule="auto"/>
        <w:rPr>
          <w:rFonts w:ascii="宋体" w:hAnsi="宋体" w:cs="宋体"/>
          <w:color w:val="000000"/>
          <w:sz w:val="24"/>
        </w:rPr>
      </w:pPr>
      <w:r>
        <w:rPr>
          <w:rFonts w:hint="eastAsia" w:ascii="宋体" w:hAnsi="宋体" w:cs="宋体"/>
          <w:color w:val="000000"/>
          <w:sz w:val="24"/>
        </w:rPr>
        <w:t>　　（2）在合同中明确规定的试验和检验，包括无须在工程量清单中单独列项和已在工程量清单中单独列项的试验和检验，其试验和检验的费用由承包人承担。</w:t>
      </w:r>
    </w:p>
    <w:p w14:paraId="18752F1D">
      <w:pPr>
        <w:spacing w:line="360" w:lineRule="auto"/>
        <w:rPr>
          <w:rFonts w:ascii="宋体" w:hAnsi="宋体" w:cs="宋体"/>
          <w:color w:val="000000"/>
          <w:sz w:val="24"/>
        </w:rPr>
      </w:pPr>
      <w:r>
        <w:rPr>
          <w:rFonts w:hint="eastAsia" w:ascii="宋体" w:hAnsi="宋体" w:cs="宋体"/>
          <w:color w:val="000000"/>
          <w:sz w:val="24"/>
        </w:rPr>
        <w:t>　　（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7BAD05D9">
      <w:pPr>
        <w:spacing w:line="360" w:lineRule="auto"/>
        <w:rPr>
          <w:rFonts w:ascii="宋体" w:hAnsi="宋体" w:cs="宋体"/>
          <w:b/>
          <w:color w:val="000000"/>
          <w:kern w:val="0"/>
          <w:sz w:val="24"/>
        </w:rPr>
      </w:pPr>
      <w:bookmarkStart w:id="307" w:name="_Toc514414335"/>
      <w:bookmarkStart w:id="308" w:name="_Toc18399"/>
      <w:bookmarkStart w:id="309" w:name="_Toc10961"/>
      <w:r>
        <w:rPr>
          <w:rFonts w:hint="eastAsia" w:ascii="宋体" w:hAnsi="宋体" w:cs="宋体"/>
          <w:b/>
          <w:color w:val="000000"/>
          <w:kern w:val="0"/>
          <w:sz w:val="24"/>
        </w:rPr>
        <w:t>15．变更</w:t>
      </w:r>
      <w:bookmarkEnd w:id="307"/>
      <w:bookmarkEnd w:id="308"/>
      <w:bookmarkEnd w:id="309"/>
    </w:p>
    <w:p w14:paraId="47873B93">
      <w:pPr>
        <w:spacing w:line="360" w:lineRule="auto"/>
        <w:rPr>
          <w:rFonts w:ascii="宋体" w:hAnsi="宋体" w:cs="宋体"/>
          <w:b/>
          <w:color w:val="000000"/>
          <w:kern w:val="0"/>
          <w:sz w:val="24"/>
        </w:rPr>
      </w:pPr>
      <w:bookmarkStart w:id="310" w:name="_Toc514414336"/>
      <w:bookmarkStart w:id="311" w:name="_Toc21444"/>
      <w:bookmarkStart w:id="312" w:name="_Toc10354"/>
      <w:r>
        <w:rPr>
          <w:rFonts w:hint="eastAsia" w:ascii="宋体" w:hAnsi="宋体" w:cs="宋体"/>
          <w:b/>
          <w:color w:val="000000"/>
          <w:kern w:val="0"/>
          <w:sz w:val="24"/>
        </w:rPr>
        <w:t>15.1．变更的范围和内容</w:t>
      </w:r>
      <w:bookmarkEnd w:id="310"/>
      <w:bookmarkEnd w:id="311"/>
      <w:bookmarkEnd w:id="312"/>
    </w:p>
    <w:p w14:paraId="3251CA80">
      <w:pPr>
        <w:spacing w:line="360" w:lineRule="auto"/>
        <w:rPr>
          <w:rFonts w:ascii="宋体" w:hAnsi="宋体" w:cs="宋体"/>
          <w:color w:val="000000"/>
          <w:sz w:val="24"/>
        </w:rPr>
      </w:pPr>
      <w:r>
        <w:rPr>
          <w:rFonts w:hint="eastAsia" w:ascii="宋体" w:hAnsi="宋体" w:cs="宋体"/>
          <w:color w:val="000000"/>
          <w:sz w:val="24"/>
        </w:rPr>
        <w:t>　　本款第（1）项细化为：</w:t>
      </w:r>
    </w:p>
    <w:p w14:paraId="3DE4BAC4">
      <w:pPr>
        <w:spacing w:line="360" w:lineRule="auto"/>
        <w:rPr>
          <w:rFonts w:ascii="宋体" w:hAnsi="宋体" w:cs="宋体"/>
          <w:color w:val="000000"/>
          <w:sz w:val="24"/>
        </w:rPr>
      </w:pPr>
      <w:r>
        <w:rPr>
          <w:rFonts w:hint="eastAsia" w:ascii="宋体" w:hAnsi="宋体" w:cs="宋体"/>
          <w:color w:val="000000"/>
          <w:sz w:val="24"/>
        </w:rPr>
        <w:t>　　（1）取消合同中任何一项工作，但被取消的工作不能转由发包人或其他人实施，由于承包人违约造成的情况除外；</w:t>
      </w:r>
    </w:p>
    <w:p w14:paraId="3C32A7DF">
      <w:pPr>
        <w:spacing w:line="360" w:lineRule="auto"/>
        <w:rPr>
          <w:rFonts w:ascii="宋体" w:hAnsi="宋体" w:cs="宋体"/>
          <w:b/>
          <w:color w:val="000000"/>
          <w:kern w:val="0"/>
          <w:sz w:val="24"/>
        </w:rPr>
      </w:pPr>
      <w:bookmarkStart w:id="313" w:name="_Toc10537"/>
      <w:bookmarkStart w:id="314" w:name="_Toc12341"/>
      <w:bookmarkStart w:id="315" w:name="_Toc514414337"/>
      <w:r>
        <w:rPr>
          <w:rFonts w:hint="eastAsia" w:ascii="宋体" w:hAnsi="宋体" w:cs="宋体"/>
          <w:b/>
          <w:color w:val="000000"/>
          <w:kern w:val="0"/>
          <w:sz w:val="24"/>
        </w:rPr>
        <w:t>15.3．变更程序</w:t>
      </w:r>
      <w:bookmarkEnd w:id="313"/>
      <w:bookmarkEnd w:id="314"/>
      <w:bookmarkEnd w:id="315"/>
    </w:p>
    <w:p w14:paraId="7705ABE1">
      <w:pPr>
        <w:spacing w:line="360" w:lineRule="auto"/>
        <w:rPr>
          <w:rFonts w:ascii="宋体" w:hAnsi="宋体" w:cs="宋体"/>
          <w:color w:val="000000"/>
          <w:sz w:val="24"/>
        </w:rPr>
      </w:pPr>
      <w:r>
        <w:rPr>
          <w:rFonts w:hint="eastAsia" w:ascii="宋体" w:hAnsi="宋体" w:cs="宋体"/>
          <w:color w:val="000000"/>
          <w:sz w:val="24"/>
        </w:rPr>
        <w:t>　　本款补充第15.3.4项：</w:t>
      </w:r>
    </w:p>
    <w:p w14:paraId="50730A1D">
      <w:pPr>
        <w:spacing w:line="360" w:lineRule="auto"/>
        <w:rPr>
          <w:rFonts w:ascii="宋体" w:hAnsi="宋体" w:cs="宋体"/>
          <w:color w:val="000000"/>
          <w:sz w:val="24"/>
        </w:rPr>
      </w:pPr>
      <w:r>
        <w:rPr>
          <w:rFonts w:hint="eastAsia" w:ascii="宋体" w:hAnsi="宋体" w:cs="宋体"/>
          <w:color w:val="000000"/>
          <w:sz w:val="24"/>
        </w:rPr>
        <w:t>　　15.3.4设计变更程序应执行《公路工程设计变更管理办法》的相关规定。</w:t>
      </w:r>
    </w:p>
    <w:p w14:paraId="388967E9">
      <w:pPr>
        <w:spacing w:line="360" w:lineRule="auto"/>
        <w:rPr>
          <w:rFonts w:ascii="宋体" w:hAnsi="宋体" w:cs="宋体"/>
          <w:b/>
          <w:color w:val="000000"/>
          <w:kern w:val="0"/>
          <w:sz w:val="24"/>
        </w:rPr>
      </w:pPr>
      <w:bookmarkStart w:id="316" w:name="_Toc18866"/>
      <w:bookmarkStart w:id="317" w:name="_Toc11369"/>
      <w:bookmarkStart w:id="318" w:name="_Toc514414338"/>
      <w:r>
        <w:rPr>
          <w:rFonts w:hint="eastAsia" w:ascii="宋体" w:hAnsi="宋体" w:cs="宋体"/>
          <w:b/>
          <w:color w:val="000000"/>
          <w:kern w:val="0"/>
          <w:sz w:val="24"/>
        </w:rPr>
        <w:t>15.4．变更的估价原则</w:t>
      </w:r>
      <w:bookmarkEnd w:id="316"/>
      <w:bookmarkEnd w:id="317"/>
      <w:bookmarkEnd w:id="318"/>
    </w:p>
    <w:p w14:paraId="3117291D">
      <w:pPr>
        <w:spacing w:line="360" w:lineRule="auto"/>
        <w:rPr>
          <w:rFonts w:ascii="宋体" w:hAnsi="宋体" w:cs="宋体"/>
          <w:color w:val="000000"/>
          <w:sz w:val="24"/>
        </w:rPr>
      </w:pPr>
      <w:r>
        <w:rPr>
          <w:rFonts w:hint="eastAsia" w:ascii="宋体" w:hAnsi="宋体" w:cs="宋体"/>
          <w:color w:val="000000"/>
          <w:sz w:val="24"/>
        </w:rPr>
        <w:t>　　本款细化为：</w:t>
      </w:r>
    </w:p>
    <w:p w14:paraId="796F50EE">
      <w:pPr>
        <w:spacing w:line="360" w:lineRule="auto"/>
        <w:rPr>
          <w:rFonts w:ascii="宋体" w:hAnsi="宋体" w:cs="宋体"/>
          <w:color w:val="000000"/>
          <w:sz w:val="24"/>
        </w:rPr>
      </w:pPr>
      <w:r>
        <w:rPr>
          <w:rFonts w:hint="eastAsia" w:ascii="宋体" w:hAnsi="宋体" w:cs="宋体"/>
          <w:color w:val="000000"/>
          <w:sz w:val="24"/>
        </w:rPr>
        <w:t>　　除项目专用合同条款另有约定外，因变更引起的价格调整按照本款约定处理。</w:t>
      </w:r>
    </w:p>
    <w:p w14:paraId="124DBDBA">
      <w:pPr>
        <w:spacing w:line="360" w:lineRule="auto"/>
        <w:rPr>
          <w:rFonts w:ascii="宋体" w:hAnsi="宋体" w:cs="宋体"/>
          <w:color w:val="000000"/>
          <w:sz w:val="24"/>
        </w:rPr>
      </w:pPr>
      <w:r>
        <w:rPr>
          <w:rFonts w:hint="eastAsia" w:ascii="宋体" w:hAnsi="宋体" w:cs="宋体"/>
          <w:color w:val="000000"/>
          <w:sz w:val="24"/>
        </w:rPr>
        <w:t>　　15.4.1如果取消某项工作，则该项工作的总额价不予支付。</w:t>
      </w:r>
    </w:p>
    <w:p w14:paraId="2EB900BE">
      <w:pPr>
        <w:spacing w:line="360" w:lineRule="auto"/>
        <w:rPr>
          <w:rFonts w:ascii="宋体" w:hAnsi="宋体" w:cs="宋体"/>
          <w:color w:val="000000"/>
          <w:sz w:val="24"/>
        </w:rPr>
      </w:pPr>
      <w:r>
        <w:rPr>
          <w:rFonts w:hint="eastAsia" w:ascii="宋体" w:hAnsi="宋体" w:cs="宋体"/>
          <w:color w:val="000000"/>
          <w:sz w:val="24"/>
        </w:rPr>
        <w:t>　　15.4.2已标价工程量清单中有适用于变更工作的子目的，采用该子目的单价。</w:t>
      </w:r>
    </w:p>
    <w:p w14:paraId="5079F667">
      <w:pPr>
        <w:spacing w:line="360" w:lineRule="auto"/>
        <w:rPr>
          <w:rFonts w:ascii="宋体" w:hAnsi="宋体" w:cs="宋体"/>
          <w:color w:val="000000"/>
          <w:sz w:val="24"/>
        </w:rPr>
      </w:pPr>
      <w:r>
        <w:rPr>
          <w:rFonts w:hint="eastAsia" w:ascii="宋体" w:hAnsi="宋体" w:cs="宋体"/>
          <w:color w:val="000000"/>
          <w:sz w:val="24"/>
        </w:rPr>
        <w:t>　　15.4.3已标价工程量清单中无适用于变更工作的子目，但有类似子目的，可在合理范围内参照类似子目的单价，由监理人按第3.5款商定或确定变更工作的单价。</w:t>
      </w:r>
    </w:p>
    <w:p w14:paraId="752171CC">
      <w:pPr>
        <w:spacing w:line="360" w:lineRule="auto"/>
        <w:rPr>
          <w:rFonts w:ascii="宋体" w:hAnsi="宋体" w:cs="宋体"/>
          <w:color w:val="000000"/>
          <w:sz w:val="24"/>
        </w:rPr>
      </w:pPr>
      <w:r>
        <w:rPr>
          <w:rFonts w:hint="eastAsia" w:ascii="宋体" w:hAnsi="宋体" w:cs="宋体"/>
          <w:color w:val="000000"/>
          <w:sz w:val="24"/>
        </w:rPr>
        <w:t>　　15.4.4已标价工程量清单中无适用或类似子目的单价，可在综合考虑承包人在投标时所提供的单价分析表的基础上，由监理人按第3.5款商定或确定变更工作的单价。</w:t>
      </w:r>
    </w:p>
    <w:p w14:paraId="1BBDA7CF">
      <w:pPr>
        <w:spacing w:line="360" w:lineRule="auto"/>
        <w:rPr>
          <w:rFonts w:ascii="宋体" w:hAnsi="宋体" w:cs="宋体"/>
          <w:color w:val="000000"/>
          <w:sz w:val="24"/>
        </w:rPr>
      </w:pPr>
      <w:r>
        <w:rPr>
          <w:rFonts w:hint="eastAsia" w:ascii="宋体" w:hAnsi="宋体" w:cs="宋体"/>
          <w:color w:val="000000"/>
          <w:sz w:val="24"/>
        </w:rPr>
        <w:t>　　15.4.5如果本工程的变更指示是因承包人过错、承包人违反合同或承包人责任造成的，则这种违约引起的任何额外费用应由承包人承担。</w:t>
      </w:r>
    </w:p>
    <w:p w14:paraId="536DACCE">
      <w:pPr>
        <w:spacing w:line="360" w:lineRule="auto"/>
        <w:rPr>
          <w:rFonts w:ascii="宋体" w:hAnsi="宋体" w:cs="宋体"/>
          <w:b/>
          <w:color w:val="000000"/>
          <w:kern w:val="0"/>
          <w:sz w:val="24"/>
        </w:rPr>
      </w:pPr>
      <w:bookmarkStart w:id="319" w:name="_Toc32007"/>
      <w:bookmarkStart w:id="320" w:name="_Toc514414339"/>
      <w:bookmarkStart w:id="321" w:name="_Toc8731"/>
      <w:r>
        <w:rPr>
          <w:rFonts w:hint="eastAsia" w:ascii="宋体" w:hAnsi="宋体" w:cs="宋体"/>
          <w:b/>
          <w:color w:val="000000"/>
          <w:kern w:val="0"/>
          <w:sz w:val="24"/>
        </w:rPr>
        <w:t>15.5．承包人的合理化建议</w:t>
      </w:r>
      <w:bookmarkEnd w:id="319"/>
      <w:bookmarkEnd w:id="320"/>
      <w:bookmarkEnd w:id="321"/>
    </w:p>
    <w:p w14:paraId="581762B8">
      <w:pPr>
        <w:spacing w:line="360" w:lineRule="auto"/>
        <w:rPr>
          <w:rFonts w:ascii="宋体" w:hAnsi="宋体" w:cs="宋体"/>
          <w:color w:val="000000"/>
          <w:sz w:val="24"/>
        </w:rPr>
      </w:pPr>
      <w:r>
        <w:rPr>
          <w:rFonts w:hint="eastAsia" w:ascii="宋体" w:hAnsi="宋体" w:cs="宋体"/>
          <w:color w:val="000000"/>
          <w:sz w:val="24"/>
        </w:rPr>
        <w:t>　　第15.5.2项约定为：</w:t>
      </w:r>
    </w:p>
    <w:p w14:paraId="27A9F7D4">
      <w:pPr>
        <w:spacing w:line="360" w:lineRule="auto"/>
        <w:rPr>
          <w:rFonts w:ascii="宋体" w:hAnsi="宋体" w:cs="宋体"/>
          <w:color w:val="000000"/>
          <w:sz w:val="24"/>
        </w:rPr>
      </w:pPr>
      <w:r>
        <w:rPr>
          <w:rFonts w:hint="eastAsia" w:ascii="宋体" w:hAnsi="宋体" w:cs="宋体"/>
          <w:color w:val="000000"/>
          <w:sz w:val="24"/>
        </w:rPr>
        <w:t>　　承包人提出的合理化建议缩短了计划工期，发包人按第11.6款的规定给予奖励。</w:t>
      </w:r>
    </w:p>
    <w:p w14:paraId="3365D095">
      <w:pPr>
        <w:spacing w:line="360" w:lineRule="auto"/>
        <w:rPr>
          <w:rFonts w:ascii="宋体" w:hAnsi="宋体" w:cs="宋体"/>
          <w:color w:val="000000"/>
          <w:sz w:val="24"/>
        </w:rPr>
      </w:pPr>
      <w:r>
        <w:rPr>
          <w:rFonts w:hint="eastAsia" w:ascii="宋体" w:hAnsi="宋体" w:cs="宋体"/>
          <w:color w:val="000000"/>
          <w:sz w:val="24"/>
        </w:rPr>
        <w:t>　　承包人提出的合理化建议降低了合同价格或者提高了工程经济效益的，发包人按项目专用合同条款数据表中规定的金额给予奖励。</w:t>
      </w:r>
    </w:p>
    <w:p w14:paraId="2B7A48FF">
      <w:pPr>
        <w:spacing w:line="360" w:lineRule="auto"/>
        <w:rPr>
          <w:rFonts w:ascii="宋体" w:hAnsi="宋体" w:cs="宋体"/>
          <w:b/>
          <w:color w:val="000000"/>
          <w:kern w:val="0"/>
          <w:sz w:val="24"/>
        </w:rPr>
      </w:pPr>
      <w:bookmarkStart w:id="322" w:name="_Toc31852"/>
      <w:bookmarkStart w:id="323" w:name="_Toc514414340"/>
      <w:bookmarkStart w:id="324" w:name="_Toc22084"/>
      <w:r>
        <w:rPr>
          <w:rFonts w:hint="eastAsia" w:ascii="宋体" w:hAnsi="宋体" w:cs="宋体"/>
          <w:b/>
          <w:color w:val="000000"/>
          <w:kern w:val="0"/>
          <w:sz w:val="24"/>
        </w:rPr>
        <w:t>15.6．暂列金额</w:t>
      </w:r>
      <w:bookmarkEnd w:id="322"/>
      <w:bookmarkEnd w:id="323"/>
      <w:bookmarkEnd w:id="324"/>
    </w:p>
    <w:p w14:paraId="665D72B3">
      <w:pPr>
        <w:spacing w:line="360" w:lineRule="auto"/>
        <w:rPr>
          <w:rFonts w:ascii="宋体" w:hAnsi="宋体" w:cs="宋体"/>
          <w:color w:val="000000"/>
          <w:sz w:val="24"/>
        </w:rPr>
      </w:pPr>
      <w:r>
        <w:rPr>
          <w:rFonts w:hint="eastAsia" w:ascii="宋体" w:hAnsi="宋体" w:cs="宋体"/>
          <w:color w:val="000000"/>
          <w:sz w:val="24"/>
        </w:rPr>
        <w:t>　　本款细化为：</w:t>
      </w:r>
    </w:p>
    <w:p w14:paraId="655C6D3F">
      <w:pPr>
        <w:spacing w:line="360" w:lineRule="auto"/>
        <w:rPr>
          <w:rFonts w:ascii="宋体" w:hAnsi="宋体" w:cs="宋体"/>
          <w:color w:val="000000"/>
          <w:sz w:val="24"/>
        </w:rPr>
      </w:pPr>
      <w:r>
        <w:rPr>
          <w:rFonts w:hint="eastAsia" w:ascii="宋体" w:hAnsi="宋体" w:cs="宋体"/>
          <w:color w:val="000000"/>
          <w:sz w:val="24"/>
        </w:rPr>
        <w:t>　　15.6.1暂列金额应由监理人报发包人批准后指令全部或部分地使用，或者根本不予动用。</w:t>
      </w:r>
    </w:p>
    <w:p w14:paraId="25C8D367">
      <w:pPr>
        <w:spacing w:line="360" w:lineRule="auto"/>
        <w:rPr>
          <w:rFonts w:ascii="宋体" w:hAnsi="宋体" w:cs="宋体"/>
          <w:color w:val="000000"/>
          <w:sz w:val="24"/>
        </w:rPr>
      </w:pPr>
      <w:r>
        <w:rPr>
          <w:rFonts w:hint="eastAsia" w:ascii="宋体" w:hAnsi="宋体" w:cs="宋体"/>
          <w:color w:val="000000"/>
          <w:sz w:val="24"/>
        </w:rPr>
        <w:t>　　15.6.2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3D8E63E6">
      <w:pPr>
        <w:spacing w:line="360" w:lineRule="auto"/>
        <w:rPr>
          <w:rFonts w:ascii="宋体" w:hAnsi="宋体" w:cs="宋体"/>
          <w:color w:val="000000"/>
          <w:sz w:val="24"/>
        </w:rPr>
      </w:pPr>
      <w:r>
        <w:rPr>
          <w:rFonts w:hint="eastAsia" w:ascii="宋体" w:hAnsi="宋体" w:cs="宋体"/>
          <w:color w:val="000000"/>
          <w:sz w:val="24"/>
        </w:rPr>
        <w:t>　　15.6.3当监理人提出要求时，承包人应提供有关暂列金额支出的所有报价单、发票、凭证和账单或收据，除非该工作是根据已标价工程量清单列明的单价或总额价进行的估价。</w:t>
      </w:r>
    </w:p>
    <w:p w14:paraId="720AF764">
      <w:pPr>
        <w:spacing w:line="360" w:lineRule="auto"/>
        <w:rPr>
          <w:rFonts w:ascii="宋体" w:hAnsi="宋体" w:cs="宋体"/>
          <w:b/>
          <w:color w:val="000000"/>
          <w:kern w:val="0"/>
          <w:sz w:val="24"/>
        </w:rPr>
      </w:pPr>
      <w:bookmarkStart w:id="325" w:name="_Toc514414341"/>
      <w:bookmarkStart w:id="326" w:name="_Toc32589"/>
      <w:bookmarkStart w:id="327" w:name="_Toc10162"/>
      <w:r>
        <w:rPr>
          <w:rFonts w:hint="eastAsia" w:ascii="宋体" w:hAnsi="宋体" w:cs="宋体"/>
          <w:b/>
          <w:color w:val="000000"/>
          <w:kern w:val="0"/>
          <w:sz w:val="24"/>
        </w:rPr>
        <w:t>16．价格调整</w:t>
      </w:r>
      <w:bookmarkEnd w:id="325"/>
      <w:bookmarkEnd w:id="326"/>
      <w:bookmarkEnd w:id="327"/>
    </w:p>
    <w:p w14:paraId="223C52A7">
      <w:pPr>
        <w:spacing w:line="360" w:lineRule="auto"/>
        <w:rPr>
          <w:rFonts w:ascii="宋体" w:hAnsi="宋体" w:cs="宋体"/>
          <w:b/>
          <w:color w:val="000000"/>
          <w:kern w:val="0"/>
          <w:sz w:val="24"/>
        </w:rPr>
      </w:pPr>
      <w:bookmarkStart w:id="328" w:name="_Toc514414342"/>
      <w:bookmarkStart w:id="329" w:name="_Toc31379"/>
      <w:bookmarkStart w:id="330" w:name="_Toc29163"/>
      <w:r>
        <w:rPr>
          <w:rFonts w:hint="eastAsia" w:ascii="宋体" w:hAnsi="宋体" w:cs="宋体"/>
          <w:b/>
          <w:color w:val="000000"/>
          <w:kern w:val="0"/>
          <w:sz w:val="24"/>
        </w:rPr>
        <w:t>16.1．物价波动引起的价格调整</w:t>
      </w:r>
      <w:bookmarkEnd w:id="328"/>
      <w:bookmarkEnd w:id="329"/>
      <w:bookmarkEnd w:id="330"/>
    </w:p>
    <w:p w14:paraId="3C5AA1DC">
      <w:pPr>
        <w:spacing w:line="360" w:lineRule="auto"/>
        <w:rPr>
          <w:rFonts w:ascii="宋体" w:hAnsi="宋体" w:cs="宋体"/>
          <w:color w:val="000000"/>
          <w:sz w:val="24"/>
        </w:rPr>
      </w:pPr>
      <w:r>
        <w:rPr>
          <w:rFonts w:hint="eastAsia" w:ascii="宋体" w:hAnsi="宋体" w:cs="宋体"/>
          <w:color w:val="000000"/>
          <w:sz w:val="24"/>
        </w:rPr>
        <w:t>　　本款约定为：</w:t>
      </w:r>
    </w:p>
    <w:p w14:paraId="0B9A0FA2">
      <w:pPr>
        <w:spacing w:line="360" w:lineRule="auto"/>
        <w:rPr>
          <w:rFonts w:ascii="宋体" w:hAnsi="宋体" w:cs="宋体"/>
          <w:color w:val="000000"/>
          <w:sz w:val="24"/>
        </w:rPr>
      </w:pPr>
      <w:r>
        <w:rPr>
          <w:rFonts w:hint="eastAsia" w:ascii="宋体" w:hAnsi="宋体" w:cs="宋体"/>
          <w:color w:val="000000"/>
          <w:sz w:val="24"/>
        </w:rPr>
        <w:t>　　（1）除项目专用合同条款另有约定外，因物价波动引起的价格调整应按项目专用合同条款数据表的规定，按照第16.1.1项或第16.1.2项约定的原则处理；或者</w:t>
      </w:r>
    </w:p>
    <w:p w14:paraId="0C6C91C7">
      <w:pPr>
        <w:spacing w:line="360" w:lineRule="auto"/>
        <w:rPr>
          <w:rFonts w:ascii="宋体" w:hAnsi="宋体" w:cs="宋体"/>
          <w:color w:val="000000"/>
          <w:sz w:val="24"/>
        </w:rPr>
      </w:pPr>
      <w:r>
        <w:rPr>
          <w:rFonts w:hint="eastAsia" w:ascii="宋体" w:hAnsi="宋体" w:cs="宋体"/>
          <w:color w:val="000000"/>
          <w:sz w:val="24"/>
        </w:rPr>
        <w:t>　　（2）在合同执行期间（包括计划工期拖延期间）由于人工、材料和设备价格的上涨而引起工程施工成本增加的风险由承包人自行承担，合同价格不会因此而调整。</w:t>
      </w:r>
    </w:p>
    <w:p w14:paraId="06C03287">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16.1.1采用价格指数调整价格差额</w:t>
      </w:r>
    </w:p>
    <w:p w14:paraId="664831AE">
      <w:pPr>
        <w:spacing w:line="360" w:lineRule="auto"/>
        <w:rPr>
          <w:rFonts w:ascii="宋体" w:hAnsi="宋体" w:cs="宋体"/>
          <w:color w:val="000000"/>
          <w:sz w:val="24"/>
        </w:rPr>
      </w:pPr>
      <w:r>
        <w:rPr>
          <w:rFonts w:hint="eastAsia" w:ascii="宋体" w:hAnsi="宋体" w:cs="宋体"/>
          <w:color w:val="000000"/>
          <w:sz w:val="24"/>
        </w:rPr>
        <w:t>　　16.1.1.1价格调整公式</w:t>
      </w:r>
    </w:p>
    <w:p w14:paraId="56ECEF8D">
      <w:pPr>
        <w:spacing w:line="360" w:lineRule="auto"/>
        <w:rPr>
          <w:rFonts w:ascii="宋体" w:hAnsi="宋体" w:cs="宋体"/>
          <w:color w:val="000000"/>
          <w:sz w:val="24"/>
        </w:rPr>
      </w:pPr>
      <w:r>
        <w:rPr>
          <w:rFonts w:hint="eastAsia" w:ascii="宋体" w:hAnsi="宋体" w:cs="宋体"/>
          <w:color w:val="000000"/>
          <w:sz w:val="24"/>
        </w:rPr>
        <w:t>　　价格调整公式后增加备注如下：</w:t>
      </w:r>
    </w:p>
    <w:p w14:paraId="38073B21">
      <w:pPr>
        <w:spacing w:line="360" w:lineRule="auto"/>
        <w:rPr>
          <w:rFonts w:ascii="宋体" w:hAnsi="宋体" w:cs="宋体"/>
          <w:color w:val="000000"/>
          <w:sz w:val="24"/>
        </w:rPr>
      </w:pPr>
      <w:r>
        <w:rPr>
          <w:rFonts w:hint="eastAsia" w:ascii="宋体" w:hAnsi="宋体" w:cs="宋体"/>
          <w:color w:val="000000"/>
          <w:sz w:val="24"/>
        </w:rPr>
        <w:t>　　　式中，</w:t>
      </w:r>
      <w:r>
        <w:rPr>
          <w:rFonts w:hint="eastAsia" w:ascii="宋体" w:hAnsi="宋体" w:cs="宋体"/>
          <w:b/>
          <w:color w:val="000000"/>
          <w:sz w:val="24"/>
        </w:rPr>
        <w:t>A=1－（B1＋B2＋B3＋……＋Bn）</w:t>
      </w:r>
      <w:r>
        <w:rPr>
          <w:rFonts w:hint="eastAsia" w:ascii="宋体" w:hAnsi="宋体" w:cs="宋体"/>
          <w:color w:val="000000"/>
          <w:sz w:val="24"/>
        </w:rPr>
        <w:t>。</w:t>
      </w:r>
    </w:p>
    <w:p w14:paraId="33F9CF42">
      <w:pPr>
        <w:spacing w:line="360" w:lineRule="auto"/>
        <w:rPr>
          <w:rFonts w:ascii="宋体" w:hAnsi="宋体" w:cs="宋体"/>
          <w:color w:val="000000"/>
          <w:sz w:val="24"/>
        </w:rPr>
      </w:pPr>
      <w:r>
        <w:rPr>
          <w:rFonts w:hint="eastAsia" w:ascii="宋体" w:hAnsi="宋体" w:cs="宋体"/>
          <w:color w:val="000000"/>
          <w:sz w:val="24"/>
        </w:rPr>
        <w:t>　　本目最后一段文字细化为：</w:t>
      </w:r>
    </w:p>
    <w:p w14:paraId="43C6FA02">
      <w:pPr>
        <w:spacing w:line="360" w:lineRule="auto"/>
        <w:rPr>
          <w:rFonts w:ascii="宋体" w:hAnsi="宋体" w:cs="宋体"/>
          <w:color w:val="000000"/>
          <w:sz w:val="24"/>
        </w:rPr>
      </w:pPr>
      <w:r>
        <w:rPr>
          <w:rFonts w:hint="eastAsia" w:ascii="宋体" w:hAnsi="宋体" w:cs="宋体"/>
          <w:color w:val="000000"/>
          <w:sz w:val="24"/>
        </w:rPr>
        <w:t>　　在采用价格调整公式进行调价时，还应遵守以下规定：</w:t>
      </w:r>
    </w:p>
    <w:p w14:paraId="02C08E4C">
      <w:pPr>
        <w:spacing w:line="360" w:lineRule="auto"/>
        <w:rPr>
          <w:rFonts w:ascii="宋体" w:hAnsi="宋体" w:cs="宋体"/>
          <w:color w:val="000000"/>
          <w:sz w:val="24"/>
        </w:rPr>
      </w:pPr>
      <w:r>
        <w:rPr>
          <w:rFonts w:hint="eastAsia" w:ascii="宋体" w:hAnsi="宋体" w:cs="宋体"/>
          <w:color w:val="000000"/>
          <w:sz w:val="24"/>
        </w:rPr>
        <w:t>　　（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6BA27F4E">
      <w:pPr>
        <w:spacing w:line="360" w:lineRule="auto"/>
        <w:rPr>
          <w:rFonts w:ascii="宋体" w:hAnsi="宋体" w:cs="宋体"/>
          <w:color w:val="000000"/>
          <w:sz w:val="24"/>
        </w:rPr>
      </w:pPr>
      <w:r>
        <w:rPr>
          <w:rFonts w:hint="eastAsia" w:ascii="宋体" w:hAnsi="宋体" w:cs="宋体"/>
          <w:color w:val="000000"/>
          <w:sz w:val="24"/>
        </w:rPr>
        <w:t>　　（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0869FB66">
      <w:pPr>
        <w:spacing w:line="360" w:lineRule="auto"/>
        <w:rPr>
          <w:rFonts w:ascii="宋体" w:hAnsi="宋体" w:cs="宋体"/>
          <w:b/>
          <w:color w:val="000000"/>
          <w:kern w:val="0"/>
          <w:sz w:val="24"/>
        </w:rPr>
      </w:pPr>
      <w:bookmarkStart w:id="331" w:name="_Toc514414343"/>
      <w:bookmarkStart w:id="332" w:name="_Toc5587"/>
      <w:bookmarkStart w:id="333" w:name="_Toc4303"/>
      <w:r>
        <w:rPr>
          <w:rFonts w:hint="eastAsia" w:ascii="宋体" w:hAnsi="宋体" w:cs="宋体"/>
          <w:b/>
          <w:color w:val="000000"/>
          <w:kern w:val="0"/>
          <w:sz w:val="24"/>
        </w:rPr>
        <w:t>17．计量与支付</w:t>
      </w:r>
      <w:bookmarkEnd w:id="331"/>
      <w:bookmarkEnd w:id="332"/>
      <w:bookmarkEnd w:id="333"/>
    </w:p>
    <w:p w14:paraId="20E93A42">
      <w:pPr>
        <w:spacing w:line="360" w:lineRule="auto"/>
        <w:rPr>
          <w:rFonts w:ascii="宋体" w:hAnsi="宋体" w:cs="宋体"/>
          <w:b/>
          <w:color w:val="000000"/>
          <w:kern w:val="0"/>
          <w:sz w:val="24"/>
        </w:rPr>
      </w:pPr>
      <w:bookmarkStart w:id="334" w:name="_Toc514414344"/>
      <w:bookmarkStart w:id="335" w:name="_Toc13412"/>
      <w:bookmarkStart w:id="336" w:name="_Toc11860"/>
      <w:r>
        <w:rPr>
          <w:rFonts w:hint="eastAsia" w:ascii="宋体" w:hAnsi="宋体" w:cs="宋体"/>
          <w:b/>
          <w:color w:val="000000"/>
          <w:kern w:val="0"/>
          <w:sz w:val="24"/>
        </w:rPr>
        <w:t>17.1．计量</w:t>
      </w:r>
      <w:bookmarkEnd w:id="334"/>
      <w:bookmarkEnd w:id="335"/>
      <w:bookmarkEnd w:id="336"/>
    </w:p>
    <w:p w14:paraId="6F7B726C">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17.1.2计量方法</w:t>
      </w:r>
    </w:p>
    <w:p w14:paraId="1FC1FFD5">
      <w:pPr>
        <w:spacing w:line="360" w:lineRule="auto"/>
        <w:rPr>
          <w:rFonts w:ascii="宋体" w:hAnsi="宋体" w:cs="宋体"/>
          <w:color w:val="000000"/>
          <w:sz w:val="24"/>
        </w:rPr>
      </w:pPr>
      <w:r>
        <w:rPr>
          <w:rFonts w:hint="eastAsia" w:ascii="宋体" w:hAnsi="宋体" w:cs="宋体"/>
          <w:color w:val="000000"/>
          <w:sz w:val="24"/>
        </w:rPr>
        <w:t>　　本项约定为：</w:t>
      </w:r>
    </w:p>
    <w:p w14:paraId="68D8B142">
      <w:pPr>
        <w:spacing w:line="360" w:lineRule="auto"/>
        <w:rPr>
          <w:rFonts w:ascii="宋体" w:hAnsi="宋体" w:cs="宋体"/>
          <w:color w:val="000000"/>
          <w:sz w:val="24"/>
        </w:rPr>
      </w:pPr>
      <w:r>
        <w:rPr>
          <w:rFonts w:hint="eastAsia" w:ascii="宋体" w:hAnsi="宋体" w:cs="宋体"/>
          <w:color w:val="000000"/>
          <w:sz w:val="24"/>
        </w:rPr>
        <w:t>　　工程的计量应以净值为准，除非项目专用合同条款另有约定。工程量清单中各个子目的具体计量方法按本合同文件工程量清单计量规则中的规定执行。</w:t>
      </w:r>
    </w:p>
    <w:p w14:paraId="002E8796">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17.1.4单价子目的计量</w:t>
      </w:r>
    </w:p>
    <w:p w14:paraId="60851E53">
      <w:pPr>
        <w:spacing w:line="360" w:lineRule="auto"/>
        <w:rPr>
          <w:rFonts w:ascii="宋体" w:hAnsi="宋体" w:cs="宋体"/>
          <w:color w:val="000000"/>
          <w:sz w:val="24"/>
        </w:rPr>
      </w:pPr>
      <w:r>
        <w:rPr>
          <w:rFonts w:hint="eastAsia" w:ascii="宋体" w:hAnsi="宋体" w:cs="宋体"/>
          <w:color w:val="000000"/>
          <w:sz w:val="24"/>
        </w:rPr>
        <w:t>　　本项补充：</w:t>
      </w:r>
    </w:p>
    <w:p w14:paraId="2C99220D">
      <w:pPr>
        <w:spacing w:line="360" w:lineRule="auto"/>
        <w:rPr>
          <w:rFonts w:ascii="宋体" w:hAnsi="宋体" w:cs="宋体"/>
          <w:color w:val="000000"/>
          <w:sz w:val="24"/>
        </w:rPr>
      </w:pPr>
      <w:r>
        <w:rPr>
          <w:rFonts w:hint="eastAsia" w:ascii="宋体" w:hAnsi="宋体" w:cs="宋体"/>
          <w:color w:val="000000"/>
          <w:sz w:val="24"/>
        </w:rPr>
        <w:t>　　（7）承包人未在已标价工程量清单中填入单价或总额价的工程子目，将被认为其已包含在本合同的其他子目的单价和总额价中，发包人将不另行支付。</w:t>
      </w:r>
    </w:p>
    <w:p w14:paraId="4CA85A60">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17.1.5总价子目的计量</w:t>
      </w:r>
    </w:p>
    <w:p w14:paraId="7A2D648E">
      <w:pPr>
        <w:spacing w:line="360" w:lineRule="auto"/>
        <w:rPr>
          <w:rFonts w:ascii="宋体" w:hAnsi="宋体" w:cs="宋体"/>
          <w:color w:val="000000"/>
          <w:sz w:val="24"/>
        </w:rPr>
      </w:pPr>
      <w:r>
        <w:rPr>
          <w:rFonts w:hint="eastAsia" w:ascii="宋体" w:hAnsi="宋体" w:cs="宋体"/>
          <w:color w:val="000000"/>
          <w:sz w:val="24"/>
        </w:rPr>
        <w:t>　　本项补充：</w:t>
      </w:r>
    </w:p>
    <w:p w14:paraId="7742FF58">
      <w:pPr>
        <w:spacing w:line="360" w:lineRule="auto"/>
        <w:rPr>
          <w:rFonts w:ascii="宋体" w:hAnsi="宋体" w:cs="宋体"/>
          <w:color w:val="000000"/>
          <w:sz w:val="24"/>
        </w:rPr>
      </w:pPr>
      <w:r>
        <w:rPr>
          <w:rFonts w:hint="eastAsia" w:ascii="宋体" w:hAnsi="宋体" w:cs="宋体"/>
          <w:color w:val="000000"/>
          <w:sz w:val="24"/>
        </w:rPr>
        <w:t>　　本项目工程量清单中要求承包人以“总额”方式报价的子目，各子目的支付原则和支付进度按项目专用合同条款的规定执行。</w:t>
      </w:r>
    </w:p>
    <w:p w14:paraId="14460A52">
      <w:pPr>
        <w:spacing w:line="360" w:lineRule="auto"/>
        <w:rPr>
          <w:rFonts w:ascii="宋体" w:hAnsi="宋体" w:cs="宋体"/>
          <w:b/>
          <w:color w:val="000000"/>
          <w:kern w:val="0"/>
          <w:sz w:val="24"/>
        </w:rPr>
      </w:pPr>
      <w:bookmarkStart w:id="337" w:name="_Toc29782"/>
      <w:bookmarkStart w:id="338" w:name="_Toc23418"/>
      <w:bookmarkStart w:id="339" w:name="_Toc514414345"/>
      <w:r>
        <w:rPr>
          <w:rFonts w:hint="eastAsia" w:ascii="宋体" w:hAnsi="宋体" w:cs="宋体"/>
          <w:b/>
          <w:color w:val="000000"/>
          <w:kern w:val="0"/>
          <w:sz w:val="24"/>
        </w:rPr>
        <w:t>17.2．预付款</w:t>
      </w:r>
      <w:bookmarkEnd w:id="337"/>
      <w:bookmarkEnd w:id="338"/>
      <w:bookmarkEnd w:id="339"/>
    </w:p>
    <w:p w14:paraId="118DC210">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17.2.1预付款</w:t>
      </w:r>
    </w:p>
    <w:p w14:paraId="432C428E">
      <w:pPr>
        <w:spacing w:line="360" w:lineRule="auto"/>
        <w:rPr>
          <w:rFonts w:ascii="宋体" w:hAnsi="宋体" w:cs="宋体"/>
          <w:color w:val="000000"/>
          <w:sz w:val="24"/>
        </w:rPr>
      </w:pPr>
      <w:r>
        <w:rPr>
          <w:rFonts w:hint="eastAsia" w:ascii="宋体" w:hAnsi="宋体" w:cs="宋体"/>
          <w:color w:val="000000"/>
          <w:sz w:val="24"/>
        </w:rPr>
        <w:t>　　本项约定为：</w:t>
      </w:r>
    </w:p>
    <w:p w14:paraId="633C72FD">
      <w:pPr>
        <w:spacing w:line="360" w:lineRule="auto"/>
        <w:rPr>
          <w:rFonts w:ascii="宋体" w:hAnsi="宋体" w:cs="宋体"/>
          <w:color w:val="000000"/>
          <w:sz w:val="24"/>
        </w:rPr>
      </w:pPr>
      <w:r>
        <w:rPr>
          <w:rFonts w:hint="eastAsia" w:ascii="宋体" w:hAnsi="宋体" w:cs="宋体"/>
          <w:color w:val="000000"/>
          <w:sz w:val="24"/>
        </w:rPr>
        <w:t>　　预付款包括开工预付款和材料、设备预付款。具体额度和预付办法如下：</w:t>
      </w:r>
    </w:p>
    <w:p w14:paraId="240460DA">
      <w:pPr>
        <w:spacing w:line="360" w:lineRule="auto"/>
        <w:rPr>
          <w:rFonts w:ascii="宋体" w:hAnsi="宋体" w:cs="宋体"/>
          <w:color w:val="000000"/>
          <w:sz w:val="24"/>
        </w:rPr>
      </w:pPr>
      <w:r>
        <w:rPr>
          <w:rFonts w:hint="eastAsia" w:ascii="宋体" w:hAnsi="宋体" w:cs="宋体"/>
          <w:color w:val="000000"/>
          <w:sz w:val="24"/>
        </w:rPr>
        <w:t>　　（1）开工预付款的金额在项目专用合同条款数据表中约定。在承包人签订了合同协议书且承包人承诺的主要设备进场后，监理人应在当期进度付款证书中向承包人支付开工预付款。</w:t>
      </w:r>
    </w:p>
    <w:p w14:paraId="0A6E1267">
      <w:pPr>
        <w:spacing w:line="360" w:lineRule="auto"/>
        <w:rPr>
          <w:rFonts w:ascii="宋体" w:hAnsi="宋体" w:cs="宋体"/>
          <w:color w:val="000000"/>
          <w:sz w:val="24"/>
        </w:rPr>
      </w:pPr>
      <w:r>
        <w:rPr>
          <w:rFonts w:hint="eastAsia" w:ascii="宋体" w:hAnsi="宋体" w:cs="宋体"/>
          <w:color w:val="000000"/>
          <w:sz w:val="24"/>
        </w:rPr>
        <w:t>　　承包人不得将该预付款用于与本工程无关的支出，监理人有权监督承包人对该项费用的使用，如经查实承包人滥用开工预付款，发包人有权立即向银行索赔履约保证金，并解除合同。</w:t>
      </w:r>
    </w:p>
    <w:p w14:paraId="42CCF407">
      <w:pPr>
        <w:spacing w:line="360" w:lineRule="auto"/>
        <w:rPr>
          <w:rFonts w:ascii="宋体" w:hAnsi="宋体" w:cs="宋体"/>
          <w:color w:val="000000"/>
          <w:sz w:val="24"/>
        </w:rPr>
      </w:pPr>
      <w:r>
        <w:rPr>
          <w:rFonts w:hint="eastAsia" w:ascii="宋体" w:hAnsi="宋体" w:cs="宋体"/>
          <w:color w:val="000000"/>
          <w:sz w:val="24"/>
        </w:rPr>
        <w:t>　　（2）材料、设备预付款按项目专用合同条款数据表中所列主要材料、设备单据费用（进口的材料、设备为到岸价，国内采购的为出厂价或销售价，地方材料为堆场价）的百分比支付。其预付条件为：</w:t>
      </w:r>
    </w:p>
    <w:p w14:paraId="44C9D08F">
      <w:pPr>
        <w:spacing w:line="360" w:lineRule="auto"/>
        <w:rPr>
          <w:rFonts w:ascii="宋体" w:hAnsi="宋体" w:cs="宋体"/>
          <w:color w:val="000000"/>
          <w:sz w:val="24"/>
        </w:rPr>
      </w:pPr>
      <w:r>
        <w:rPr>
          <w:rFonts w:hint="eastAsia" w:ascii="宋体" w:hAnsi="宋体" w:cs="宋体"/>
          <w:color w:val="000000"/>
          <w:sz w:val="24"/>
        </w:rPr>
        <w:t>　　a.材料、设备符合规范要求并经监理人认可；</w:t>
      </w:r>
    </w:p>
    <w:p w14:paraId="1733FE46">
      <w:pPr>
        <w:spacing w:line="360" w:lineRule="auto"/>
        <w:rPr>
          <w:rFonts w:ascii="宋体" w:hAnsi="宋体" w:cs="宋体"/>
          <w:color w:val="000000"/>
          <w:sz w:val="24"/>
        </w:rPr>
      </w:pPr>
      <w:r>
        <w:rPr>
          <w:rFonts w:hint="eastAsia" w:ascii="宋体" w:hAnsi="宋体" w:cs="宋体"/>
          <w:color w:val="000000"/>
          <w:sz w:val="24"/>
        </w:rPr>
        <w:t>　　b.承包人已出具材料、设备费用凭证或支付单据；</w:t>
      </w:r>
    </w:p>
    <w:p w14:paraId="56E0DFBC">
      <w:pPr>
        <w:spacing w:line="360" w:lineRule="auto"/>
        <w:rPr>
          <w:rFonts w:ascii="宋体" w:hAnsi="宋体" w:cs="宋体"/>
          <w:color w:val="000000"/>
          <w:sz w:val="24"/>
        </w:rPr>
      </w:pPr>
      <w:r>
        <w:rPr>
          <w:rFonts w:hint="eastAsia" w:ascii="宋体" w:hAnsi="宋体" w:cs="宋体"/>
          <w:color w:val="000000"/>
          <w:sz w:val="24"/>
        </w:rPr>
        <w:t>　　c.材料、设备已在现场交货，且存储良好，监理人认为材料、设备的存储方法符合要求。</w:t>
      </w:r>
    </w:p>
    <w:p w14:paraId="0A50F89D">
      <w:pPr>
        <w:spacing w:line="360" w:lineRule="auto"/>
        <w:rPr>
          <w:rFonts w:ascii="宋体" w:hAnsi="宋体" w:cs="宋体"/>
          <w:color w:val="000000"/>
          <w:sz w:val="24"/>
        </w:rPr>
      </w:pPr>
      <w:r>
        <w:rPr>
          <w:rFonts w:hint="eastAsia" w:ascii="宋体" w:hAnsi="宋体" w:cs="宋体"/>
          <w:color w:val="000000"/>
          <w:sz w:val="24"/>
        </w:rPr>
        <w:t>　　则监理人应将此项金额作为材料、设备预付款计入下一次的进度付款证书中。在预计交工前3个月，将不再支付材料、设备预付款。</w:t>
      </w:r>
    </w:p>
    <w:p w14:paraId="489982AF">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17.2.2预付款保函</w:t>
      </w:r>
    </w:p>
    <w:p w14:paraId="10AD678E">
      <w:pPr>
        <w:spacing w:line="360" w:lineRule="auto"/>
        <w:rPr>
          <w:rFonts w:ascii="宋体" w:hAnsi="宋体" w:cs="宋体"/>
          <w:color w:val="000000"/>
          <w:sz w:val="24"/>
        </w:rPr>
      </w:pPr>
      <w:r>
        <w:rPr>
          <w:rFonts w:hint="eastAsia" w:ascii="宋体" w:hAnsi="宋体" w:cs="宋体"/>
          <w:color w:val="000000"/>
          <w:sz w:val="24"/>
        </w:rPr>
        <w:t>　　本项细化为：</w:t>
      </w:r>
    </w:p>
    <w:p w14:paraId="5BBAA4DC">
      <w:pPr>
        <w:spacing w:line="360" w:lineRule="auto"/>
        <w:rPr>
          <w:rFonts w:ascii="宋体" w:hAnsi="宋体" w:cs="宋体"/>
          <w:color w:val="000000"/>
          <w:sz w:val="24"/>
        </w:rPr>
      </w:pPr>
      <w:r>
        <w:rPr>
          <w:rFonts w:hint="eastAsia" w:ascii="宋体" w:hAnsi="宋体" w:cs="宋体"/>
          <w:color w:val="000000"/>
          <w:sz w:val="24"/>
        </w:rPr>
        <w:t>　　承包人无须向发包人提交预付款保函。发包人向承包人支付的预付款，应按照本合同第17.2.1项规定使用，承包人提交的履约保证金对预付款的正常使用承担保证责任。</w:t>
      </w:r>
    </w:p>
    <w:p w14:paraId="3627866F">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17.2.3预付款的扣回与还清</w:t>
      </w:r>
    </w:p>
    <w:p w14:paraId="00E0A8DC">
      <w:pPr>
        <w:spacing w:line="360" w:lineRule="auto"/>
        <w:rPr>
          <w:rFonts w:ascii="宋体" w:hAnsi="宋体" w:cs="宋体"/>
          <w:color w:val="000000"/>
          <w:sz w:val="24"/>
        </w:rPr>
      </w:pPr>
      <w:r>
        <w:rPr>
          <w:rFonts w:hint="eastAsia" w:ascii="宋体" w:hAnsi="宋体" w:cs="宋体"/>
          <w:color w:val="000000"/>
          <w:sz w:val="24"/>
        </w:rPr>
        <w:t>　　本项约定为：</w:t>
      </w:r>
    </w:p>
    <w:p w14:paraId="7750F757">
      <w:pPr>
        <w:spacing w:line="360" w:lineRule="auto"/>
        <w:rPr>
          <w:rFonts w:ascii="宋体" w:hAnsi="宋体" w:cs="宋体"/>
          <w:color w:val="000000"/>
          <w:sz w:val="24"/>
        </w:rPr>
      </w:pPr>
      <w:r>
        <w:rPr>
          <w:rFonts w:hint="eastAsia" w:ascii="宋体" w:hAnsi="宋体" w:cs="宋体"/>
          <w:color w:val="000000"/>
          <w:sz w:val="24"/>
        </w:rPr>
        <w:t>　　（1）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14:paraId="2AC840A1">
      <w:pPr>
        <w:spacing w:line="360" w:lineRule="auto"/>
        <w:rPr>
          <w:rFonts w:ascii="宋体" w:hAnsi="宋体" w:cs="宋体"/>
          <w:color w:val="000000"/>
          <w:sz w:val="24"/>
        </w:rPr>
      </w:pPr>
      <w:r>
        <w:rPr>
          <w:rFonts w:hint="eastAsia" w:ascii="宋体" w:hAnsi="宋体" w:cs="宋体"/>
          <w:color w:val="000000"/>
          <w:sz w:val="24"/>
        </w:rPr>
        <w:t>　　（2）当材料、设备已用于或安装在永久工程之中时，材料、设备预付款应从进度付款证书中扣回，扣回期不超过3个月。已经支付材料、设备预付款的材料、设备的所有权应属于发包人。</w:t>
      </w:r>
    </w:p>
    <w:p w14:paraId="198F1B24">
      <w:pPr>
        <w:spacing w:line="360" w:lineRule="auto"/>
        <w:rPr>
          <w:rFonts w:ascii="宋体" w:hAnsi="宋体" w:cs="宋体"/>
          <w:b/>
          <w:color w:val="000000"/>
          <w:kern w:val="0"/>
          <w:sz w:val="24"/>
        </w:rPr>
      </w:pPr>
      <w:bookmarkStart w:id="340" w:name="_Toc514414346"/>
      <w:bookmarkStart w:id="341" w:name="_Toc8876"/>
      <w:bookmarkStart w:id="342" w:name="_Toc24370"/>
      <w:r>
        <w:rPr>
          <w:rFonts w:hint="eastAsia" w:ascii="宋体" w:hAnsi="宋体" w:cs="宋体"/>
          <w:b/>
          <w:color w:val="000000"/>
          <w:kern w:val="0"/>
          <w:sz w:val="24"/>
        </w:rPr>
        <w:t>17.3．工程进度付款</w:t>
      </w:r>
      <w:bookmarkEnd w:id="340"/>
      <w:bookmarkEnd w:id="341"/>
      <w:bookmarkEnd w:id="342"/>
    </w:p>
    <w:p w14:paraId="1A9C7595">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17.3.3进度付款证书和支付时间</w:t>
      </w:r>
    </w:p>
    <w:p w14:paraId="5B1E2CE4">
      <w:pPr>
        <w:spacing w:line="360" w:lineRule="auto"/>
        <w:rPr>
          <w:rFonts w:ascii="宋体" w:hAnsi="宋体" w:cs="宋体"/>
          <w:color w:val="000000"/>
          <w:sz w:val="24"/>
        </w:rPr>
      </w:pPr>
      <w:r>
        <w:rPr>
          <w:rFonts w:hint="eastAsia" w:ascii="宋体" w:hAnsi="宋体" w:cs="宋体"/>
          <w:color w:val="000000"/>
          <w:sz w:val="24"/>
        </w:rPr>
        <w:t>　　本项（1）目补充：</w:t>
      </w:r>
    </w:p>
    <w:p w14:paraId="5532E190">
      <w:pPr>
        <w:spacing w:line="360" w:lineRule="auto"/>
        <w:rPr>
          <w:rFonts w:ascii="宋体" w:hAnsi="宋体" w:cs="宋体"/>
          <w:color w:val="000000"/>
          <w:sz w:val="24"/>
        </w:rPr>
      </w:pPr>
      <w:r>
        <w:rPr>
          <w:rFonts w:hint="eastAsia" w:ascii="宋体" w:hAnsi="宋体" w:cs="宋体"/>
          <w:color w:val="000000"/>
          <w:sz w:val="24"/>
        </w:rPr>
        <w:t>　　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339BFAA9">
      <w:pPr>
        <w:spacing w:line="360" w:lineRule="auto"/>
        <w:rPr>
          <w:rFonts w:ascii="宋体" w:hAnsi="宋体" w:cs="宋体"/>
          <w:color w:val="000000"/>
          <w:sz w:val="24"/>
        </w:rPr>
      </w:pPr>
      <w:r>
        <w:rPr>
          <w:rFonts w:hint="eastAsia" w:ascii="宋体" w:hAnsi="宋体" w:cs="宋体"/>
          <w:color w:val="000000"/>
          <w:sz w:val="24"/>
        </w:rPr>
        <w:t>　　本项（2）目细化为：</w:t>
      </w:r>
    </w:p>
    <w:p w14:paraId="0B20997D">
      <w:pPr>
        <w:spacing w:line="360" w:lineRule="auto"/>
        <w:rPr>
          <w:rFonts w:ascii="宋体" w:hAnsi="宋体" w:cs="宋体"/>
          <w:color w:val="000000"/>
          <w:sz w:val="24"/>
        </w:rPr>
      </w:pPr>
      <w:r>
        <w:rPr>
          <w:rFonts w:hint="eastAsia" w:ascii="宋体" w:hAnsi="宋体" w:cs="宋体"/>
          <w:color w:val="000000"/>
          <w:sz w:val="24"/>
        </w:rPr>
        <w:t>　　发包人应在监理人收到进度付款申请单且承包人提交了合格的增值税专用发票后的28天内，将进度应付款支付给承包人。</w:t>
      </w:r>
    </w:p>
    <w:p w14:paraId="77FEDF24">
      <w:pPr>
        <w:spacing w:line="360" w:lineRule="auto"/>
        <w:rPr>
          <w:rFonts w:ascii="宋体" w:hAnsi="宋体" w:cs="宋体"/>
          <w:color w:val="000000"/>
          <w:sz w:val="24"/>
        </w:rPr>
      </w:pPr>
      <w:r>
        <w:rPr>
          <w:rFonts w:hint="eastAsia" w:ascii="宋体" w:hAnsi="宋体" w:cs="宋体"/>
          <w:color w:val="000000"/>
          <w:sz w:val="24"/>
        </w:rPr>
        <w:t>　　发包人不按期支付的，按项目专用合同条款数据表中约定的利率向承包人支付逾期付款违约金。违约金计算基数为发包人的全部未付款额，时间从应付而未付该款额之日算起（不计复利）。</w:t>
      </w:r>
    </w:p>
    <w:p w14:paraId="311BB0AA">
      <w:pPr>
        <w:spacing w:line="360" w:lineRule="auto"/>
        <w:rPr>
          <w:rFonts w:ascii="宋体" w:hAnsi="宋体" w:cs="宋体"/>
          <w:color w:val="000000"/>
          <w:sz w:val="24"/>
        </w:rPr>
      </w:pPr>
      <w:r>
        <w:rPr>
          <w:rFonts w:hint="eastAsia" w:ascii="宋体" w:hAnsi="宋体" w:cs="宋体"/>
          <w:color w:val="000000"/>
          <w:sz w:val="24"/>
        </w:rPr>
        <w:t>　　本款补充第17.3.5项：</w:t>
      </w:r>
    </w:p>
    <w:p w14:paraId="1FD56E76">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17.3.5农民工工资保证金</w:t>
      </w:r>
    </w:p>
    <w:p w14:paraId="0B91A173">
      <w:pPr>
        <w:spacing w:line="360" w:lineRule="auto"/>
        <w:rPr>
          <w:rFonts w:ascii="宋体" w:hAnsi="宋体" w:cs="宋体"/>
          <w:color w:val="000000"/>
          <w:sz w:val="24"/>
        </w:rPr>
      </w:pPr>
      <w:r>
        <w:rPr>
          <w:rFonts w:hint="eastAsia" w:ascii="宋体" w:hAnsi="宋体" w:cs="宋体"/>
          <w:color w:val="000000"/>
          <w:sz w:val="24"/>
        </w:rPr>
        <w:t>　　（1）为确保施工过程中农民工工资实时、足额发放到位，承包人应按照项目专用合同条款约定的时间和金额缴存农民工工资保证金。</w:t>
      </w:r>
    </w:p>
    <w:p w14:paraId="30921F73">
      <w:pPr>
        <w:spacing w:line="360" w:lineRule="auto"/>
        <w:rPr>
          <w:rFonts w:ascii="宋体" w:hAnsi="宋体" w:cs="宋体"/>
          <w:color w:val="000000"/>
          <w:sz w:val="24"/>
        </w:rPr>
      </w:pPr>
      <w:r>
        <w:rPr>
          <w:rFonts w:hint="eastAsia" w:ascii="宋体" w:hAnsi="宋体" w:cs="宋体"/>
          <w:color w:val="000000"/>
          <w:sz w:val="24"/>
        </w:rPr>
        <w:t>　　（2）农民工工资保证金可采用银行保函或现金、支票形式。采用银行保函时，出具保函的银行须具有相应担保能力，且按照发包人批准的格式出具，所需费用由承包人承担。</w:t>
      </w:r>
    </w:p>
    <w:p w14:paraId="00550944">
      <w:pPr>
        <w:spacing w:line="360" w:lineRule="auto"/>
        <w:rPr>
          <w:rFonts w:ascii="宋体" w:hAnsi="宋体" w:cs="宋体"/>
          <w:color w:val="000000"/>
          <w:sz w:val="24"/>
        </w:rPr>
      </w:pPr>
      <w:r>
        <w:rPr>
          <w:rFonts w:hint="eastAsia" w:ascii="宋体" w:hAnsi="宋体" w:cs="宋体"/>
          <w:color w:val="000000"/>
          <w:sz w:val="24"/>
        </w:rPr>
        <w:t>　　（3）农民工工资保证金的扣留条件、返还时间按照项目专用合同条款的约定执行。</w:t>
      </w:r>
    </w:p>
    <w:p w14:paraId="023FDBED">
      <w:pPr>
        <w:spacing w:line="360" w:lineRule="auto"/>
        <w:rPr>
          <w:rFonts w:ascii="宋体" w:hAnsi="宋体" w:cs="宋体"/>
          <w:b/>
          <w:color w:val="000000"/>
          <w:kern w:val="0"/>
          <w:sz w:val="24"/>
        </w:rPr>
      </w:pPr>
      <w:bookmarkStart w:id="343" w:name="_Toc514414347"/>
      <w:bookmarkStart w:id="344" w:name="_Toc26020"/>
      <w:bookmarkStart w:id="345" w:name="_Toc486"/>
      <w:r>
        <w:rPr>
          <w:rFonts w:hint="eastAsia" w:ascii="宋体" w:hAnsi="宋体" w:cs="宋体"/>
          <w:b/>
          <w:color w:val="000000"/>
          <w:kern w:val="0"/>
          <w:sz w:val="24"/>
        </w:rPr>
        <w:t>17.4．质量保证金</w:t>
      </w:r>
      <w:bookmarkEnd w:id="343"/>
      <w:bookmarkEnd w:id="344"/>
      <w:bookmarkEnd w:id="345"/>
    </w:p>
    <w:p w14:paraId="175A0A12">
      <w:pPr>
        <w:spacing w:line="360" w:lineRule="auto"/>
        <w:rPr>
          <w:rFonts w:ascii="宋体" w:hAnsi="宋体" w:cs="宋体"/>
          <w:color w:val="000000"/>
          <w:sz w:val="24"/>
        </w:rPr>
      </w:pPr>
      <w:r>
        <w:rPr>
          <w:rFonts w:hint="eastAsia" w:ascii="宋体" w:hAnsi="宋体" w:cs="宋体"/>
          <w:color w:val="000000"/>
          <w:sz w:val="24"/>
        </w:rPr>
        <w:t>　　第17.4.1项、第17.4.2项细化为：</w:t>
      </w:r>
    </w:p>
    <w:p w14:paraId="2148CF68">
      <w:pPr>
        <w:spacing w:line="360" w:lineRule="auto"/>
        <w:rPr>
          <w:rFonts w:ascii="宋体" w:hAnsi="宋体" w:cs="宋体"/>
          <w:color w:val="000000"/>
          <w:sz w:val="24"/>
        </w:rPr>
      </w:pPr>
      <w:r>
        <w:rPr>
          <w:rFonts w:hint="eastAsia" w:ascii="宋体" w:hAnsi="宋体" w:cs="宋体"/>
          <w:color w:val="000000"/>
          <w:sz w:val="24"/>
        </w:rPr>
        <w:t>　　17.4.1交工验收证书签发后14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25325195">
      <w:pPr>
        <w:spacing w:line="360" w:lineRule="auto"/>
        <w:rPr>
          <w:rFonts w:ascii="宋体" w:hAnsi="宋体" w:cs="宋体"/>
          <w:color w:val="000000"/>
          <w:sz w:val="24"/>
        </w:rPr>
      </w:pPr>
      <w:r>
        <w:rPr>
          <w:rFonts w:hint="eastAsia" w:ascii="宋体" w:hAnsi="宋体" w:cs="宋体"/>
          <w:color w:val="000000"/>
          <w:sz w:val="24"/>
        </w:rPr>
        <w:t>　　质量保证金采用现金、支票形式提交的，发包人应在项目专用合同条款数据表中明确是否计付利息以及利息的计算方式。</w:t>
      </w:r>
    </w:p>
    <w:p w14:paraId="0C7C0491">
      <w:pPr>
        <w:spacing w:line="360" w:lineRule="auto"/>
        <w:rPr>
          <w:rFonts w:ascii="宋体" w:hAnsi="宋体" w:cs="宋体"/>
          <w:color w:val="000000"/>
          <w:sz w:val="24"/>
        </w:rPr>
      </w:pPr>
      <w:r>
        <w:rPr>
          <w:rFonts w:hint="eastAsia" w:ascii="宋体" w:hAnsi="宋体" w:cs="宋体"/>
          <w:color w:val="000000"/>
          <w:sz w:val="24"/>
        </w:rPr>
        <w:t>　　17.4.2在第1.1.4.5目约定的缺陷责任期满，且质量监督机构已按规定对质量要求检测鉴定合格，承包人向发包人申请到期应返还承包人剩余的质量保证金金额，发包人应在14天内会同承包人按照合同约定的内容核实承包人是否完成缺陷责任。如无异议，发包人应当在核实后将剩余保证金返还承包人。</w:t>
      </w:r>
    </w:p>
    <w:p w14:paraId="52FB3150">
      <w:pPr>
        <w:spacing w:line="360" w:lineRule="auto"/>
        <w:rPr>
          <w:rFonts w:ascii="宋体" w:hAnsi="宋体" w:cs="宋体"/>
          <w:b/>
          <w:color w:val="000000"/>
          <w:kern w:val="0"/>
          <w:sz w:val="24"/>
        </w:rPr>
      </w:pPr>
      <w:bookmarkStart w:id="346" w:name="_Toc514414348"/>
      <w:bookmarkStart w:id="347" w:name="_Toc17455"/>
      <w:bookmarkStart w:id="348" w:name="_Toc18227"/>
      <w:r>
        <w:rPr>
          <w:rFonts w:hint="eastAsia" w:ascii="宋体" w:hAnsi="宋体" w:cs="宋体"/>
          <w:b/>
          <w:color w:val="000000"/>
          <w:kern w:val="0"/>
          <w:sz w:val="24"/>
        </w:rPr>
        <w:t>17.5．交工结算</w:t>
      </w:r>
      <w:bookmarkEnd w:id="346"/>
      <w:bookmarkEnd w:id="347"/>
      <w:bookmarkEnd w:id="348"/>
    </w:p>
    <w:p w14:paraId="680D955F">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17.5.1交工付款申请单</w:t>
      </w:r>
    </w:p>
    <w:p w14:paraId="02292E7D">
      <w:pPr>
        <w:spacing w:line="360" w:lineRule="auto"/>
        <w:rPr>
          <w:rFonts w:ascii="宋体" w:hAnsi="宋体" w:cs="宋体"/>
          <w:color w:val="000000"/>
          <w:sz w:val="24"/>
        </w:rPr>
      </w:pPr>
      <w:r>
        <w:rPr>
          <w:rFonts w:hint="eastAsia" w:ascii="宋体" w:hAnsi="宋体" w:cs="宋体"/>
          <w:color w:val="000000"/>
          <w:sz w:val="24"/>
        </w:rPr>
        <w:t>　　本项（1）目约定为：</w:t>
      </w:r>
    </w:p>
    <w:p w14:paraId="5542AD46">
      <w:pPr>
        <w:spacing w:line="360" w:lineRule="auto"/>
        <w:rPr>
          <w:rFonts w:ascii="宋体" w:hAnsi="宋体" w:cs="宋体"/>
          <w:color w:val="000000"/>
          <w:sz w:val="24"/>
        </w:rPr>
      </w:pPr>
      <w:r>
        <w:rPr>
          <w:rFonts w:hint="eastAsia" w:ascii="宋体" w:hAnsi="宋体" w:cs="宋体"/>
          <w:color w:val="000000"/>
          <w:sz w:val="24"/>
        </w:rPr>
        <w:t>　　承包人向监理人提交交工付款申请单（包括相关证明材料）的份数在项目专用合同条款数据表中约定；期限：交工验收证书签发后42天内。</w:t>
      </w:r>
    </w:p>
    <w:p w14:paraId="070A2822">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17.5.2交工付款证书及支付时间</w:t>
      </w:r>
    </w:p>
    <w:p w14:paraId="2C24EB88">
      <w:pPr>
        <w:spacing w:line="360" w:lineRule="auto"/>
        <w:rPr>
          <w:rFonts w:ascii="宋体" w:hAnsi="宋体" w:cs="宋体"/>
          <w:color w:val="000000"/>
          <w:sz w:val="24"/>
        </w:rPr>
      </w:pPr>
      <w:r>
        <w:rPr>
          <w:rFonts w:hint="eastAsia" w:ascii="宋体" w:hAnsi="宋体" w:cs="宋体"/>
          <w:color w:val="000000"/>
          <w:sz w:val="24"/>
        </w:rPr>
        <w:t>　　本项（2）目细化为：</w:t>
      </w:r>
    </w:p>
    <w:p w14:paraId="0511C757">
      <w:pPr>
        <w:spacing w:line="360" w:lineRule="auto"/>
        <w:rPr>
          <w:rFonts w:ascii="宋体" w:hAnsi="宋体" w:cs="宋体"/>
          <w:color w:val="000000"/>
          <w:sz w:val="24"/>
        </w:rPr>
      </w:pPr>
      <w:r>
        <w:rPr>
          <w:rFonts w:hint="eastAsia" w:ascii="宋体" w:hAnsi="宋体" w:cs="宋体"/>
          <w:color w:val="000000"/>
          <w:sz w:val="24"/>
        </w:rPr>
        <w:t>　　发包人应在监理人出具交工付款证书且承包人提交了合格的增值税专用发票后的14天内，将应支付款支付给承包人。发包人不按期支付的，按第17.3.3（2）目的约定，将逾期付款违约金支付给承包人。</w:t>
      </w:r>
    </w:p>
    <w:p w14:paraId="198F4362">
      <w:pPr>
        <w:spacing w:line="360" w:lineRule="auto"/>
        <w:rPr>
          <w:rFonts w:ascii="宋体" w:hAnsi="宋体" w:cs="宋体"/>
          <w:b/>
          <w:color w:val="000000"/>
          <w:kern w:val="0"/>
          <w:sz w:val="24"/>
        </w:rPr>
      </w:pPr>
      <w:bookmarkStart w:id="349" w:name="_Toc2572"/>
      <w:bookmarkStart w:id="350" w:name="_Toc514414349"/>
      <w:bookmarkStart w:id="351" w:name="_Toc15899"/>
      <w:r>
        <w:rPr>
          <w:rFonts w:hint="eastAsia" w:ascii="宋体" w:hAnsi="宋体" w:cs="宋体"/>
          <w:b/>
          <w:color w:val="000000"/>
          <w:kern w:val="0"/>
          <w:sz w:val="24"/>
        </w:rPr>
        <w:t>17.6．最终结清</w:t>
      </w:r>
      <w:bookmarkEnd w:id="349"/>
      <w:bookmarkEnd w:id="350"/>
      <w:bookmarkEnd w:id="351"/>
    </w:p>
    <w:p w14:paraId="2775674B">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17.6.1最终结清申请单</w:t>
      </w:r>
    </w:p>
    <w:p w14:paraId="0E393D24">
      <w:pPr>
        <w:spacing w:line="360" w:lineRule="auto"/>
        <w:rPr>
          <w:rFonts w:ascii="宋体" w:hAnsi="宋体" w:cs="宋体"/>
          <w:color w:val="000000"/>
          <w:sz w:val="24"/>
        </w:rPr>
      </w:pPr>
      <w:r>
        <w:rPr>
          <w:rFonts w:hint="eastAsia" w:ascii="宋体" w:hAnsi="宋体" w:cs="宋体"/>
          <w:color w:val="000000"/>
          <w:sz w:val="24"/>
        </w:rPr>
        <w:t>　　本项（1）目约定为：</w:t>
      </w:r>
    </w:p>
    <w:p w14:paraId="42178049">
      <w:pPr>
        <w:spacing w:line="360" w:lineRule="auto"/>
        <w:rPr>
          <w:rFonts w:ascii="宋体" w:hAnsi="宋体" w:cs="宋体"/>
          <w:color w:val="000000"/>
          <w:sz w:val="24"/>
        </w:rPr>
      </w:pPr>
      <w:r>
        <w:rPr>
          <w:rFonts w:hint="eastAsia" w:ascii="宋体" w:hAnsi="宋体" w:cs="宋体"/>
          <w:color w:val="000000"/>
          <w:sz w:val="24"/>
        </w:rPr>
        <w:t>　　承包人向监理人提交最终结清申请单（包括相关证明材料）的份数在项目专用合同条款数据表中约定；期限：缺陷责任期终止证书签发后28天内。</w:t>
      </w:r>
    </w:p>
    <w:p w14:paraId="570C3B51">
      <w:pPr>
        <w:spacing w:line="360" w:lineRule="auto"/>
        <w:rPr>
          <w:rFonts w:ascii="宋体" w:hAnsi="宋体" w:cs="宋体"/>
          <w:color w:val="000000"/>
          <w:sz w:val="24"/>
        </w:rPr>
      </w:pPr>
      <w:r>
        <w:rPr>
          <w:rFonts w:hint="eastAsia" w:ascii="宋体" w:hAnsi="宋体" w:cs="宋体"/>
          <w:color w:val="000000"/>
          <w:sz w:val="24"/>
        </w:rPr>
        <w:t>　　最终结清申请单中的总金额应认为是代表了根据合同规定应付给承包人的全部款项的最后结算。</w:t>
      </w:r>
    </w:p>
    <w:p w14:paraId="5CBE78F7">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17.6.2最终结清证书和支付时间</w:t>
      </w:r>
    </w:p>
    <w:p w14:paraId="565EDC7F">
      <w:pPr>
        <w:spacing w:line="360" w:lineRule="auto"/>
        <w:rPr>
          <w:rFonts w:ascii="宋体" w:hAnsi="宋体" w:cs="宋体"/>
          <w:color w:val="000000"/>
          <w:sz w:val="24"/>
        </w:rPr>
      </w:pPr>
      <w:r>
        <w:rPr>
          <w:rFonts w:hint="eastAsia" w:ascii="宋体" w:hAnsi="宋体" w:cs="宋体"/>
          <w:color w:val="000000"/>
          <w:sz w:val="24"/>
        </w:rPr>
        <w:t>　　本项（2）目细化为：</w:t>
      </w:r>
    </w:p>
    <w:p w14:paraId="2FC7A9DC">
      <w:pPr>
        <w:spacing w:line="360" w:lineRule="auto"/>
        <w:rPr>
          <w:rFonts w:ascii="宋体" w:hAnsi="宋体" w:cs="宋体"/>
          <w:color w:val="000000"/>
          <w:sz w:val="24"/>
        </w:rPr>
      </w:pPr>
      <w:r>
        <w:rPr>
          <w:rFonts w:hint="eastAsia" w:ascii="宋体" w:hAnsi="宋体" w:cs="宋体"/>
          <w:color w:val="000000"/>
          <w:sz w:val="24"/>
        </w:rPr>
        <w:t>　　（2）发包人应在监理人出具最终结清证书且承包人提交了合格的增值税专用发票后的14天内，将应支付款支付给承包人。发包人不按期支付的，按第17.3.3（2）目的约定，将逾期付款违约金支付给承包人。</w:t>
      </w:r>
    </w:p>
    <w:p w14:paraId="7C278CA2">
      <w:pPr>
        <w:spacing w:line="360" w:lineRule="auto"/>
        <w:rPr>
          <w:rFonts w:ascii="宋体" w:hAnsi="宋体" w:cs="宋体"/>
          <w:b/>
          <w:color w:val="000000"/>
          <w:kern w:val="0"/>
          <w:sz w:val="24"/>
        </w:rPr>
      </w:pPr>
      <w:bookmarkStart w:id="352" w:name="_Toc3616"/>
      <w:bookmarkStart w:id="353" w:name="_Toc514414350"/>
      <w:bookmarkStart w:id="354" w:name="_Toc5684"/>
      <w:r>
        <w:rPr>
          <w:rFonts w:hint="eastAsia" w:ascii="宋体" w:hAnsi="宋体" w:cs="宋体"/>
          <w:b/>
          <w:color w:val="000000"/>
          <w:kern w:val="0"/>
          <w:sz w:val="24"/>
        </w:rPr>
        <w:t>18．交工验收</w:t>
      </w:r>
      <w:bookmarkEnd w:id="352"/>
      <w:bookmarkEnd w:id="353"/>
      <w:bookmarkEnd w:id="354"/>
    </w:p>
    <w:p w14:paraId="1E0AEAAC">
      <w:pPr>
        <w:spacing w:line="360" w:lineRule="auto"/>
        <w:rPr>
          <w:rFonts w:ascii="宋体" w:hAnsi="宋体" w:cs="宋体"/>
          <w:b/>
          <w:color w:val="000000"/>
          <w:kern w:val="0"/>
          <w:sz w:val="24"/>
        </w:rPr>
      </w:pPr>
      <w:bookmarkStart w:id="355" w:name="_Toc514414351"/>
      <w:bookmarkStart w:id="356" w:name="_Toc3280"/>
      <w:bookmarkStart w:id="357" w:name="_Toc10597"/>
      <w:r>
        <w:rPr>
          <w:rFonts w:hint="eastAsia" w:ascii="宋体" w:hAnsi="宋体" w:cs="宋体"/>
          <w:b/>
          <w:color w:val="000000"/>
          <w:kern w:val="0"/>
          <w:sz w:val="24"/>
        </w:rPr>
        <w:t>18.2．交工验收申请报告</w:t>
      </w:r>
      <w:bookmarkEnd w:id="355"/>
      <w:bookmarkEnd w:id="356"/>
      <w:bookmarkEnd w:id="357"/>
    </w:p>
    <w:p w14:paraId="11D0A4E8">
      <w:pPr>
        <w:spacing w:line="360" w:lineRule="auto"/>
        <w:rPr>
          <w:rFonts w:ascii="宋体" w:hAnsi="宋体" w:cs="宋体"/>
          <w:color w:val="000000"/>
          <w:sz w:val="24"/>
        </w:rPr>
      </w:pPr>
      <w:r>
        <w:rPr>
          <w:rFonts w:hint="eastAsia" w:ascii="宋体" w:hAnsi="宋体" w:cs="宋体"/>
          <w:color w:val="000000"/>
          <w:sz w:val="24"/>
        </w:rPr>
        <w:t>　　本款第（2）项约定为：</w:t>
      </w:r>
    </w:p>
    <w:p w14:paraId="634ACE1D">
      <w:pPr>
        <w:spacing w:line="360" w:lineRule="auto"/>
        <w:rPr>
          <w:rFonts w:ascii="宋体" w:hAnsi="宋体" w:cs="宋体"/>
          <w:color w:val="000000"/>
          <w:sz w:val="24"/>
        </w:rPr>
      </w:pPr>
      <w:r>
        <w:rPr>
          <w:rFonts w:hint="eastAsia" w:ascii="宋体" w:hAnsi="宋体" w:cs="宋体"/>
          <w:color w:val="000000"/>
          <w:sz w:val="24"/>
        </w:rPr>
        <w:t>　　竣工资料的内容：承包人应按照《公路工程竣（交）工验收办法》和相关规定编制竣工资料。</w:t>
      </w:r>
    </w:p>
    <w:p w14:paraId="62326BD5">
      <w:pPr>
        <w:spacing w:line="360" w:lineRule="auto"/>
        <w:rPr>
          <w:rFonts w:ascii="宋体" w:hAnsi="宋体" w:cs="宋体"/>
          <w:color w:val="000000"/>
          <w:sz w:val="24"/>
        </w:rPr>
      </w:pPr>
      <w:r>
        <w:rPr>
          <w:rFonts w:hint="eastAsia" w:ascii="宋体" w:hAnsi="宋体" w:cs="宋体"/>
          <w:color w:val="000000"/>
          <w:sz w:val="24"/>
        </w:rPr>
        <w:t>　　竣工资料的份数在项目专用合同条款数据表中约定。</w:t>
      </w:r>
    </w:p>
    <w:p w14:paraId="16BFF2E9">
      <w:pPr>
        <w:spacing w:line="360" w:lineRule="auto"/>
        <w:rPr>
          <w:rFonts w:ascii="宋体" w:hAnsi="宋体" w:cs="宋体"/>
          <w:b/>
          <w:color w:val="000000"/>
          <w:kern w:val="0"/>
          <w:sz w:val="24"/>
        </w:rPr>
      </w:pPr>
      <w:bookmarkStart w:id="358" w:name="_Toc10123"/>
      <w:bookmarkStart w:id="359" w:name="_Toc514414352"/>
      <w:bookmarkStart w:id="360" w:name="_Toc19509"/>
      <w:r>
        <w:rPr>
          <w:rFonts w:hint="eastAsia" w:ascii="宋体" w:hAnsi="宋体" w:cs="宋体"/>
          <w:b/>
          <w:color w:val="000000"/>
          <w:kern w:val="0"/>
          <w:sz w:val="24"/>
        </w:rPr>
        <w:t>18.3．验收</w:t>
      </w:r>
      <w:bookmarkEnd w:id="358"/>
      <w:bookmarkEnd w:id="359"/>
      <w:bookmarkEnd w:id="360"/>
    </w:p>
    <w:p w14:paraId="3591BF7B">
      <w:pPr>
        <w:spacing w:line="360" w:lineRule="auto"/>
        <w:rPr>
          <w:rFonts w:ascii="宋体" w:hAnsi="宋体" w:cs="宋体"/>
          <w:color w:val="000000"/>
          <w:sz w:val="24"/>
        </w:rPr>
      </w:pPr>
      <w:r>
        <w:rPr>
          <w:rFonts w:hint="eastAsia" w:ascii="宋体" w:hAnsi="宋体" w:cs="宋体"/>
          <w:color w:val="000000"/>
          <w:sz w:val="24"/>
        </w:rPr>
        <w:t>　　第18.3.2项补充：</w:t>
      </w:r>
    </w:p>
    <w:p w14:paraId="03E8D92B">
      <w:pPr>
        <w:spacing w:line="360" w:lineRule="auto"/>
        <w:rPr>
          <w:rFonts w:ascii="宋体" w:hAnsi="宋体" w:cs="宋体"/>
          <w:color w:val="000000"/>
          <w:sz w:val="24"/>
        </w:rPr>
      </w:pPr>
      <w:r>
        <w:rPr>
          <w:rFonts w:hint="eastAsia" w:ascii="宋体" w:hAnsi="宋体" w:cs="宋体"/>
          <w:color w:val="000000"/>
          <w:sz w:val="24"/>
        </w:rPr>
        <w:t>　　交工验收由发包人主持，由发包人、监理人、质监、设计、施工、运营、管理养护等有关部门代表组成交工验收小组，对本项目的质量要求进行评定，并写出交工验收报告报交通运输主管部门备案。承包人应按发包人的要求提交竣工资料，完成交工验收准备工作。</w:t>
      </w:r>
    </w:p>
    <w:p w14:paraId="45533F8F">
      <w:pPr>
        <w:spacing w:line="360" w:lineRule="auto"/>
        <w:rPr>
          <w:rFonts w:ascii="宋体" w:hAnsi="宋体" w:cs="宋体"/>
          <w:color w:val="000000"/>
          <w:sz w:val="24"/>
        </w:rPr>
      </w:pPr>
      <w:r>
        <w:rPr>
          <w:rFonts w:hint="eastAsia" w:ascii="宋体" w:hAnsi="宋体" w:cs="宋体"/>
          <w:color w:val="000000"/>
          <w:sz w:val="24"/>
        </w:rPr>
        <w:t>　　第18.3.5项约定为：</w:t>
      </w:r>
    </w:p>
    <w:p w14:paraId="23417325">
      <w:pPr>
        <w:spacing w:line="360" w:lineRule="auto"/>
        <w:rPr>
          <w:rFonts w:ascii="宋体" w:hAnsi="宋体" w:cs="宋体"/>
          <w:color w:val="000000"/>
          <w:sz w:val="24"/>
        </w:rPr>
      </w:pPr>
      <w:r>
        <w:rPr>
          <w:rFonts w:hint="eastAsia" w:ascii="宋体" w:hAnsi="宋体" w:cs="宋体"/>
          <w:color w:val="000000"/>
          <w:sz w:val="24"/>
        </w:rPr>
        <w:t>　　经验收合格工程的实际交工日期，以最终提交交工验收申请报告的日期为准，并在交工验收证书中写明。</w:t>
      </w:r>
    </w:p>
    <w:p w14:paraId="41D02D1A">
      <w:pPr>
        <w:spacing w:line="360" w:lineRule="auto"/>
        <w:rPr>
          <w:rFonts w:ascii="宋体" w:hAnsi="宋体" w:cs="宋体"/>
          <w:color w:val="000000"/>
          <w:sz w:val="24"/>
        </w:rPr>
      </w:pPr>
      <w:r>
        <w:rPr>
          <w:rFonts w:hint="eastAsia" w:ascii="宋体" w:hAnsi="宋体" w:cs="宋体"/>
          <w:color w:val="000000"/>
          <w:sz w:val="24"/>
        </w:rPr>
        <w:t>　　本款补充第18.3.7项：</w:t>
      </w:r>
    </w:p>
    <w:p w14:paraId="4BBD1015">
      <w:pPr>
        <w:spacing w:line="360" w:lineRule="auto"/>
        <w:rPr>
          <w:rFonts w:ascii="宋体" w:hAnsi="宋体" w:cs="宋体"/>
          <w:color w:val="000000"/>
          <w:sz w:val="24"/>
        </w:rPr>
      </w:pPr>
      <w:r>
        <w:rPr>
          <w:rFonts w:hint="eastAsia" w:ascii="宋体" w:hAnsi="宋体" w:cs="宋体"/>
          <w:color w:val="000000"/>
          <w:sz w:val="24"/>
        </w:rPr>
        <w:t>　　组织办理交工验收和签发交工验收证书的费用由发包人承担。但按照第18.3.4项规定达不到合格标准的交工验收费用由承包人承担。</w:t>
      </w:r>
    </w:p>
    <w:p w14:paraId="54060F79">
      <w:pPr>
        <w:spacing w:line="360" w:lineRule="auto"/>
        <w:rPr>
          <w:rFonts w:ascii="宋体" w:hAnsi="宋体" w:cs="宋体"/>
          <w:b/>
          <w:color w:val="000000"/>
          <w:sz w:val="24"/>
        </w:rPr>
      </w:pPr>
      <w:r>
        <w:rPr>
          <w:rFonts w:hint="eastAsia" w:ascii="宋体" w:hAnsi="宋体" w:cs="宋体"/>
          <w:b/>
          <w:color w:val="000000"/>
          <w:sz w:val="24"/>
        </w:rPr>
        <w:t>本条补充第18.9款：</w:t>
      </w:r>
    </w:p>
    <w:p w14:paraId="6C8C17C5">
      <w:pPr>
        <w:spacing w:line="360" w:lineRule="auto"/>
        <w:rPr>
          <w:rFonts w:ascii="宋体" w:hAnsi="宋体" w:cs="宋体"/>
          <w:b/>
          <w:color w:val="000000"/>
          <w:kern w:val="0"/>
          <w:sz w:val="24"/>
        </w:rPr>
      </w:pPr>
      <w:bookmarkStart w:id="361" w:name="_Toc1802"/>
      <w:bookmarkStart w:id="362" w:name="_Toc514414353"/>
      <w:bookmarkStart w:id="363" w:name="_Toc10091"/>
      <w:r>
        <w:rPr>
          <w:rFonts w:hint="eastAsia" w:ascii="宋体" w:hAnsi="宋体" w:cs="宋体"/>
          <w:b/>
          <w:color w:val="000000"/>
          <w:kern w:val="0"/>
          <w:sz w:val="24"/>
        </w:rPr>
        <w:t>18.9．竣工文件</w:t>
      </w:r>
      <w:bookmarkEnd w:id="361"/>
      <w:bookmarkEnd w:id="362"/>
      <w:bookmarkEnd w:id="363"/>
    </w:p>
    <w:p w14:paraId="7F2CE030">
      <w:pPr>
        <w:spacing w:line="360" w:lineRule="auto"/>
        <w:rPr>
          <w:rFonts w:ascii="宋体" w:hAnsi="宋体" w:cs="宋体"/>
          <w:color w:val="000000"/>
          <w:sz w:val="24"/>
        </w:rPr>
      </w:pPr>
      <w:r>
        <w:rPr>
          <w:rFonts w:hint="eastAsia" w:ascii="宋体" w:hAnsi="宋体" w:cs="宋体"/>
          <w:color w:val="000000"/>
          <w:sz w:val="24"/>
        </w:rPr>
        <w:t>　　承包人应按照《公路工程竣（交）工验收办法》的相关规定，在缺陷责任期内为竣工验收补充竣工资料，并在签发缺陷责任期终止证书之前提交。</w:t>
      </w:r>
    </w:p>
    <w:p w14:paraId="3172AAD1">
      <w:pPr>
        <w:spacing w:line="360" w:lineRule="auto"/>
        <w:rPr>
          <w:rFonts w:ascii="宋体" w:hAnsi="宋体" w:cs="宋体"/>
          <w:b/>
          <w:color w:val="000000"/>
          <w:kern w:val="0"/>
          <w:sz w:val="24"/>
        </w:rPr>
      </w:pPr>
      <w:bookmarkStart w:id="364" w:name="_Toc14918"/>
      <w:bookmarkStart w:id="365" w:name="_Toc877"/>
      <w:bookmarkStart w:id="366" w:name="_Toc514414354"/>
      <w:r>
        <w:rPr>
          <w:rFonts w:hint="eastAsia" w:ascii="宋体" w:hAnsi="宋体" w:cs="宋体"/>
          <w:b/>
          <w:color w:val="000000"/>
          <w:kern w:val="0"/>
          <w:sz w:val="24"/>
        </w:rPr>
        <w:t>19．缺陷责任与保修责任</w:t>
      </w:r>
      <w:bookmarkEnd w:id="364"/>
      <w:bookmarkEnd w:id="365"/>
      <w:bookmarkEnd w:id="366"/>
    </w:p>
    <w:p w14:paraId="1E8562AE">
      <w:pPr>
        <w:spacing w:line="360" w:lineRule="auto"/>
        <w:rPr>
          <w:rFonts w:ascii="宋体" w:hAnsi="宋体" w:cs="宋体"/>
          <w:b/>
          <w:color w:val="000000"/>
          <w:kern w:val="0"/>
          <w:sz w:val="24"/>
        </w:rPr>
      </w:pPr>
      <w:bookmarkStart w:id="367" w:name="_Toc514414355"/>
      <w:bookmarkStart w:id="368" w:name="_Toc32722"/>
      <w:bookmarkStart w:id="369" w:name="_Toc1524"/>
      <w:r>
        <w:rPr>
          <w:rFonts w:hint="eastAsia" w:ascii="宋体" w:hAnsi="宋体" w:cs="宋体"/>
          <w:b/>
          <w:color w:val="000000"/>
          <w:kern w:val="0"/>
          <w:sz w:val="24"/>
        </w:rPr>
        <w:t>19.2．缺陷责任</w:t>
      </w:r>
      <w:bookmarkEnd w:id="367"/>
      <w:bookmarkEnd w:id="368"/>
      <w:bookmarkEnd w:id="369"/>
    </w:p>
    <w:p w14:paraId="4850BDA0">
      <w:pPr>
        <w:spacing w:line="360" w:lineRule="auto"/>
        <w:rPr>
          <w:rFonts w:ascii="宋体" w:hAnsi="宋体" w:cs="宋体"/>
          <w:color w:val="000000"/>
          <w:sz w:val="24"/>
        </w:rPr>
      </w:pPr>
      <w:r>
        <w:rPr>
          <w:rFonts w:hint="eastAsia" w:ascii="宋体" w:hAnsi="宋体" w:cs="宋体"/>
          <w:color w:val="000000"/>
          <w:sz w:val="24"/>
        </w:rPr>
        <w:t>　　第19.2.2项补充：</w:t>
      </w:r>
    </w:p>
    <w:p w14:paraId="1AF359C4">
      <w:pPr>
        <w:spacing w:line="360" w:lineRule="auto"/>
        <w:rPr>
          <w:rFonts w:ascii="宋体" w:hAnsi="宋体" w:cs="宋体"/>
          <w:color w:val="000000"/>
          <w:sz w:val="24"/>
        </w:rPr>
      </w:pPr>
      <w:r>
        <w:rPr>
          <w:rFonts w:hint="eastAsia" w:ascii="宋体" w:hAnsi="宋体" w:cs="宋体"/>
          <w:color w:val="000000"/>
          <w:sz w:val="24"/>
        </w:rPr>
        <w:t>　　在缺陷责任期内，承包人应尽快完成在交工验收证书中写明的未完成工作，并完成对本工程缺陷的修复或监理人指令的修补工作。</w:t>
      </w:r>
    </w:p>
    <w:p w14:paraId="26AF0688">
      <w:pPr>
        <w:spacing w:line="360" w:lineRule="auto"/>
        <w:rPr>
          <w:rFonts w:ascii="宋体" w:hAnsi="宋体" w:cs="宋体"/>
          <w:b/>
          <w:color w:val="000000"/>
          <w:kern w:val="0"/>
          <w:sz w:val="24"/>
        </w:rPr>
      </w:pPr>
      <w:bookmarkStart w:id="370" w:name="_Toc514414356"/>
      <w:bookmarkStart w:id="371" w:name="_Toc3431"/>
      <w:bookmarkStart w:id="372" w:name="_Toc8989"/>
      <w:r>
        <w:rPr>
          <w:rFonts w:hint="eastAsia" w:ascii="宋体" w:hAnsi="宋体" w:cs="宋体"/>
          <w:b/>
          <w:color w:val="000000"/>
          <w:kern w:val="0"/>
          <w:sz w:val="24"/>
        </w:rPr>
        <w:t>19.5．承包人的进入权</w:t>
      </w:r>
      <w:bookmarkEnd w:id="370"/>
      <w:bookmarkEnd w:id="371"/>
      <w:bookmarkEnd w:id="372"/>
    </w:p>
    <w:p w14:paraId="0CF7BB3F">
      <w:pPr>
        <w:spacing w:line="360" w:lineRule="auto"/>
        <w:rPr>
          <w:rFonts w:ascii="宋体" w:hAnsi="宋体" w:cs="宋体"/>
          <w:color w:val="000000"/>
          <w:sz w:val="24"/>
        </w:rPr>
      </w:pPr>
      <w:r>
        <w:rPr>
          <w:rFonts w:hint="eastAsia" w:ascii="宋体" w:hAnsi="宋体" w:cs="宋体"/>
          <w:color w:val="000000"/>
          <w:sz w:val="24"/>
        </w:rPr>
        <w:t>　　本款补充：</w:t>
      </w:r>
    </w:p>
    <w:p w14:paraId="03C6DF76">
      <w:pPr>
        <w:spacing w:line="360" w:lineRule="auto"/>
        <w:rPr>
          <w:rFonts w:ascii="宋体" w:hAnsi="宋体" w:cs="宋体"/>
          <w:color w:val="000000"/>
          <w:sz w:val="24"/>
        </w:rPr>
      </w:pPr>
      <w:r>
        <w:rPr>
          <w:rFonts w:hint="eastAsia" w:ascii="宋体" w:hAnsi="宋体" w:cs="宋体"/>
          <w:color w:val="000000"/>
          <w:sz w:val="24"/>
        </w:rPr>
        <w:t>　　承包人在缺陷修复施工过程中，应服从管养单位的有关安全管理规定，由于承包人自身原因造成的人员伤亡、设备和材料的损毁及罚款等责任由承包人自负。</w:t>
      </w:r>
    </w:p>
    <w:p w14:paraId="78815947">
      <w:pPr>
        <w:spacing w:line="360" w:lineRule="auto"/>
        <w:rPr>
          <w:rFonts w:ascii="宋体" w:hAnsi="宋体" w:cs="宋体"/>
          <w:b/>
          <w:color w:val="000000"/>
          <w:kern w:val="0"/>
          <w:sz w:val="24"/>
        </w:rPr>
      </w:pPr>
      <w:bookmarkStart w:id="373" w:name="_Toc514414357"/>
      <w:bookmarkStart w:id="374" w:name="_Toc5648"/>
      <w:bookmarkStart w:id="375" w:name="_Toc25653"/>
      <w:r>
        <w:rPr>
          <w:rFonts w:hint="eastAsia" w:ascii="宋体" w:hAnsi="宋体" w:cs="宋体"/>
          <w:b/>
          <w:color w:val="000000"/>
          <w:kern w:val="0"/>
          <w:sz w:val="24"/>
        </w:rPr>
        <w:t>19.7．保修责任</w:t>
      </w:r>
      <w:bookmarkEnd w:id="373"/>
      <w:bookmarkEnd w:id="374"/>
      <w:bookmarkEnd w:id="375"/>
    </w:p>
    <w:p w14:paraId="5B1EE851">
      <w:pPr>
        <w:spacing w:line="360" w:lineRule="auto"/>
        <w:rPr>
          <w:rFonts w:ascii="宋体" w:hAnsi="宋体" w:cs="宋体"/>
          <w:color w:val="000000"/>
          <w:sz w:val="24"/>
        </w:rPr>
      </w:pPr>
      <w:r>
        <w:rPr>
          <w:rFonts w:hint="eastAsia" w:ascii="宋体" w:hAnsi="宋体" w:cs="宋体"/>
          <w:color w:val="000000"/>
          <w:sz w:val="24"/>
        </w:rPr>
        <w:t>　　本款细化为：</w:t>
      </w:r>
    </w:p>
    <w:p w14:paraId="0DFAD3B4">
      <w:pPr>
        <w:spacing w:line="360" w:lineRule="auto"/>
        <w:rPr>
          <w:rFonts w:ascii="宋体" w:hAnsi="宋体" w:cs="宋体"/>
          <w:color w:val="000000"/>
          <w:sz w:val="24"/>
        </w:rPr>
      </w:pPr>
      <w:r>
        <w:rPr>
          <w:rFonts w:hint="eastAsia" w:ascii="宋体" w:hAnsi="宋体" w:cs="宋体"/>
          <w:color w:val="000000"/>
          <w:sz w:val="24"/>
        </w:rPr>
        <w:t>　　（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65FE0C09">
      <w:pPr>
        <w:spacing w:line="360" w:lineRule="auto"/>
        <w:rPr>
          <w:rFonts w:ascii="宋体" w:hAnsi="宋体" w:cs="宋体"/>
          <w:color w:val="000000"/>
          <w:sz w:val="24"/>
        </w:rPr>
      </w:pPr>
      <w:r>
        <w:rPr>
          <w:rFonts w:hint="eastAsia" w:ascii="宋体" w:hAnsi="宋体" w:cs="宋体"/>
          <w:color w:val="000000"/>
          <w:sz w:val="24"/>
        </w:rPr>
        <w:t>　　（2）在全部工程交工验收前，已经发包人提前验收的单位工程，其保修期的起算日期相应提前。</w:t>
      </w:r>
    </w:p>
    <w:p w14:paraId="0A9773C1">
      <w:pPr>
        <w:spacing w:line="360" w:lineRule="auto"/>
        <w:rPr>
          <w:rFonts w:ascii="宋体" w:hAnsi="宋体" w:cs="宋体"/>
          <w:color w:val="000000"/>
          <w:sz w:val="24"/>
        </w:rPr>
      </w:pPr>
      <w:r>
        <w:rPr>
          <w:rFonts w:hint="eastAsia" w:ascii="宋体" w:hAnsi="宋体" w:cs="宋体"/>
          <w:color w:val="000000"/>
          <w:sz w:val="24"/>
        </w:rPr>
        <w:t>　　（3）工程保修期终止后28天内，监理人签发保修期终止证书。</w:t>
      </w:r>
    </w:p>
    <w:p w14:paraId="45B68889">
      <w:pPr>
        <w:spacing w:line="360" w:lineRule="auto"/>
        <w:rPr>
          <w:rFonts w:ascii="宋体" w:hAnsi="宋体" w:cs="宋体"/>
          <w:color w:val="000000"/>
          <w:sz w:val="24"/>
        </w:rPr>
      </w:pPr>
      <w:r>
        <w:rPr>
          <w:rFonts w:hint="eastAsia" w:ascii="宋体" w:hAnsi="宋体" w:cs="宋体"/>
          <w:color w:val="000000"/>
          <w:sz w:val="24"/>
        </w:rPr>
        <w:t>　　（4）若承包人不履行保修义务和责任，则承包人应承担由于违约造成的法律后果，并由发包人将其违约行为上报省级交通运输主管部门，作为不良记录纳入公路建设市场信用信息管理系统。</w:t>
      </w:r>
    </w:p>
    <w:p w14:paraId="702FEBDA">
      <w:pPr>
        <w:spacing w:line="360" w:lineRule="auto"/>
        <w:rPr>
          <w:rFonts w:ascii="宋体" w:hAnsi="宋体" w:cs="宋体"/>
          <w:b/>
          <w:color w:val="000000"/>
          <w:kern w:val="0"/>
          <w:sz w:val="24"/>
        </w:rPr>
      </w:pPr>
      <w:bookmarkStart w:id="376" w:name="_Toc31436"/>
      <w:bookmarkStart w:id="377" w:name="_Toc514414358"/>
      <w:bookmarkStart w:id="378" w:name="_Toc19367"/>
      <w:r>
        <w:rPr>
          <w:rFonts w:hint="eastAsia" w:ascii="宋体" w:hAnsi="宋体" w:cs="宋体"/>
          <w:b/>
          <w:color w:val="000000"/>
          <w:kern w:val="0"/>
          <w:sz w:val="24"/>
        </w:rPr>
        <w:t>20．保险</w:t>
      </w:r>
      <w:bookmarkEnd w:id="376"/>
      <w:bookmarkEnd w:id="377"/>
      <w:bookmarkEnd w:id="378"/>
    </w:p>
    <w:p w14:paraId="01AED72F">
      <w:pPr>
        <w:spacing w:line="360" w:lineRule="auto"/>
        <w:rPr>
          <w:rFonts w:ascii="宋体" w:hAnsi="宋体" w:cs="宋体"/>
          <w:b/>
          <w:color w:val="000000"/>
          <w:kern w:val="0"/>
          <w:sz w:val="24"/>
        </w:rPr>
      </w:pPr>
      <w:bookmarkStart w:id="379" w:name="_Toc22432"/>
      <w:bookmarkStart w:id="380" w:name="_Toc30678"/>
      <w:bookmarkStart w:id="381" w:name="_Toc514414359"/>
      <w:r>
        <w:rPr>
          <w:rFonts w:hint="eastAsia" w:ascii="宋体" w:hAnsi="宋体" w:cs="宋体"/>
          <w:b/>
          <w:color w:val="000000"/>
          <w:kern w:val="0"/>
          <w:sz w:val="24"/>
        </w:rPr>
        <w:t>20.1．工程保险</w:t>
      </w:r>
      <w:bookmarkEnd w:id="379"/>
      <w:bookmarkEnd w:id="380"/>
      <w:bookmarkEnd w:id="381"/>
    </w:p>
    <w:p w14:paraId="0DD42B28">
      <w:pPr>
        <w:spacing w:line="360" w:lineRule="auto"/>
        <w:rPr>
          <w:rFonts w:ascii="宋体" w:hAnsi="宋体" w:cs="宋体"/>
          <w:color w:val="000000"/>
          <w:sz w:val="24"/>
        </w:rPr>
      </w:pPr>
      <w:r>
        <w:rPr>
          <w:rFonts w:hint="eastAsia" w:ascii="宋体" w:hAnsi="宋体" w:cs="宋体"/>
          <w:color w:val="000000"/>
          <w:sz w:val="24"/>
        </w:rPr>
        <w:t>　　本款约定为：</w:t>
      </w:r>
    </w:p>
    <w:p w14:paraId="72FEF2DC">
      <w:pPr>
        <w:spacing w:line="360" w:lineRule="auto"/>
        <w:rPr>
          <w:rFonts w:ascii="宋体" w:hAnsi="宋体" w:cs="宋体"/>
          <w:color w:val="000000"/>
          <w:sz w:val="24"/>
        </w:rPr>
      </w:pPr>
      <w:r>
        <w:rPr>
          <w:rFonts w:hint="eastAsia" w:ascii="宋体" w:hAnsi="宋体" w:cs="宋体"/>
          <w:color w:val="000000"/>
          <w:sz w:val="24"/>
        </w:rPr>
        <w:t>　　建筑工程一切险的投保内容：为本合同工程的永久工程、临时工程和设备及已运至施工工地用于永久工程的材料和设备所投的保险。</w:t>
      </w:r>
    </w:p>
    <w:p w14:paraId="61705DC9">
      <w:pPr>
        <w:spacing w:line="360" w:lineRule="auto"/>
        <w:rPr>
          <w:rFonts w:ascii="宋体" w:hAnsi="宋体" w:cs="宋体"/>
          <w:color w:val="000000"/>
          <w:sz w:val="24"/>
        </w:rPr>
      </w:pPr>
      <w:r>
        <w:rPr>
          <w:rFonts w:hint="eastAsia" w:ascii="宋体" w:hAnsi="宋体" w:cs="宋体"/>
          <w:color w:val="000000"/>
          <w:sz w:val="24"/>
        </w:rPr>
        <w:t>　　保险金额：工程量清单第100章（不含建筑工程一切险及第三者责任险的保险费）至第700章的合计金额。</w:t>
      </w:r>
    </w:p>
    <w:p w14:paraId="73C08A25">
      <w:pPr>
        <w:spacing w:line="360" w:lineRule="auto"/>
        <w:rPr>
          <w:rFonts w:ascii="宋体" w:hAnsi="宋体" w:cs="宋体"/>
          <w:color w:val="000000"/>
          <w:sz w:val="24"/>
        </w:rPr>
      </w:pPr>
      <w:r>
        <w:rPr>
          <w:rFonts w:hint="eastAsia" w:ascii="宋体" w:hAnsi="宋体" w:cs="宋体"/>
          <w:color w:val="000000"/>
          <w:sz w:val="24"/>
        </w:rPr>
        <w:t>　　保险费率：在项目专用合同条款数据表中约定。</w:t>
      </w:r>
    </w:p>
    <w:p w14:paraId="2DCCF8D9">
      <w:pPr>
        <w:spacing w:line="360" w:lineRule="auto"/>
        <w:rPr>
          <w:rFonts w:ascii="宋体" w:hAnsi="宋体" w:cs="宋体"/>
          <w:color w:val="000000"/>
          <w:sz w:val="24"/>
        </w:rPr>
      </w:pPr>
      <w:r>
        <w:rPr>
          <w:rFonts w:hint="eastAsia" w:ascii="宋体" w:hAnsi="宋体" w:cs="宋体"/>
          <w:color w:val="000000"/>
          <w:sz w:val="24"/>
        </w:rPr>
        <w:t>　　保险期限：开工日起直至本合同工程签发缺陷责任期终止证书止（即合同计划工期＋缺陷责任期）。</w:t>
      </w:r>
    </w:p>
    <w:p w14:paraId="2BA7F77F">
      <w:pPr>
        <w:spacing w:line="360" w:lineRule="auto"/>
        <w:rPr>
          <w:rFonts w:ascii="宋体" w:hAnsi="宋体" w:cs="宋体"/>
          <w:color w:val="000000"/>
          <w:sz w:val="24"/>
        </w:rPr>
      </w:pPr>
      <w:r>
        <w:rPr>
          <w:rFonts w:hint="eastAsia" w:ascii="宋体" w:hAnsi="宋体" w:cs="宋体"/>
          <w:color w:val="000000"/>
          <w:sz w:val="24"/>
        </w:rPr>
        <w:t>　　承包人应以发包人和承包人的共同名义投保建筑工程一切险。建筑工程一切险的保险费由承包人报价时列入工程量清单第100章内。发包人在接到保险单后，将按照保险单的费用直接向承包人支付。</w:t>
      </w:r>
    </w:p>
    <w:p w14:paraId="2E0E8CCF">
      <w:pPr>
        <w:spacing w:line="360" w:lineRule="auto"/>
        <w:rPr>
          <w:rFonts w:ascii="宋体" w:hAnsi="宋体" w:cs="宋体"/>
          <w:b/>
          <w:color w:val="000000"/>
          <w:kern w:val="0"/>
          <w:sz w:val="24"/>
        </w:rPr>
      </w:pPr>
      <w:bookmarkStart w:id="382" w:name="_Toc19069"/>
      <w:bookmarkStart w:id="383" w:name="_Toc25513"/>
      <w:bookmarkStart w:id="384" w:name="_Toc514414360"/>
      <w:r>
        <w:rPr>
          <w:rFonts w:hint="eastAsia" w:ascii="宋体" w:hAnsi="宋体" w:cs="宋体"/>
          <w:b/>
          <w:color w:val="000000"/>
          <w:kern w:val="0"/>
          <w:sz w:val="24"/>
        </w:rPr>
        <w:t>20.4．第三者责任险</w:t>
      </w:r>
      <w:bookmarkEnd w:id="382"/>
      <w:bookmarkEnd w:id="383"/>
      <w:bookmarkEnd w:id="384"/>
    </w:p>
    <w:p w14:paraId="00D6CCA4">
      <w:pPr>
        <w:spacing w:line="360" w:lineRule="auto"/>
        <w:rPr>
          <w:rFonts w:ascii="宋体" w:hAnsi="宋体" w:cs="宋体"/>
          <w:color w:val="000000"/>
          <w:sz w:val="24"/>
        </w:rPr>
      </w:pPr>
      <w:r>
        <w:rPr>
          <w:rFonts w:hint="eastAsia" w:ascii="宋体" w:hAnsi="宋体" w:cs="宋体"/>
          <w:color w:val="000000"/>
          <w:sz w:val="24"/>
        </w:rPr>
        <w:t>　　第20.4.2项补充：</w:t>
      </w:r>
    </w:p>
    <w:p w14:paraId="46FC85B7">
      <w:pPr>
        <w:spacing w:line="360" w:lineRule="auto"/>
        <w:rPr>
          <w:rFonts w:ascii="宋体" w:hAnsi="宋体" w:cs="宋体"/>
          <w:color w:val="000000"/>
          <w:sz w:val="24"/>
        </w:rPr>
      </w:pPr>
      <w:r>
        <w:rPr>
          <w:rFonts w:hint="eastAsia" w:ascii="宋体" w:hAnsi="宋体" w:cs="宋体"/>
          <w:color w:val="000000"/>
          <w:sz w:val="24"/>
        </w:rPr>
        <w:t>　　第三者责任险的保险费由承包人报价时列入工程量清单第100章内。发包人在接到保险单后，将按照保险单的费用直接向承包人支付。</w:t>
      </w:r>
    </w:p>
    <w:p w14:paraId="6101964D">
      <w:pPr>
        <w:spacing w:line="360" w:lineRule="auto"/>
        <w:rPr>
          <w:rFonts w:ascii="宋体" w:hAnsi="宋体" w:cs="宋体"/>
          <w:b/>
          <w:color w:val="000000"/>
          <w:kern w:val="0"/>
          <w:sz w:val="24"/>
        </w:rPr>
      </w:pPr>
      <w:bookmarkStart w:id="385" w:name="_Toc514414361"/>
      <w:bookmarkStart w:id="386" w:name="_Toc18239"/>
      <w:bookmarkStart w:id="387" w:name="_Toc5772"/>
      <w:r>
        <w:rPr>
          <w:rFonts w:hint="eastAsia" w:ascii="宋体" w:hAnsi="宋体" w:cs="宋体"/>
          <w:b/>
          <w:color w:val="000000"/>
          <w:kern w:val="0"/>
          <w:sz w:val="24"/>
        </w:rPr>
        <w:t>20.5．其他保险</w:t>
      </w:r>
      <w:bookmarkEnd w:id="385"/>
      <w:bookmarkEnd w:id="386"/>
      <w:bookmarkEnd w:id="387"/>
    </w:p>
    <w:p w14:paraId="0ADDA541">
      <w:pPr>
        <w:spacing w:line="360" w:lineRule="auto"/>
        <w:rPr>
          <w:rFonts w:ascii="宋体" w:hAnsi="宋体" w:cs="宋体"/>
          <w:color w:val="000000"/>
          <w:sz w:val="24"/>
        </w:rPr>
      </w:pPr>
      <w:r>
        <w:rPr>
          <w:rFonts w:hint="eastAsia" w:ascii="宋体" w:hAnsi="宋体" w:cs="宋体"/>
          <w:color w:val="000000"/>
          <w:sz w:val="24"/>
        </w:rPr>
        <w:t>　　本款约定为：</w:t>
      </w:r>
    </w:p>
    <w:p w14:paraId="4E34FE7F">
      <w:pPr>
        <w:spacing w:line="360" w:lineRule="auto"/>
        <w:rPr>
          <w:rFonts w:ascii="宋体" w:hAnsi="宋体" w:cs="宋体"/>
          <w:color w:val="000000"/>
          <w:sz w:val="24"/>
        </w:rPr>
      </w:pPr>
      <w:r>
        <w:rPr>
          <w:rFonts w:hint="eastAsia" w:ascii="宋体" w:hAnsi="宋体" w:cs="宋体"/>
          <w:color w:val="000000"/>
          <w:sz w:val="24"/>
        </w:rPr>
        <w:t>　　承包人应为其施工设备等办理保险，其投保金额应足以现场重置。办理本款保险的一切费用均由承包人承担，并包括在工程量清单的单价及总额价中，发包人不单独支付。</w:t>
      </w:r>
    </w:p>
    <w:p w14:paraId="083A1806">
      <w:pPr>
        <w:spacing w:line="360" w:lineRule="auto"/>
        <w:rPr>
          <w:rFonts w:ascii="宋体" w:hAnsi="宋体" w:cs="宋体"/>
          <w:b/>
          <w:color w:val="000000"/>
          <w:kern w:val="0"/>
          <w:sz w:val="24"/>
        </w:rPr>
      </w:pPr>
      <w:bookmarkStart w:id="388" w:name="_Toc32446"/>
      <w:bookmarkStart w:id="389" w:name="_Toc16986"/>
      <w:bookmarkStart w:id="390" w:name="_Toc514414362"/>
      <w:r>
        <w:rPr>
          <w:rFonts w:hint="eastAsia" w:ascii="宋体" w:hAnsi="宋体" w:cs="宋体"/>
          <w:b/>
          <w:color w:val="000000"/>
          <w:kern w:val="0"/>
          <w:sz w:val="24"/>
        </w:rPr>
        <w:t>20.6．对各项保险的一般要求</w:t>
      </w:r>
      <w:bookmarkEnd w:id="388"/>
      <w:bookmarkEnd w:id="389"/>
      <w:bookmarkEnd w:id="390"/>
    </w:p>
    <w:p w14:paraId="0DA3D1F6">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20.6.1保险凭证</w:t>
      </w:r>
    </w:p>
    <w:p w14:paraId="1438C651">
      <w:pPr>
        <w:spacing w:line="360" w:lineRule="auto"/>
        <w:rPr>
          <w:rFonts w:ascii="宋体" w:hAnsi="宋体" w:cs="宋体"/>
          <w:color w:val="000000"/>
          <w:sz w:val="24"/>
        </w:rPr>
      </w:pPr>
      <w:r>
        <w:rPr>
          <w:rFonts w:hint="eastAsia" w:ascii="宋体" w:hAnsi="宋体" w:cs="宋体"/>
          <w:color w:val="000000"/>
          <w:sz w:val="24"/>
        </w:rPr>
        <w:t>　　本项约定为：</w:t>
      </w:r>
    </w:p>
    <w:p w14:paraId="18C080C5">
      <w:pPr>
        <w:spacing w:line="360" w:lineRule="auto"/>
        <w:rPr>
          <w:rFonts w:ascii="宋体" w:hAnsi="宋体" w:cs="宋体"/>
          <w:color w:val="000000"/>
          <w:sz w:val="24"/>
        </w:rPr>
      </w:pPr>
      <w:r>
        <w:rPr>
          <w:rFonts w:hint="eastAsia" w:ascii="宋体" w:hAnsi="宋体" w:cs="宋体"/>
          <w:color w:val="000000"/>
          <w:sz w:val="24"/>
        </w:rPr>
        <w:t>　　承包人向发包人提交各项保险生效的证据和保险单副本的期限：开工后56天内。</w:t>
      </w:r>
    </w:p>
    <w:p w14:paraId="76BB1835">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20.6.3持续保险</w:t>
      </w:r>
    </w:p>
    <w:p w14:paraId="707FD071">
      <w:pPr>
        <w:spacing w:line="360" w:lineRule="auto"/>
        <w:rPr>
          <w:rFonts w:ascii="宋体" w:hAnsi="宋体" w:cs="宋体"/>
          <w:color w:val="000000"/>
          <w:sz w:val="24"/>
        </w:rPr>
      </w:pPr>
      <w:r>
        <w:rPr>
          <w:rFonts w:hint="eastAsia" w:ascii="宋体" w:hAnsi="宋体" w:cs="宋体"/>
          <w:color w:val="000000"/>
          <w:sz w:val="24"/>
        </w:rPr>
        <w:t>　　本项补充：</w:t>
      </w:r>
    </w:p>
    <w:p w14:paraId="4726E5DC">
      <w:pPr>
        <w:spacing w:line="360" w:lineRule="auto"/>
        <w:rPr>
          <w:rFonts w:ascii="宋体" w:hAnsi="宋体" w:cs="宋体"/>
          <w:color w:val="000000"/>
          <w:sz w:val="24"/>
        </w:rPr>
      </w:pPr>
      <w:r>
        <w:rPr>
          <w:rFonts w:hint="eastAsia" w:ascii="宋体" w:hAnsi="宋体" w:cs="宋体"/>
          <w:color w:val="000000"/>
          <w:sz w:val="24"/>
        </w:rPr>
        <w:t>　　在整个合同期内，承包人应按合同条款规定保证足够的保险额。</w:t>
      </w:r>
    </w:p>
    <w:p w14:paraId="06994B6B">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20.6.4保险金不足的补偿</w:t>
      </w:r>
    </w:p>
    <w:p w14:paraId="55808D00">
      <w:pPr>
        <w:spacing w:line="360" w:lineRule="auto"/>
        <w:rPr>
          <w:rFonts w:ascii="宋体" w:hAnsi="宋体" w:cs="宋体"/>
          <w:color w:val="000000"/>
          <w:sz w:val="24"/>
        </w:rPr>
      </w:pPr>
      <w:r>
        <w:rPr>
          <w:rFonts w:hint="eastAsia" w:ascii="宋体" w:hAnsi="宋体" w:cs="宋体"/>
          <w:color w:val="000000"/>
          <w:sz w:val="24"/>
        </w:rPr>
        <w:t>　　本项细化为：</w:t>
      </w:r>
    </w:p>
    <w:p w14:paraId="6424A6BA">
      <w:pPr>
        <w:spacing w:line="360" w:lineRule="auto"/>
        <w:rPr>
          <w:rFonts w:ascii="宋体" w:hAnsi="宋体" w:cs="宋体"/>
          <w:color w:val="000000"/>
          <w:sz w:val="24"/>
        </w:rPr>
      </w:pPr>
      <w:r>
        <w:rPr>
          <w:rFonts w:hint="eastAsia" w:ascii="宋体" w:hAnsi="宋体" w:cs="宋体"/>
          <w:color w:val="000000"/>
          <w:sz w:val="24"/>
        </w:rPr>
        <w:t>　　保险金不足以补偿损失的（包括免赔额和超过赔偿限额的部分），应由承包人和（或）发包人按合同约定负责补偿。</w:t>
      </w:r>
    </w:p>
    <w:p w14:paraId="6EDE666C">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20.6.5未按约定投保的补救</w:t>
      </w:r>
    </w:p>
    <w:p w14:paraId="4C2FA4EB">
      <w:pPr>
        <w:spacing w:line="360" w:lineRule="auto"/>
        <w:rPr>
          <w:rFonts w:ascii="宋体" w:hAnsi="宋体" w:cs="宋体"/>
          <w:color w:val="000000"/>
          <w:sz w:val="24"/>
        </w:rPr>
      </w:pPr>
      <w:r>
        <w:rPr>
          <w:rFonts w:hint="eastAsia" w:ascii="宋体" w:hAnsi="宋体" w:cs="宋体"/>
          <w:color w:val="000000"/>
          <w:sz w:val="24"/>
        </w:rPr>
        <w:t>　　本项（2）目细化为：</w:t>
      </w:r>
    </w:p>
    <w:p w14:paraId="270FBCA0">
      <w:pPr>
        <w:spacing w:line="360" w:lineRule="auto"/>
        <w:rPr>
          <w:rFonts w:ascii="宋体" w:hAnsi="宋体" w:cs="宋体"/>
          <w:color w:val="000000"/>
          <w:sz w:val="24"/>
        </w:rPr>
      </w:pPr>
      <w:r>
        <w:rPr>
          <w:rFonts w:hint="eastAsia" w:ascii="宋体" w:hAnsi="宋体" w:cs="宋体"/>
          <w:color w:val="000000"/>
          <w:sz w:val="24"/>
        </w:rPr>
        <w:t>　　（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44889DF0">
      <w:pPr>
        <w:spacing w:line="360" w:lineRule="auto"/>
        <w:rPr>
          <w:rFonts w:ascii="宋体" w:hAnsi="宋体" w:cs="宋体"/>
          <w:b/>
          <w:color w:val="000000"/>
          <w:kern w:val="0"/>
          <w:sz w:val="24"/>
        </w:rPr>
      </w:pPr>
      <w:bookmarkStart w:id="391" w:name="_Toc27433"/>
      <w:bookmarkStart w:id="392" w:name="_Toc514414363"/>
      <w:bookmarkStart w:id="393" w:name="_Toc21805"/>
      <w:r>
        <w:rPr>
          <w:rFonts w:hint="eastAsia" w:ascii="宋体" w:hAnsi="宋体" w:cs="宋体"/>
          <w:b/>
          <w:color w:val="000000"/>
          <w:kern w:val="0"/>
          <w:sz w:val="24"/>
        </w:rPr>
        <w:t>21．不可抗力</w:t>
      </w:r>
      <w:bookmarkEnd w:id="391"/>
      <w:bookmarkEnd w:id="392"/>
      <w:bookmarkEnd w:id="393"/>
    </w:p>
    <w:p w14:paraId="7FC54F2C">
      <w:pPr>
        <w:spacing w:line="360" w:lineRule="auto"/>
        <w:rPr>
          <w:rFonts w:ascii="宋体" w:hAnsi="宋体" w:cs="宋体"/>
          <w:b/>
          <w:color w:val="000000"/>
          <w:kern w:val="0"/>
          <w:sz w:val="24"/>
        </w:rPr>
      </w:pPr>
      <w:bookmarkStart w:id="394" w:name="_Toc34"/>
      <w:bookmarkStart w:id="395" w:name="_Toc18286"/>
      <w:bookmarkStart w:id="396" w:name="_Toc514414364"/>
      <w:r>
        <w:rPr>
          <w:rFonts w:hint="eastAsia" w:ascii="宋体" w:hAnsi="宋体" w:cs="宋体"/>
          <w:b/>
          <w:color w:val="000000"/>
          <w:kern w:val="0"/>
          <w:sz w:val="24"/>
        </w:rPr>
        <w:t>21.1．不可抗力的确认</w:t>
      </w:r>
      <w:bookmarkEnd w:id="394"/>
      <w:bookmarkEnd w:id="395"/>
      <w:bookmarkEnd w:id="396"/>
    </w:p>
    <w:p w14:paraId="340328A9">
      <w:pPr>
        <w:spacing w:line="360" w:lineRule="auto"/>
        <w:rPr>
          <w:rFonts w:ascii="宋体" w:hAnsi="宋体" w:cs="宋体"/>
          <w:color w:val="000000"/>
          <w:sz w:val="24"/>
        </w:rPr>
      </w:pPr>
      <w:r>
        <w:rPr>
          <w:rFonts w:hint="eastAsia" w:ascii="宋体" w:hAnsi="宋体" w:cs="宋体"/>
          <w:color w:val="000000"/>
          <w:sz w:val="24"/>
        </w:rPr>
        <w:t>　　第21.1.1项细化为：</w:t>
      </w:r>
    </w:p>
    <w:p w14:paraId="36122DE6">
      <w:pPr>
        <w:spacing w:line="360" w:lineRule="auto"/>
        <w:rPr>
          <w:rFonts w:ascii="宋体" w:hAnsi="宋体" w:cs="宋体"/>
          <w:color w:val="000000"/>
          <w:sz w:val="24"/>
        </w:rPr>
      </w:pPr>
      <w:r>
        <w:rPr>
          <w:rFonts w:hint="eastAsia" w:ascii="宋体" w:hAnsi="宋体" w:cs="宋体"/>
          <w:color w:val="000000"/>
          <w:sz w:val="24"/>
        </w:rPr>
        <w:t>　　不可抗力是指承包人和发包人在订立合同时不可预见，在工程施工过程中不可避免发生并不能克服的自然灾害和社会性突发事件。包括但不限于：</w:t>
      </w:r>
    </w:p>
    <w:p w14:paraId="0E64E2A7">
      <w:pPr>
        <w:spacing w:line="360" w:lineRule="auto"/>
        <w:rPr>
          <w:rFonts w:ascii="宋体" w:hAnsi="宋体" w:cs="宋体"/>
          <w:color w:val="000000"/>
          <w:sz w:val="24"/>
        </w:rPr>
      </w:pPr>
      <w:r>
        <w:rPr>
          <w:rFonts w:hint="eastAsia" w:ascii="宋体" w:hAnsi="宋体" w:cs="宋体"/>
          <w:color w:val="000000"/>
          <w:sz w:val="24"/>
        </w:rPr>
        <w:t>　　（1）地震、海啸、火山爆发、泥石流、暴雨（雪）、台风、龙卷风、水灾等自然灾害；</w:t>
      </w:r>
    </w:p>
    <w:p w14:paraId="607AEE70">
      <w:pPr>
        <w:spacing w:line="360" w:lineRule="auto"/>
        <w:rPr>
          <w:rFonts w:ascii="宋体" w:hAnsi="宋体" w:cs="宋体"/>
          <w:color w:val="000000"/>
          <w:sz w:val="24"/>
        </w:rPr>
      </w:pPr>
      <w:r>
        <w:rPr>
          <w:rFonts w:hint="eastAsia" w:ascii="宋体" w:hAnsi="宋体" w:cs="宋体"/>
          <w:color w:val="000000"/>
          <w:sz w:val="24"/>
        </w:rPr>
        <w:t>　　（2）战争、骚乱、暴动，但纯属承包人或其分包人派遣与雇用的人员由于本合同工程施工原因引起者除外；</w:t>
      </w:r>
    </w:p>
    <w:p w14:paraId="7BB15E2D">
      <w:pPr>
        <w:spacing w:line="360" w:lineRule="auto"/>
        <w:rPr>
          <w:rFonts w:ascii="宋体" w:hAnsi="宋体" w:cs="宋体"/>
          <w:color w:val="000000"/>
          <w:sz w:val="24"/>
        </w:rPr>
      </w:pPr>
      <w:r>
        <w:rPr>
          <w:rFonts w:hint="eastAsia" w:ascii="宋体" w:hAnsi="宋体" w:cs="宋体"/>
          <w:color w:val="000000"/>
          <w:sz w:val="24"/>
        </w:rPr>
        <w:t>　　（3）核反应、辐射或放射性污染；</w:t>
      </w:r>
    </w:p>
    <w:p w14:paraId="2AC5C420">
      <w:pPr>
        <w:spacing w:line="360" w:lineRule="auto"/>
        <w:rPr>
          <w:rFonts w:ascii="宋体" w:hAnsi="宋体" w:cs="宋体"/>
          <w:color w:val="000000"/>
          <w:sz w:val="24"/>
        </w:rPr>
      </w:pPr>
      <w:r>
        <w:rPr>
          <w:rFonts w:hint="eastAsia" w:ascii="宋体" w:hAnsi="宋体" w:cs="宋体"/>
          <w:color w:val="000000"/>
          <w:sz w:val="24"/>
        </w:rPr>
        <w:t>　　（4）空中飞行物体坠落或非发包人或承包人责任造成的爆炸、火灾；</w:t>
      </w:r>
    </w:p>
    <w:p w14:paraId="39C54868">
      <w:pPr>
        <w:spacing w:line="360" w:lineRule="auto"/>
        <w:rPr>
          <w:rFonts w:ascii="宋体" w:hAnsi="宋体" w:cs="宋体"/>
          <w:color w:val="000000"/>
          <w:sz w:val="24"/>
        </w:rPr>
      </w:pPr>
      <w:r>
        <w:rPr>
          <w:rFonts w:hint="eastAsia" w:ascii="宋体" w:hAnsi="宋体" w:cs="宋体"/>
          <w:color w:val="000000"/>
          <w:sz w:val="24"/>
        </w:rPr>
        <w:t>　　（5）瘟疫；</w:t>
      </w:r>
    </w:p>
    <w:p w14:paraId="71BF8D5E">
      <w:pPr>
        <w:spacing w:line="360" w:lineRule="auto"/>
        <w:rPr>
          <w:rFonts w:ascii="宋体" w:hAnsi="宋体" w:cs="宋体"/>
          <w:color w:val="000000"/>
          <w:sz w:val="24"/>
        </w:rPr>
      </w:pPr>
      <w:r>
        <w:rPr>
          <w:rFonts w:hint="eastAsia" w:ascii="宋体" w:hAnsi="宋体" w:cs="宋体"/>
          <w:color w:val="000000"/>
          <w:sz w:val="24"/>
        </w:rPr>
        <w:t>　　（6）项目专用合同条款约定的其他情形。</w:t>
      </w:r>
    </w:p>
    <w:p w14:paraId="59DC8720">
      <w:pPr>
        <w:spacing w:line="360" w:lineRule="auto"/>
        <w:rPr>
          <w:rFonts w:ascii="宋体" w:hAnsi="宋体" w:cs="宋体"/>
          <w:b/>
          <w:color w:val="000000"/>
          <w:kern w:val="0"/>
          <w:sz w:val="24"/>
        </w:rPr>
      </w:pPr>
      <w:bookmarkStart w:id="397" w:name="_Toc514414365"/>
      <w:bookmarkStart w:id="398" w:name="_Toc26669"/>
      <w:bookmarkStart w:id="399" w:name="_Toc14782"/>
      <w:r>
        <w:rPr>
          <w:rFonts w:hint="eastAsia" w:ascii="宋体" w:hAnsi="宋体" w:cs="宋体"/>
          <w:b/>
          <w:color w:val="000000"/>
          <w:kern w:val="0"/>
          <w:sz w:val="24"/>
        </w:rPr>
        <w:t>21.3．不可抗力后果及其处理</w:t>
      </w:r>
      <w:bookmarkEnd w:id="397"/>
      <w:bookmarkEnd w:id="398"/>
      <w:bookmarkEnd w:id="399"/>
    </w:p>
    <w:p w14:paraId="48DBF3DF">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21.3.4因不可抗力解除合同</w:t>
      </w:r>
    </w:p>
    <w:p w14:paraId="5574AB97">
      <w:pPr>
        <w:spacing w:line="360" w:lineRule="auto"/>
        <w:rPr>
          <w:rFonts w:ascii="宋体" w:hAnsi="宋体" w:cs="宋体"/>
          <w:color w:val="000000"/>
          <w:sz w:val="24"/>
        </w:rPr>
      </w:pPr>
      <w:r>
        <w:rPr>
          <w:rFonts w:hint="eastAsia" w:ascii="宋体" w:hAnsi="宋体" w:cs="宋体"/>
          <w:color w:val="000000"/>
          <w:sz w:val="24"/>
        </w:rPr>
        <w:t>　　本项细化为：</w:t>
      </w:r>
    </w:p>
    <w:p w14:paraId="06BDDE1D">
      <w:pPr>
        <w:spacing w:line="360" w:lineRule="auto"/>
        <w:rPr>
          <w:rFonts w:ascii="宋体" w:hAnsi="宋体" w:cs="宋体"/>
          <w:color w:val="000000"/>
          <w:sz w:val="24"/>
        </w:rPr>
      </w:pPr>
      <w:r>
        <w:rPr>
          <w:rFonts w:hint="eastAsia" w:ascii="宋体" w:hAnsi="宋体" w:cs="宋体"/>
          <w:color w:val="000000"/>
          <w:sz w:val="24"/>
        </w:rPr>
        <w:t>　　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但由于解除合同应赔偿的承包人损失不予考虑。</w:t>
      </w:r>
    </w:p>
    <w:p w14:paraId="119F6EBE">
      <w:pPr>
        <w:spacing w:line="360" w:lineRule="auto"/>
        <w:rPr>
          <w:rFonts w:ascii="宋体" w:hAnsi="宋体" w:cs="宋体"/>
          <w:b/>
          <w:color w:val="000000"/>
          <w:kern w:val="0"/>
          <w:sz w:val="24"/>
        </w:rPr>
      </w:pPr>
      <w:bookmarkStart w:id="400" w:name="_Toc514414366"/>
      <w:bookmarkStart w:id="401" w:name="_Toc19907"/>
      <w:bookmarkStart w:id="402" w:name="_Toc30810"/>
      <w:r>
        <w:rPr>
          <w:rFonts w:hint="eastAsia" w:ascii="宋体" w:hAnsi="宋体" w:cs="宋体"/>
          <w:b/>
          <w:color w:val="000000"/>
          <w:kern w:val="0"/>
          <w:sz w:val="24"/>
        </w:rPr>
        <w:t>22．违约</w:t>
      </w:r>
      <w:bookmarkEnd w:id="400"/>
      <w:bookmarkEnd w:id="401"/>
      <w:bookmarkEnd w:id="402"/>
    </w:p>
    <w:p w14:paraId="58FCB753">
      <w:pPr>
        <w:spacing w:line="360" w:lineRule="auto"/>
        <w:rPr>
          <w:rFonts w:ascii="宋体" w:hAnsi="宋体" w:cs="宋体"/>
          <w:b/>
          <w:color w:val="000000"/>
          <w:kern w:val="0"/>
          <w:sz w:val="24"/>
        </w:rPr>
      </w:pPr>
      <w:bookmarkStart w:id="403" w:name="_Toc4057"/>
      <w:bookmarkStart w:id="404" w:name="_Toc9666"/>
      <w:bookmarkStart w:id="405" w:name="_Toc514414367"/>
      <w:r>
        <w:rPr>
          <w:rFonts w:hint="eastAsia" w:ascii="宋体" w:hAnsi="宋体" w:cs="宋体"/>
          <w:b/>
          <w:color w:val="000000"/>
          <w:kern w:val="0"/>
          <w:sz w:val="24"/>
        </w:rPr>
        <w:t>22.1．承包人违约</w:t>
      </w:r>
      <w:bookmarkEnd w:id="403"/>
      <w:bookmarkEnd w:id="404"/>
      <w:bookmarkEnd w:id="405"/>
    </w:p>
    <w:p w14:paraId="1585079B">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22.1.1承包人违约的情形</w:t>
      </w:r>
    </w:p>
    <w:p w14:paraId="412FD723">
      <w:pPr>
        <w:spacing w:line="360" w:lineRule="auto"/>
        <w:rPr>
          <w:rFonts w:ascii="宋体" w:hAnsi="宋体" w:cs="宋体"/>
          <w:color w:val="000000"/>
          <w:sz w:val="24"/>
        </w:rPr>
      </w:pPr>
      <w:r>
        <w:rPr>
          <w:rFonts w:hint="eastAsia" w:ascii="宋体" w:hAnsi="宋体" w:cs="宋体"/>
          <w:color w:val="000000"/>
          <w:sz w:val="24"/>
        </w:rPr>
        <w:t>　　本项（2）目细化为：</w:t>
      </w:r>
    </w:p>
    <w:p w14:paraId="64C39091">
      <w:pPr>
        <w:spacing w:line="360" w:lineRule="auto"/>
        <w:rPr>
          <w:rFonts w:ascii="宋体" w:hAnsi="宋体" w:cs="宋体"/>
          <w:color w:val="000000"/>
          <w:sz w:val="24"/>
        </w:rPr>
      </w:pPr>
      <w:r>
        <w:rPr>
          <w:rFonts w:hint="eastAsia" w:ascii="宋体" w:hAnsi="宋体" w:cs="宋体"/>
          <w:color w:val="000000"/>
          <w:sz w:val="24"/>
        </w:rPr>
        <w:t>　　（2）承包人违反第5.3款或第6.4款的约定，未经监理人批准，私自将已按合同约定进入施工场地的施工设备、临时设施、材料或工程设备撤离施工场地；</w:t>
      </w:r>
    </w:p>
    <w:p w14:paraId="67029B5D">
      <w:pPr>
        <w:spacing w:line="360" w:lineRule="auto"/>
        <w:rPr>
          <w:rFonts w:ascii="宋体" w:hAnsi="宋体" w:cs="宋体"/>
          <w:color w:val="000000"/>
          <w:sz w:val="24"/>
        </w:rPr>
      </w:pPr>
      <w:r>
        <w:rPr>
          <w:rFonts w:hint="eastAsia" w:ascii="宋体" w:hAnsi="宋体" w:cs="宋体"/>
          <w:color w:val="000000"/>
          <w:sz w:val="24"/>
        </w:rPr>
        <w:t>　　本项（7）目细化为：</w:t>
      </w:r>
    </w:p>
    <w:p w14:paraId="0A65F505">
      <w:pPr>
        <w:spacing w:line="360" w:lineRule="auto"/>
        <w:rPr>
          <w:rFonts w:ascii="宋体" w:hAnsi="宋体" w:cs="宋体"/>
          <w:color w:val="000000"/>
          <w:sz w:val="24"/>
        </w:rPr>
      </w:pPr>
      <w:r>
        <w:rPr>
          <w:rFonts w:hint="eastAsia" w:ascii="宋体" w:hAnsi="宋体" w:cs="宋体"/>
          <w:color w:val="000000"/>
          <w:sz w:val="24"/>
        </w:rPr>
        <w:t>　　（7）承包人未能按期开工；</w:t>
      </w:r>
    </w:p>
    <w:p w14:paraId="1FBD75BC">
      <w:pPr>
        <w:spacing w:line="360" w:lineRule="auto"/>
        <w:rPr>
          <w:rFonts w:ascii="宋体" w:hAnsi="宋体" w:cs="宋体"/>
          <w:color w:val="000000"/>
          <w:sz w:val="24"/>
        </w:rPr>
      </w:pPr>
      <w:r>
        <w:rPr>
          <w:rFonts w:hint="eastAsia" w:ascii="宋体" w:hAnsi="宋体" w:cs="宋体"/>
          <w:color w:val="000000"/>
          <w:sz w:val="24"/>
        </w:rPr>
        <w:t>　　（8）承包人违反第4.6款或第6.3款的规定，未按承诺或未按监理人的要求及时配备称职的主要管理人员、技术骨干或关键施工设备；</w:t>
      </w:r>
    </w:p>
    <w:p w14:paraId="736912DD">
      <w:pPr>
        <w:spacing w:line="360" w:lineRule="auto"/>
        <w:rPr>
          <w:rFonts w:ascii="宋体" w:hAnsi="宋体" w:cs="宋体"/>
          <w:color w:val="000000"/>
          <w:sz w:val="24"/>
        </w:rPr>
      </w:pPr>
      <w:r>
        <w:rPr>
          <w:rFonts w:hint="eastAsia" w:ascii="宋体" w:hAnsi="宋体" w:cs="宋体"/>
          <w:color w:val="000000"/>
          <w:sz w:val="24"/>
        </w:rPr>
        <w:t>　　（9）经监理人和发包人检查，发现承包人有安全问题或有违反安全管理规章制度的情况；</w:t>
      </w:r>
    </w:p>
    <w:p w14:paraId="464CDE33">
      <w:pPr>
        <w:spacing w:line="360" w:lineRule="auto"/>
        <w:rPr>
          <w:rFonts w:ascii="宋体" w:hAnsi="宋体" w:cs="宋体"/>
          <w:color w:val="000000"/>
          <w:sz w:val="24"/>
        </w:rPr>
      </w:pPr>
      <w:r>
        <w:rPr>
          <w:rFonts w:hint="eastAsia" w:ascii="宋体" w:hAnsi="宋体" w:cs="宋体"/>
          <w:color w:val="000000"/>
          <w:sz w:val="24"/>
        </w:rPr>
        <w:t>　　（10）承包人不按合同约定履行义务的其他情况。</w:t>
      </w:r>
    </w:p>
    <w:p w14:paraId="66B5385A">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22.1.2对承包人违约的处理</w:t>
      </w:r>
    </w:p>
    <w:p w14:paraId="1C36D266">
      <w:pPr>
        <w:spacing w:line="360" w:lineRule="auto"/>
        <w:rPr>
          <w:rFonts w:ascii="宋体" w:hAnsi="宋体" w:cs="宋体"/>
          <w:color w:val="000000"/>
          <w:sz w:val="24"/>
        </w:rPr>
      </w:pPr>
      <w:r>
        <w:rPr>
          <w:rFonts w:hint="eastAsia" w:ascii="宋体" w:hAnsi="宋体" w:cs="宋体"/>
          <w:color w:val="000000"/>
          <w:sz w:val="24"/>
        </w:rPr>
        <w:t>　　本项补充：</w:t>
      </w:r>
    </w:p>
    <w:p w14:paraId="7D8F83D9">
      <w:pPr>
        <w:spacing w:line="360" w:lineRule="auto"/>
        <w:rPr>
          <w:rFonts w:ascii="宋体" w:hAnsi="宋体" w:cs="宋体"/>
          <w:color w:val="000000"/>
          <w:sz w:val="24"/>
        </w:rPr>
      </w:pPr>
      <w:r>
        <w:rPr>
          <w:rFonts w:hint="eastAsia" w:ascii="宋体" w:hAnsi="宋体" w:cs="宋体"/>
          <w:color w:val="000000"/>
          <w:sz w:val="24"/>
        </w:rPr>
        <w:t>　　（4）承包人发生第22.1.1项约定的违约情况时，无论发包人是否解除合同，发包人均有权向承包人课以项目专用合同条款中规定的违约金，并由发包人将其违约行为上报省级交通运输主管部门，作为不良记录纳入公路建设市场信用信息管理系统。</w:t>
      </w:r>
    </w:p>
    <w:p w14:paraId="2409E0B2">
      <w:pPr>
        <w:spacing w:line="360" w:lineRule="auto"/>
        <w:rPr>
          <w:rFonts w:ascii="宋体" w:hAnsi="宋体" w:cs="宋体"/>
          <w:b/>
          <w:color w:val="000000"/>
          <w:kern w:val="0"/>
          <w:sz w:val="24"/>
        </w:rPr>
      </w:pPr>
      <w:bookmarkStart w:id="406" w:name="_Toc514414368"/>
      <w:bookmarkStart w:id="407" w:name="_Toc19731"/>
      <w:bookmarkStart w:id="408" w:name="_Toc9266"/>
      <w:r>
        <w:rPr>
          <w:rFonts w:hint="eastAsia" w:ascii="宋体" w:hAnsi="宋体" w:cs="宋体"/>
          <w:b/>
          <w:color w:val="000000"/>
          <w:kern w:val="0"/>
          <w:sz w:val="24"/>
        </w:rPr>
        <w:t>22.2．发包人违约</w:t>
      </w:r>
      <w:bookmarkEnd w:id="406"/>
      <w:bookmarkEnd w:id="407"/>
      <w:bookmarkEnd w:id="408"/>
    </w:p>
    <w:p w14:paraId="2E9CEB40">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22.2.1发包人违约的情形</w:t>
      </w:r>
    </w:p>
    <w:p w14:paraId="4E7A6EAB">
      <w:pPr>
        <w:spacing w:line="360" w:lineRule="auto"/>
        <w:rPr>
          <w:rFonts w:ascii="宋体" w:hAnsi="宋体" w:cs="宋体"/>
          <w:color w:val="000000"/>
          <w:sz w:val="24"/>
        </w:rPr>
      </w:pPr>
      <w:r>
        <w:rPr>
          <w:rFonts w:hint="eastAsia" w:ascii="宋体" w:hAnsi="宋体" w:cs="宋体"/>
          <w:color w:val="000000"/>
          <w:sz w:val="24"/>
        </w:rPr>
        <w:t>　　本项（5）目细化为：</w:t>
      </w:r>
    </w:p>
    <w:p w14:paraId="2B24777C">
      <w:pPr>
        <w:spacing w:line="360" w:lineRule="auto"/>
        <w:rPr>
          <w:rFonts w:ascii="宋体" w:hAnsi="宋体" w:cs="宋体"/>
          <w:color w:val="000000"/>
          <w:sz w:val="24"/>
        </w:rPr>
      </w:pPr>
      <w:r>
        <w:rPr>
          <w:rFonts w:hint="eastAsia" w:ascii="宋体" w:hAnsi="宋体" w:cs="宋体"/>
          <w:color w:val="000000"/>
          <w:sz w:val="24"/>
        </w:rPr>
        <w:t>　　（5）发包人无正当理由不按时返还履约保证金、质量保证金或农民工工资保证金的；</w:t>
      </w:r>
    </w:p>
    <w:p w14:paraId="2CFECE0F">
      <w:pPr>
        <w:spacing w:line="360" w:lineRule="auto"/>
        <w:rPr>
          <w:rFonts w:ascii="宋体" w:hAnsi="宋体" w:cs="宋体"/>
          <w:color w:val="000000"/>
          <w:sz w:val="24"/>
        </w:rPr>
      </w:pPr>
      <w:r>
        <w:rPr>
          <w:rFonts w:hint="eastAsia" w:ascii="宋体" w:hAnsi="宋体" w:cs="宋体"/>
          <w:color w:val="000000"/>
          <w:sz w:val="24"/>
        </w:rPr>
        <w:t>　　（6）发包人不履行合同约定其他义务的。</w:t>
      </w:r>
    </w:p>
    <w:p w14:paraId="2E2457C5">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22.2.2承包人有权暂停施工</w:t>
      </w:r>
    </w:p>
    <w:p w14:paraId="162F3F30">
      <w:pPr>
        <w:spacing w:line="360" w:lineRule="auto"/>
        <w:rPr>
          <w:rFonts w:ascii="宋体" w:hAnsi="宋体" w:cs="宋体"/>
          <w:color w:val="000000"/>
          <w:sz w:val="24"/>
        </w:rPr>
      </w:pPr>
      <w:r>
        <w:rPr>
          <w:rFonts w:hint="eastAsia" w:ascii="宋体" w:hAnsi="宋体" w:cs="宋体"/>
          <w:color w:val="000000"/>
          <w:sz w:val="24"/>
        </w:rPr>
        <w:t>　　本项细化为：</w:t>
      </w:r>
    </w:p>
    <w:p w14:paraId="719E1F17">
      <w:pPr>
        <w:spacing w:line="360" w:lineRule="auto"/>
        <w:rPr>
          <w:rFonts w:ascii="宋体" w:hAnsi="宋体" w:cs="宋体"/>
          <w:color w:val="000000"/>
          <w:sz w:val="24"/>
        </w:rPr>
      </w:pPr>
      <w:r>
        <w:rPr>
          <w:rFonts w:hint="eastAsia" w:ascii="宋体" w:hAnsi="宋体" w:cs="宋体"/>
          <w:color w:val="000000"/>
          <w:sz w:val="24"/>
        </w:rPr>
        <w:t>　　发包人发生除第22.2.1（4）、（5）目以外的违约情况时，承包人可向发包人发出通知，要求发包人采取有效措施纠正违约行为。发包人收到承包人通知后的28天内仍不履行合同义务，承包人有权暂停施工，并通知监理人，发包人应承担由此增加的费用和（或）计划工期延误，并支付承包人合理利润。</w:t>
      </w:r>
    </w:p>
    <w:p w14:paraId="1E56C7B1">
      <w:pPr>
        <w:spacing w:line="360" w:lineRule="auto"/>
        <w:rPr>
          <w:rFonts w:ascii="宋体" w:hAnsi="宋体" w:cs="宋体"/>
          <w:color w:val="000000"/>
          <w:sz w:val="24"/>
        </w:rPr>
      </w:pPr>
      <w:r>
        <w:rPr>
          <w:rFonts w:hint="eastAsia" w:ascii="宋体" w:hAnsi="宋体" w:cs="宋体"/>
          <w:color w:val="000000"/>
          <w:sz w:val="24"/>
        </w:rPr>
        <w:t>　　发包人发生第22.2.1（5）目的违约情况时，承包人可向发包人发出通知，要求发包人采取有效措施纠正违约行为。发包人收到承包人通知后的28天内仍不返还履约保证金、质量保证金或农民工工资保证金的，发包人应按项目专用合同条款的约定向承包人支付逾期返还保证金的违约金。</w:t>
      </w:r>
    </w:p>
    <w:p w14:paraId="55937A98">
      <w:pPr>
        <w:spacing w:line="360" w:lineRule="auto"/>
        <w:rPr>
          <w:rFonts w:ascii="宋体" w:hAnsi="宋体" w:cs="宋体"/>
          <w:b/>
          <w:color w:val="000000"/>
          <w:sz w:val="24"/>
        </w:rPr>
      </w:pPr>
      <w:r>
        <w:rPr>
          <w:rFonts w:hint="eastAsia" w:ascii="宋体" w:hAnsi="宋体" w:cs="宋体"/>
          <w:color w:val="000000"/>
          <w:sz w:val="24"/>
        </w:rPr>
        <w:t>　　</w:t>
      </w:r>
      <w:r>
        <w:rPr>
          <w:rFonts w:hint="eastAsia" w:ascii="宋体" w:hAnsi="宋体" w:cs="宋体"/>
          <w:b/>
          <w:color w:val="000000"/>
          <w:sz w:val="24"/>
        </w:rPr>
        <w:t>22.2.4解除合同后的付款</w:t>
      </w:r>
    </w:p>
    <w:p w14:paraId="488C31C7">
      <w:pPr>
        <w:spacing w:line="360" w:lineRule="auto"/>
        <w:rPr>
          <w:rFonts w:ascii="宋体" w:hAnsi="宋体" w:cs="宋体"/>
          <w:color w:val="000000"/>
          <w:sz w:val="24"/>
        </w:rPr>
      </w:pPr>
      <w:r>
        <w:rPr>
          <w:rFonts w:hint="eastAsia" w:ascii="宋体" w:hAnsi="宋体" w:cs="宋体"/>
          <w:color w:val="000000"/>
          <w:sz w:val="24"/>
        </w:rPr>
        <w:t>　　本项（2）目细化为：</w:t>
      </w:r>
    </w:p>
    <w:p w14:paraId="6525C9A3">
      <w:pPr>
        <w:spacing w:line="360" w:lineRule="auto"/>
        <w:rPr>
          <w:rFonts w:ascii="宋体" w:hAnsi="宋体" w:cs="宋体"/>
          <w:color w:val="000000"/>
          <w:sz w:val="24"/>
        </w:rPr>
      </w:pPr>
      <w:r>
        <w:rPr>
          <w:rFonts w:hint="eastAsia" w:ascii="宋体" w:hAnsi="宋体" w:cs="宋体"/>
          <w:color w:val="000000"/>
          <w:sz w:val="24"/>
        </w:rPr>
        <w:t>　　（2）承包人为该工程施工订购并已付款的材料、工程设备和其他物品的金额。发包人付款后，该材料、工程设备和其他物品归发包人所有；</w:t>
      </w:r>
    </w:p>
    <w:p w14:paraId="0E67E355">
      <w:pPr>
        <w:spacing w:line="360" w:lineRule="auto"/>
        <w:rPr>
          <w:rFonts w:ascii="宋体" w:hAnsi="宋体" w:cs="宋体"/>
          <w:b/>
          <w:color w:val="000000"/>
          <w:kern w:val="0"/>
          <w:sz w:val="24"/>
        </w:rPr>
      </w:pPr>
      <w:bookmarkStart w:id="409" w:name="_Toc514414369"/>
      <w:bookmarkStart w:id="410" w:name="_Toc20772"/>
      <w:bookmarkStart w:id="411" w:name="_Toc29593"/>
      <w:r>
        <w:rPr>
          <w:rFonts w:hint="eastAsia" w:ascii="宋体" w:hAnsi="宋体" w:cs="宋体"/>
          <w:b/>
          <w:color w:val="000000"/>
          <w:kern w:val="0"/>
          <w:sz w:val="24"/>
        </w:rPr>
        <w:t>23．索赔</w:t>
      </w:r>
      <w:bookmarkEnd w:id="409"/>
      <w:bookmarkEnd w:id="410"/>
      <w:bookmarkEnd w:id="411"/>
    </w:p>
    <w:p w14:paraId="010EC348">
      <w:pPr>
        <w:spacing w:line="360" w:lineRule="auto"/>
        <w:rPr>
          <w:rFonts w:ascii="宋体" w:hAnsi="宋体" w:cs="宋体"/>
          <w:b/>
          <w:color w:val="000000"/>
          <w:kern w:val="0"/>
          <w:sz w:val="24"/>
        </w:rPr>
      </w:pPr>
      <w:bookmarkStart w:id="412" w:name="_Toc18732"/>
      <w:bookmarkStart w:id="413" w:name="_Toc514414370"/>
      <w:bookmarkStart w:id="414" w:name="_Toc32555"/>
      <w:r>
        <w:rPr>
          <w:rFonts w:hint="eastAsia" w:ascii="宋体" w:hAnsi="宋体" w:cs="宋体"/>
          <w:b/>
          <w:color w:val="000000"/>
          <w:kern w:val="0"/>
          <w:sz w:val="24"/>
        </w:rPr>
        <w:t>23.1．承包人索赔的提出</w:t>
      </w:r>
      <w:bookmarkEnd w:id="412"/>
      <w:bookmarkEnd w:id="413"/>
      <w:bookmarkEnd w:id="414"/>
    </w:p>
    <w:p w14:paraId="2F69573F">
      <w:pPr>
        <w:spacing w:line="360" w:lineRule="auto"/>
        <w:rPr>
          <w:rFonts w:ascii="宋体" w:hAnsi="宋体" w:cs="宋体"/>
          <w:color w:val="000000"/>
          <w:sz w:val="24"/>
        </w:rPr>
      </w:pPr>
      <w:r>
        <w:rPr>
          <w:rFonts w:hint="eastAsia" w:ascii="宋体" w:hAnsi="宋体" w:cs="宋体"/>
          <w:color w:val="000000"/>
          <w:sz w:val="24"/>
        </w:rPr>
        <w:t>　　本款第（4）项细化为：</w:t>
      </w:r>
    </w:p>
    <w:p w14:paraId="710999DF">
      <w:pPr>
        <w:spacing w:line="360" w:lineRule="auto"/>
        <w:rPr>
          <w:rFonts w:ascii="宋体" w:hAnsi="宋体" w:cs="宋体"/>
          <w:color w:val="000000"/>
          <w:sz w:val="24"/>
        </w:rPr>
      </w:pPr>
      <w:r>
        <w:rPr>
          <w:rFonts w:hint="eastAsia" w:ascii="宋体" w:hAnsi="宋体" w:cs="宋体"/>
          <w:color w:val="000000"/>
          <w:sz w:val="24"/>
        </w:rPr>
        <w:t>　　（4）在索赔事件影响结束后的28天内，承包人应向监理人递交最终索赔通知书，说明最终要求索赔的追加付款金额和（或）延长的计划工期，并附必要的记录和证明材料。</w:t>
      </w:r>
    </w:p>
    <w:p w14:paraId="4F7772A9">
      <w:pPr>
        <w:spacing w:line="360" w:lineRule="auto"/>
        <w:rPr>
          <w:rFonts w:ascii="宋体" w:hAnsi="宋体" w:cs="宋体"/>
          <w:b/>
          <w:color w:val="000000"/>
          <w:kern w:val="0"/>
          <w:sz w:val="24"/>
        </w:rPr>
      </w:pPr>
      <w:bookmarkStart w:id="415" w:name="_Toc514414371"/>
      <w:bookmarkStart w:id="416" w:name="_Toc15895"/>
      <w:bookmarkStart w:id="417" w:name="_Toc20814"/>
      <w:r>
        <w:rPr>
          <w:rFonts w:hint="eastAsia" w:ascii="宋体" w:hAnsi="宋体" w:cs="宋体"/>
          <w:b/>
          <w:color w:val="000000"/>
          <w:kern w:val="0"/>
          <w:sz w:val="24"/>
        </w:rPr>
        <w:t>23.2．承包人索赔处理程序</w:t>
      </w:r>
      <w:bookmarkEnd w:id="415"/>
      <w:bookmarkEnd w:id="416"/>
      <w:bookmarkEnd w:id="417"/>
    </w:p>
    <w:p w14:paraId="1DC6421E">
      <w:pPr>
        <w:spacing w:line="360" w:lineRule="auto"/>
        <w:rPr>
          <w:rFonts w:ascii="宋体" w:hAnsi="宋体" w:cs="宋体"/>
          <w:color w:val="000000"/>
          <w:sz w:val="24"/>
        </w:rPr>
      </w:pPr>
      <w:r>
        <w:rPr>
          <w:rFonts w:hint="eastAsia" w:ascii="宋体" w:hAnsi="宋体" w:cs="宋体"/>
          <w:color w:val="000000"/>
          <w:sz w:val="24"/>
        </w:rPr>
        <w:t>　　本款第（2）项细化为：</w:t>
      </w:r>
    </w:p>
    <w:p w14:paraId="4CE58C90">
      <w:pPr>
        <w:spacing w:line="360" w:lineRule="auto"/>
        <w:rPr>
          <w:rFonts w:ascii="宋体" w:hAnsi="宋体" w:cs="宋体"/>
          <w:color w:val="000000"/>
          <w:sz w:val="24"/>
        </w:rPr>
      </w:pPr>
      <w:r>
        <w:rPr>
          <w:rFonts w:hint="eastAsia" w:ascii="宋体" w:hAnsi="宋体" w:cs="宋体"/>
          <w:color w:val="000000"/>
          <w:sz w:val="24"/>
        </w:rPr>
        <w:t>　　（2）监理人应按第3.5款商定或确定追加的付款和（或）延长的计划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计划工期延长天数。</w:t>
      </w:r>
    </w:p>
    <w:p w14:paraId="53009113">
      <w:pPr>
        <w:spacing w:line="360" w:lineRule="auto"/>
        <w:rPr>
          <w:rFonts w:ascii="宋体" w:hAnsi="宋体" w:cs="宋体"/>
          <w:b/>
          <w:color w:val="000000"/>
          <w:kern w:val="0"/>
          <w:sz w:val="24"/>
        </w:rPr>
      </w:pPr>
      <w:bookmarkStart w:id="418" w:name="_Toc25034"/>
      <w:bookmarkStart w:id="419" w:name="_Toc514414372"/>
      <w:bookmarkStart w:id="420" w:name="_Toc32573"/>
      <w:r>
        <w:rPr>
          <w:rFonts w:hint="eastAsia" w:ascii="宋体" w:hAnsi="宋体" w:cs="宋体"/>
          <w:b/>
          <w:color w:val="000000"/>
          <w:kern w:val="0"/>
          <w:sz w:val="24"/>
        </w:rPr>
        <w:t>24．争议的解决</w:t>
      </w:r>
      <w:bookmarkEnd w:id="418"/>
      <w:bookmarkEnd w:id="419"/>
      <w:bookmarkEnd w:id="420"/>
    </w:p>
    <w:p w14:paraId="0E52EAC9">
      <w:pPr>
        <w:spacing w:line="360" w:lineRule="auto"/>
        <w:rPr>
          <w:rFonts w:ascii="宋体" w:hAnsi="宋体" w:cs="宋体"/>
          <w:b/>
          <w:color w:val="000000"/>
          <w:kern w:val="0"/>
          <w:sz w:val="24"/>
        </w:rPr>
      </w:pPr>
      <w:bookmarkStart w:id="421" w:name="_Toc30521"/>
      <w:bookmarkStart w:id="422" w:name="_Toc11103"/>
      <w:bookmarkStart w:id="423" w:name="_Toc514414373"/>
      <w:r>
        <w:rPr>
          <w:rFonts w:hint="eastAsia" w:ascii="宋体" w:hAnsi="宋体" w:cs="宋体"/>
          <w:b/>
          <w:color w:val="000000"/>
          <w:kern w:val="0"/>
          <w:sz w:val="24"/>
        </w:rPr>
        <w:t>24.3．争议评审</w:t>
      </w:r>
      <w:bookmarkEnd w:id="421"/>
      <w:bookmarkEnd w:id="422"/>
      <w:bookmarkEnd w:id="423"/>
    </w:p>
    <w:p w14:paraId="39090D38">
      <w:pPr>
        <w:spacing w:line="360" w:lineRule="auto"/>
        <w:rPr>
          <w:rFonts w:ascii="宋体" w:hAnsi="宋体" w:cs="宋体"/>
          <w:color w:val="000000"/>
          <w:sz w:val="24"/>
        </w:rPr>
      </w:pPr>
      <w:r>
        <w:rPr>
          <w:rFonts w:hint="eastAsia" w:ascii="宋体" w:hAnsi="宋体" w:cs="宋体"/>
          <w:color w:val="000000"/>
          <w:sz w:val="24"/>
        </w:rPr>
        <w:t>　　第24.3.1项补充：</w:t>
      </w:r>
    </w:p>
    <w:p w14:paraId="16037F6D">
      <w:pPr>
        <w:spacing w:line="360" w:lineRule="auto"/>
        <w:rPr>
          <w:rFonts w:ascii="宋体" w:hAnsi="宋体" w:cs="宋体"/>
          <w:color w:val="000000"/>
          <w:sz w:val="24"/>
        </w:rPr>
      </w:pPr>
      <w:r>
        <w:rPr>
          <w:rFonts w:hint="eastAsia" w:ascii="宋体" w:hAnsi="宋体" w:cs="宋体"/>
          <w:color w:val="000000"/>
          <w:sz w:val="24"/>
        </w:rPr>
        <w:t>　　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41F58AAF">
      <w:pPr>
        <w:spacing w:line="360" w:lineRule="auto"/>
        <w:rPr>
          <w:rFonts w:ascii="宋体" w:hAnsi="宋体" w:cs="宋体"/>
          <w:b/>
          <w:color w:val="000000"/>
          <w:sz w:val="24"/>
        </w:rPr>
      </w:pPr>
      <w:r>
        <w:rPr>
          <w:rFonts w:hint="eastAsia" w:ascii="宋体" w:hAnsi="宋体" w:cs="宋体"/>
          <w:b/>
          <w:color w:val="000000"/>
          <w:sz w:val="24"/>
        </w:rPr>
        <w:t>本条补充第24.4、第24.5款（适用于采用仲裁方式最终解决争议的项目）</w:t>
      </w:r>
    </w:p>
    <w:p w14:paraId="40B5170F">
      <w:pPr>
        <w:spacing w:line="360" w:lineRule="auto"/>
        <w:rPr>
          <w:rFonts w:ascii="宋体" w:hAnsi="宋体" w:cs="宋体"/>
          <w:b/>
          <w:color w:val="000000"/>
          <w:kern w:val="0"/>
          <w:sz w:val="24"/>
        </w:rPr>
      </w:pPr>
      <w:bookmarkStart w:id="424" w:name="_Toc15473"/>
      <w:bookmarkStart w:id="425" w:name="_Toc32110"/>
      <w:bookmarkStart w:id="426" w:name="_Toc514414374"/>
      <w:r>
        <w:rPr>
          <w:rFonts w:hint="eastAsia" w:ascii="宋体" w:hAnsi="宋体" w:cs="宋体"/>
          <w:b/>
          <w:color w:val="000000"/>
          <w:kern w:val="0"/>
          <w:sz w:val="24"/>
        </w:rPr>
        <w:t>24.4．仲裁</w:t>
      </w:r>
      <w:bookmarkEnd w:id="424"/>
      <w:bookmarkEnd w:id="425"/>
      <w:bookmarkEnd w:id="426"/>
    </w:p>
    <w:p w14:paraId="61F2FD2A">
      <w:pPr>
        <w:spacing w:line="360" w:lineRule="auto"/>
        <w:rPr>
          <w:rFonts w:ascii="宋体" w:hAnsi="宋体" w:cs="宋体"/>
          <w:color w:val="000000"/>
          <w:sz w:val="24"/>
        </w:rPr>
      </w:pPr>
      <w:r>
        <w:rPr>
          <w:rFonts w:hint="eastAsia" w:ascii="宋体" w:hAnsi="宋体" w:cs="宋体"/>
          <w:color w:val="000000"/>
          <w:sz w:val="24"/>
        </w:rPr>
        <w:t>　　（1）对于未能友好解决或未能通过争议评审解决的争议，发包人或承包人任一方均有权提交给第24.1款约定的仲裁委员会仲裁。</w:t>
      </w:r>
    </w:p>
    <w:p w14:paraId="6BC78A29">
      <w:pPr>
        <w:spacing w:line="360" w:lineRule="auto"/>
        <w:rPr>
          <w:rFonts w:ascii="宋体" w:hAnsi="宋体" w:cs="宋体"/>
          <w:color w:val="000000"/>
          <w:sz w:val="24"/>
        </w:rPr>
      </w:pPr>
      <w:r>
        <w:rPr>
          <w:rFonts w:hint="eastAsia" w:ascii="宋体" w:hAnsi="宋体" w:cs="宋体"/>
          <w:color w:val="000000"/>
          <w:sz w:val="24"/>
        </w:rPr>
        <w:t>　　（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5D8A1DA5">
      <w:pPr>
        <w:spacing w:line="360" w:lineRule="auto"/>
        <w:rPr>
          <w:rFonts w:ascii="宋体" w:hAnsi="宋体" w:cs="宋体"/>
          <w:color w:val="000000"/>
          <w:sz w:val="24"/>
        </w:rPr>
      </w:pPr>
      <w:r>
        <w:rPr>
          <w:rFonts w:hint="eastAsia" w:ascii="宋体" w:hAnsi="宋体" w:cs="宋体"/>
          <w:color w:val="000000"/>
          <w:sz w:val="24"/>
        </w:rPr>
        <w:t>　　（3）仲裁裁决是终局性的并对发包人和承包人双方具有约束力。</w:t>
      </w:r>
    </w:p>
    <w:p w14:paraId="0F2D5467">
      <w:pPr>
        <w:spacing w:line="360" w:lineRule="auto"/>
        <w:rPr>
          <w:rFonts w:ascii="宋体" w:hAnsi="宋体" w:cs="宋体"/>
          <w:color w:val="000000"/>
          <w:sz w:val="24"/>
        </w:rPr>
      </w:pPr>
      <w:r>
        <w:rPr>
          <w:rFonts w:hint="eastAsia" w:ascii="宋体" w:hAnsi="宋体" w:cs="宋体"/>
          <w:color w:val="000000"/>
          <w:sz w:val="24"/>
        </w:rPr>
        <w:t>　　（4）全部仲裁费用应由败诉方承担；或按仲裁委员会裁决的比例分担。</w:t>
      </w:r>
    </w:p>
    <w:p w14:paraId="482533D7">
      <w:pPr>
        <w:spacing w:line="360" w:lineRule="auto"/>
        <w:rPr>
          <w:rFonts w:ascii="宋体" w:hAnsi="宋体" w:cs="宋体"/>
          <w:b/>
          <w:color w:val="000000"/>
          <w:kern w:val="0"/>
          <w:sz w:val="24"/>
        </w:rPr>
      </w:pPr>
      <w:bookmarkStart w:id="427" w:name="_Toc514414375"/>
      <w:bookmarkStart w:id="428" w:name="_Toc25341"/>
      <w:bookmarkStart w:id="429" w:name="_Toc32519"/>
      <w:r>
        <w:rPr>
          <w:rFonts w:hint="eastAsia" w:ascii="宋体" w:hAnsi="宋体" w:cs="宋体"/>
          <w:b/>
          <w:color w:val="000000"/>
          <w:kern w:val="0"/>
          <w:sz w:val="24"/>
        </w:rPr>
        <w:t>24.5．仲裁的执行</w:t>
      </w:r>
      <w:bookmarkEnd w:id="427"/>
      <w:bookmarkEnd w:id="428"/>
      <w:bookmarkEnd w:id="429"/>
    </w:p>
    <w:p w14:paraId="442D8357">
      <w:pPr>
        <w:spacing w:line="360" w:lineRule="auto"/>
        <w:rPr>
          <w:rFonts w:ascii="宋体" w:hAnsi="宋体" w:cs="宋体"/>
          <w:color w:val="000000"/>
          <w:sz w:val="24"/>
        </w:rPr>
      </w:pPr>
      <w:r>
        <w:rPr>
          <w:rFonts w:hint="eastAsia" w:ascii="宋体" w:hAnsi="宋体" w:cs="宋体"/>
          <w:color w:val="000000"/>
          <w:sz w:val="24"/>
        </w:rPr>
        <w:t>　　（1）任何一方不履行仲裁机构的裁决的，对方可以向有管辖权的人民法院申请执行。</w:t>
      </w:r>
    </w:p>
    <w:p w14:paraId="07E9DC70">
      <w:pPr>
        <w:spacing w:line="360" w:lineRule="auto"/>
        <w:ind w:firstLine="480"/>
        <w:rPr>
          <w:rFonts w:ascii="宋体" w:hAnsi="宋体" w:cs="宋体"/>
          <w:color w:val="000000"/>
          <w:sz w:val="24"/>
        </w:rPr>
      </w:pPr>
      <w:r>
        <w:rPr>
          <w:rFonts w:hint="eastAsia" w:ascii="宋体" w:hAnsi="宋体" w:cs="宋体"/>
          <w:color w:val="000000"/>
          <w:sz w:val="24"/>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48B9DC4F">
      <w:pPr>
        <w:spacing w:line="360" w:lineRule="auto"/>
        <w:rPr>
          <w:rFonts w:ascii="宋体" w:hAnsi="宋体" w:cs="宋体"/>
          <w:color w:val="000000"/>
          <w:sz w:val="24"/>
        </w:rPr>
      </w:pPr>
    </w:p>
    <w:p w14:paraId="380A46F9">
      <w:pPr>
        <w:spacing w:line="360" w:lineRule="auto"/>
        <w:jc w:val="center"/>
        <w:rPr>
          <w:rFonts w:ascii="宋体" w:hAnsi="宋体"/>
          <w:b/>
          <w:color w:val="000000"/>
          <w:kern w:val="0"/>
          <w:sz w:val="24"/>
        </w:rPr>
      </w:pPr>
      <w:bookmarkStart w:id="430" w:name="_Toc24961"/>
      <w:r>
        <w:rPr>
          <w:rFonts w:ascii="宋体" w:hAnsi="宋体"/>
          <w:b/>
          <w:color w:val="000000"/>
          <w:kern w:val="0"/>
          <w:sz w:val="24"/>
        </w:rPr>
        <w:t>B</w:t>
      </w:r>
      <w:r>
        <w:rPr>
          <w:rFonts w:hint="eastAsia" w:ascii="宋体" w:hAnsi="宋体"/>
          <w:b/>
          <w:color w:val="000000"/>
          <w:kern w:val="0"/>
          <w:sz w:val="24"/>
        </w:rPr>
        <w:t>．项目专用合同条款</w:t>
      </w:r>
      <w:bookmarkEnd w:id="430"/>
    </w:p>
    <w:p w14:paraId="4BB08870">
      <w:pPr>
        <w:spacing w:line="360" w:lineRule="auto"/>
        <w:rPr>
          <w:rFonts w:ascii="宋体" w:hAnsi="宋体"/>
          <w:color w:val="000000"/>
          <w:sz w:val="24"/>
        </w:rPr>
      </w:pPr>
    </w:p>
    <w:p w14:paraId="08CA3BC8">
      <w:pPr>
        <w:spacing w:line="360" w:lineRule="auto"/>
        <w:rPr>
          <w:rFonts w:ascii="宋体" w:hAnsi="宋体" w:cs="宋体"/>
          <w:color w:val="000000"/>
          <w:sz w:val="24"/>
        </w:rPr>
      </w:pPr>
      <w:r>
        <w:rPr>
          <w:rFonts w:hint="eastAsia" w:ascii="宋体" w:hAnsi="宋体" w:cs="宋体"/>
          <w:color w:val="000000"/>
          <w:sz w:val="24"/>
        </w:rPr>
        <w:t>说明：</w:t>
      </w:r>
    </w:p>
    <w:p w14:paraId="23248814">
      <w:pPr>
        <w:spacing w:line="360" w:lineRule="auto"/>
        <w:rPr>
          <w:rFonts w:ascii="宋体" w:hAnsi="宋体" w:cs="宋体"/>
          <w:color w:val="000000"/>
          <w:sz w:val="24"/>
        </w:rPr>
      </w:pPr>
      <w:r>
        <w:rPr>
          <w:rFonts w:hint="eastAsia" w:ascii="宋体" w:hAnsi="宋体" w:cs="宋体"/>
          <w:color w:val="000000"/>
          <w:sz w:val="24"/>
        </w:rPr>
        <w:t>　　1.采购人在根据《公路工程标准施工招标文件》编制项目招标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73BED20C">
      <w:pPr>
        <w:spacing w:line="360" w:lineRule="auto"/>
        <w:rPr>
          <w:rFonts w:ascii="宋体" w:hAnsi="宋体" w:cs="宋体"/>
          <w:color w:val="000000"/>
          <w:sz w:val="24"/>
        </w:rPr>
      </w:pPr>
      <w:r>
        <w:rPr>
          <w:rFonts w:hint="eastAsia" w:ascii="宋体" w:hAnsi="宋体" w:cs="宋体"/>
          <w:color w:val="000000"/>
          <w:sz w:val="24"/>
        </w:rPr>
        <w:t>　　2.项目专用合同条款的编号应与通用合同条款和公路工程专用合同条款一致。</w:t>
      </w:r>
    </w:p>
    <w:p w14:paraId="4C269EAB">
      <w:pPr>
        <w:spacing w:line="360" w:lineRule="auto"/>
        <w:rPr>
          <w:rFonts w:ascii="宋体" w:hAnsi="宋体" w:cs="宋体"/>
          <w:color w:val="000000"/>
          <w:sz w:val="24"/>
        </w:rPr>
      </w:pPr>
      <w:r>
        <w:rPr>
          <w:rFonts w:hint="eastAsia" w:ascii="宋体" w:hAnsi="宋体" w:cs="宋体"/>
          <w:color w:val="000000"/>
          <w:sz w:val="24"/>
        </w:rPr>
        <w:t>　　3.项目专用合同条款可对下列内容进行补充和细化：</w:t>
      </w:r>
    </w:p>
    <w:p w14:paraId="01E4FF3B">
      <w:pPr>
        <w:spacing w:line="360" w:lineRule="auto"/>
        <w:rPr>
          <w:rFonts w:ascii="宋体" w:hAnsi="宋体" w:cs="宋体"/>
          <w:color w:val="000000"/>
          <w:sz w:val="24"/>
        </w:rPr>
      </w:pPr>
      <w:r>
        <w:rPr>
          <w:rFonts w:hint="eastAsia" w:ascii="宋体" w:hAnsi="宋体" w:cs="宋体"/>
          <w:color w:val="000000"/>
          <w:sz w:val="24"/>
        </w:rPr>
        <w:t>　　（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50A2B895">
      <w:pPr>
        <w:spacing w:line="360" w:lineRule="auto"/>
        <w:rPr>
          <w:rFonts w:ascii="宋体" w:hAnsi="宋体" w:cs="宋体"/>
          <w:color w:val="000000"/>
          <w:sz w:val="24"/>
        </w:rPr>
      </w:pPr>
      <w:r>
        <w:rPr>
          <w:rFonts w:hint="eastAsia" w:ascii="宋体" w:hAnsi="宋体" w:cs="宋体"/>
          <w:color w:val="000000"/>
          <w:sz w:val="24"/>
        </w:rPr>
        <w:t>　　（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079AA635">
      <w:pPr>
        <w:spacing w:line="360" w:lineRule="auto"/>
        <w:rPr>
          <w:rFonts w:ascii="宋体" w:hAnsi="宋体" w:cs="宋体"/>
          <w:color w:val="000000"/>
          <w:sz w:val="24"/>
        </w:rPr>
      </w:pPr>
      <w:r>
        <w:rPr>
          <w:rFonts w:hint="eastAsia" w:ascii="宋体" w:hAnsi="宋体" w:cs="宋体"/>
          <w:color w:val="000000"/>
          <w:sz w:val="24"/>
        </w:rPr>
        <w:t>　　（3）其他需要补充、细化的内容。</w:t>
      </w:r>
    </w:p>
    <w:p w14:paraId="1B4F2F87">
      <w:pPr>
        <w:spacing w:line="360" w:lineRule="auto"/>
        <w:jc w:val="center"/>
        <w:rPr>
          <w:rFonts w:ascii="宋体" w:hAnsi="宋体"/>
          <w:b/>
          <w:color w:val="000000"/>
          <w:kern w:val="0"/>
          <w:sz w:val="24"/>
        </w:rPr>
      </w:pPr>
      <w:bookmarkStart w:id="431" w:name="_Toc22637"/>
      <w:bookmarkStart w:id="432" w:name="_Toc514414377"/>
      <w:r>
        <w:rPr>
          <w:rFonts w:hint="eastAsia" w:ascii="宋体" w:hAnsi="宋体"/>
          <w:b/>
          <w:color w:val="000000"/>
          <w:kern w:val="0"/>
          <w:sz w:val="24"/>
        </w:rPr>
        <w:t>项目专用合同条款数据表</w:t>
      </w:r>
      <w:bookmarkEnd w:id="431"/>
      <w:bookmarkEnd w:id="432"/>
    </w:p>
    <w:p w14:paraId="4E31187A">
      <w:pPr>
        <w:spacing w:line="360" w:lineRule="auto"/>
        <w:ind w:firstLine="480" w:firstLineChars="200"/>
        <w:rPr>
          <w:rFonts w:ascii="宋体" w:hAnsi="宋体"/>
          <w:color w:val="000000"/>
          <w:sz w:val="24"/>
        </w:rPr>
      </w:pPr>
      <w:r>
        <w:rPr>
          <w:rFonts w:hint="eastAsia" w:ascii="宋体" w:hAnsi="宋体"/>
          <w:color w:val="000000"/>
          <w:sz w:val="24"/>
        </w:rPr>
        <w:t>说明：本数据表是项目专用合同条款中适用于本项目的信息和数据的归纳与提示，是项目专用合同条款的组成部分。第九章</w:t>
      </w:r>
      <w:r>
        <w:rPr>
          <w:rFonts w:ascii="宋体" w:hAnsi="宋体"/>
          <w:color w:val="000000"/>
          <w:sz w:val="24"/>
        </w:rPr>
        <w:t>“</w:t>
      </w:r>
      <w:r>
        <w:rPr>
          <w:rFonts w:hint="eastAsia" w:ascii="宋体" w:hAnsi="宋体"/>
          <w:color w:val="000000"/>
          <w:sz w:val="24"/>
        </w:rPr>
        <w:t>投标文件格式</w:t>
      </w:r>
      <w:r>
        <w:rPr>
          <w:rFonts w:ascii="宋体" w:hAnsi="宋体"/>
          <w:color w:val="000000"/>
          <w:sz w:val="24"/>
        </w:rPr>
        <w:t>”</w:t>
      </w:r>
      <w:r>
        <w:rPr>
          <w:rFonts w:hint="eastAsia" w:ascii="宋体" w:hAnsi="宋体"/>
          <w:color w:val="000000"/>
          <w:sz w:val="24"/>
        </w:rPr>
        <w:t>的投标函附录中的数据（供投标人确认）与本表所列有重复。编写招标文件的单位应仔细校核，不使数据出现差错或不一致。</w:t>
      </w:r>
    </w:p>
    <w:tbl>
      <w:tblPr>
        <w:tblStyle w:val="11"/>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134"/>
        <w:gridCol w:w="7443"/>
      </w:tblGrid>
      <w:tr w14:paraId="7BAA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2" w:type="dxa"/>
            <w:noWrap/>
            <w:vAlign w:val="center"/>
          </w:tcPr>
          <w:p w14:paraId="1869BAC7">
            <w:pPr>
              <w:spacing w:line="360" w:lineRule="auto"/>
              <w:jc w:val="center"/>
              <w:rPr>
                <w:rFonts w:ascii="宋体" w:hAnsi="宋体" w:cs="宋体"/>
                <w:b/>
                <w:color w:val="000000"/>
                <w:sz w:val="24"/>
              </w:rPr>
            </w:pPr>
            <w:r>
              <w:rPr>
                <w:rFonts w:hint="eastAsia" w:ascii="宋体" w:hAnsi="宋体" w:cs="宋体"/>
                <w:b/>
                <w:color w:val="000000"/>
                <w:sz w:val="24"/>
              </w:rPr>
              <w:t>序号</w:t>
            </w:r>
          </w:p>
        </w:tc>
        <w:tc>
          <w:tcPr>
            <w:tcW w:w="1134" w:type="dxa"/>
            <w:noWrap/>
            <w:vAlign w:val="center"/>
          </w:tcPr>
          <w:p w14:paraId="7442B53F">
            <w:pPr>
              <w:spacing w:line="360" w:lineRule="auto"/>
              <w:rPr>
                <w:rFonts w:ascii="宋体" w:hAnsi="宋体" w:cs="宋体"/>
                <w:b/>
                <w:color w:val="000000"/>
                <w:sz w:val="24"/>
              </w:rPr>
            </w:pPr>
            <w:r>
              <w:rPr>
                <w:rFonts w:hint="eastAsia" w:ascii="宋体" w:hAnsi="宋体" w:cs="宋体"/>
                <w:b/>
                <w:color w:val="000000"/>
                <w:sz w:val="24"/>
              </w:rPr>
              <w:t>条目号</w:t>
            </w:r>
          </w:p>
        </w:tc>
        <w:tc>
          <w:tcPr>
            <w:tcW w:w="7443" w:type="dxa"/>
            <w:noWrap/>
            <w:vAlign w:val="center"/>
          </w:tcPr>
          <w:p w14:paraId="7837E96F">
            <w:pPr>
              <w:spacing w:line="360" w:lineRule="auto"/>
              <w:rPr>
                <w:rFonts w:ascii="宋体" w:hAnsi="宋体" w:cs="宋体"/>
                <w:b/>
                <w:color w:val="000000"/>
                <w:sz w:val="24"/>
              </w:rPr>
            </w:pPr>
            <w:r>
              <w:rPr>
                <w:rFonts w:hint="eastAsia" w:ascii="宋体" w:hAnsi="宋体" w:cs="宋体"/>
                <w:b/>
                <w:color w:val="000000"/>
                <w:sz w:val="24"/>
              </w:rPr>
              <w:t>信息或数据</w:t>
            </w:r>
          </w:p>
        </w:tc>
      </w:tr>
      <w:tr w14:paraId="422E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3E74C0CA">
            <w:pPr>
              <w:spacing w:line="360" w:lineRule="auto"/>
              <w:jc w:val="center"/>
              <w:rPr>
                <w:rFonts w:ascii="宋体" w:hAnsi="宋体" w:cs="宋体"/>
                <w:color w:val="000000"/>
                <w:sz w:val="24"/>
              </w:rPr>
            </w:pPr>
            <w:r>
              <w:rPr>
                <w:rFonts w:hint="eastAsia" w:ascii="宋体" w:hAnsi="宋体" w:cs="宋体"/>
                <w:color w:val="000000"/>
                <w:sz w:val="24"/>
              </w:rPr>
              <w:t>1</w:t>
            </w:r>
          </w:p>
        </w:tc>
        <w:tc>
          <w:tcPr>
            <w:tcW w:w="1134" w:type="dxa"/>
            <w:noWrap/>
            <w:vAlign w:val="center"/>
          </w:tcPr>
          <w:p w14:paraId="03681E4A">
            <w:pPr>
              <w:spacing w:line="360" w:lineRule="auto"/>
              <w:rPr>
                <w:rFonts w:ascii="宋体" w:hAnsi="宋体" w:cs="宋体"/>
                <w:color w:val="000000"/>
                <w:sz w:val="24"/>
              </w:rPr>
            </w:pPr>
            <w:r>
              <w:rPr>
                <w:rFonts w:hint="eastAsia" w:ascii="宋体" w:hAnsi="宋体" w:cs="宋体"/>
                <w:color w:val="000000"/>
                <w:sz w:val="24"/>
              </w:rPr>
              <w:t>1.1.2.2</w:t>
            </w:r>
          </w:p>
        </w:tc>
        <w:tc>
          <w:tcPr>
            <w:tcW w:w="7443" w:type="dxa"/>
            <w:noWrap/>
            <w:vAlign w:val="center"/>
          </w:tcPr>
          <w:p w14:paraId="11AB13A4">
            <w:pPr>
              <w:spacing w:line="360" w:lineRule="auto"/>
              <w:rPr>
                <w:rFonts w:ascii="宋体" w:hAnsi="宋体" w:cs="宋体"/>
                <w:color w:val="000000"/>
                <w:sz w:val="24"/>
              </w:rPr>
            </w:pPr>
            <w:r>
              <w:rPr>
                <w:rFonts w:hint="eastAsia" w:ascii="宋体" w:hAnsi="宋体" w:cs="宋体"/>
                <w:color w:val="000000"/>
                <w:sz w:val="24"/>
              </w:rPr>
              <w:t xml:space="preserve">发包人： </w:t>
            </w:r>
          </w:p>
          <w:p w14:paraId="134FCCF8">
            <w:pPr>
              <w:spacing w:line="360" w:lineRule="auto"/>
              <w:rPr>
                <w:rFonts w:ascii="宋体" w:hAnsi="宋体" w:cs="宋体"/>
                <w:color w:val="000000"/>
                <w:sz w:val="24"/>
              </w:rPr>
            </w:pPr>
            <w:r>
              <w:rPr>
                <w:rFonts w:hint="eastAsia" w:ascii="宋体" w:hAnsi="宋体" w:cs="宋体"/>
                <w:color w:val="000000"/>
                <w:sz w:val="24"/>
              </w:rPr>
              <w:t>地　址：                         邮政编码：</w:t>
            </w:r>
          </w:p>
        </w:tc>
      </w:tr>
      <w:tr w14:paraId="77B2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6CDDCD6D">
            <w:pPr>
              <w:spacing w:line="360" w:lineRule="auto"/>
              <w:jc w:val="center"/>
              <w:rPr>
                <w:rFonts w:ascii="宋体" w:hAnsi="宋体" w:cs="宋体"/>
                <w:color w:val="000000"/>
                <w:sz w:val="24"/>
              </w:rPr>
            </w:pPr>
            <w:r>
              <w:rPr>
                <w:rFonts w:hint="eastAsia" w:ascii="宋体" w:hAnsi="宋体" w:cs="宋体"/>
                <w:color w:val="000000"/>
                <w:sz w:val="24"/>
              </w:rPr>
              <w:t>2</w:t>
            </w:r>
          </w:p>
        </w:tc>
        <w:tc>
          <w:tcPr>
            <w:tcW w:w="1134" w:type="dxa"/>
            <w:noWrap/>
            <w:vAlign w:val="center"/>
          </w:tcPr>
          <w:p w14:paraId="61416048">
            <w:pPr>
              <w:spacing w:line="360" w:lineRule="auto"/>
              <w:rPr>
                <w:rFonts w:ascii="宋体" w:hAnsi="宋体" w:cs="宋体"/>
                <w:color w:val="000000"/>
                <w:sz w:val="24"/>
              </w:rPr>
            </w:pPr>
            <w:r>
              <w:rPr>
                <w:rFonts w:hint="eastAsia" w:ascii="宋体" w:hAnsi="宋体" w:cs="宋体"/>
                <w:color w:val="000000"/>
                <w:sz w:val="24"/>
              </w:rPr>
              <w:t>1.1.2.6</w:t>
            </w:r>
          </w:p>
        </w:tc>
        <w:tc>
          <w:tcPr>
            <w:tcW w:w="7443" w:type="dxa"/>
            <w:noWrap/>
            <w:vAlign w:val="center"/>
          </w:tcPr>
          <w:p w14:paraId="37859734">
            <w:pPr>
              <w:spacing w:line="360" w:lineRule="auto"/>
              <w:rPr>
                <w:rFonts w:ascii="宋体" w:hAnsi="宋体" w:cs="宋体"/>
                <w:color w:val="000000"/>
                <w:sz w:val="24"/>
              </w:rPr>
            </w:pPr>
            <w:r>
              <w:rPr>
                <w:rFonts w:hint="eastAsia" w:ascii="宋体" w:hAnsi="宋体" w:cs="宋体"/>
                <w:color w:val="000000"/>
                <w:sz w:val="24"/>
              </w:rPr>
              <w:t xml:space="preserve">监理人： </w:t>
            </w:r>
          </w:p>
          <w:p w14:paraId="2699DF4B">
            <w:pPr>
              <w:spacing w:line="360" w:lineRule="auto"/>
              <w:rPr>
                <w:rFonts w:ascii="宋体" w:hAnsi="宋体" w:cs="宋体"/>
                <w:color w:val="000000"/>
                <w:sz w:val="24"/>
              </w:rPr>
            </w:pPr>
            <w:r>
              <w:rPr>
                <w:rFonts w:hint="eastAsia" w:ascii="宋体" w:hAnsi="宋体" w:cs="宋体"/>
                <w:color w:val="000000"/>
                <w:sz w:val="24"/>
              </w:rPr>
              <w:t>地　址：                         邮政编码：</w:t>
            </w:r>
          </w:p>
        </w:tc>
      </w:tr>
      <w:tr w14:paraId="52E2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415717E7">
            <w:pPr>
              <w:spacing w:line="360" w:lineRule="auto"/>
              <w:jc w:val="center"/>
              <w:rPr>
                <w:rFonts w:ascii="宋体" w:hAnsi="宋体" w:cs="宋体"/>
                <w:color w:val="000000"/>
                <w:sz w:val="24"/>
              </w:rPr>
            </w:pPr>
            <w:r>
              <w:rPr>
                <w:rFonts w:hint="eastAsia" w:ascii="宋体" w:hAnsi="宋体" w:cs="宋体"/>
                <w:color w:val="000000"/>
                <w:sz w:val="24"/>
              </w:rPr>
              <w:t>3</w:t>
            </w:r>
          </w:p>
        </w:tc>
        <w:tc>
          <w:tcPr>
            <w:tcW w:w="1134" w:type="dxa"/>
            <w:noWrap/>
            <w:vAlign w:val="center"/>
          </w:tcPr>
          <w:p w14:paraId="08F7BF42">
            <w:pPr>
              <w:spacing w:line="360" w:lineRule="auto"/>
              <w:rPr>
                <w:rFonts w:ascii="宋体" w:hAnsi="宋体" w:cs="宋体"/>
                <w:color w:val="000000"/>
                <w:sz w:val="24"/>
              </w:rPr>
            </w:pPr>
            <w:r>
              <w:rPr>
                <w:rFonts w:hint="eastAsia" w:ascii="宋体" w:hAnsi="宋体" w:cs="宋体"/>
                <w:color w:val="000000"/>
                <w:sz w:val="24"/>
              </w:rPr>
              <w:t>1.1.4.5</w:t>
            </w:r>
          </w:p>
        </w:tc>
        <w:tc>
          <w:tcPr>
            <w:tcW w:w="7443" w:type="dxa"/>
            <w:noWrap/>
            <w:vAlign w:val="center"/>
          </w:tcPr>
          <w:p w14:paraId="7E1162D6">
            <w:pPr>
              <w:spacing w:line="360" w:lineRule="auto"/>
              <w:rPr>
                <w:rFonts w:ascii="宋体" w:hAnsi="宋体" w:cs="宋体"/>
                <w:color w:val="000000"/>
                <w:sz w:val="24"/>
              </w:rPr>
            </w:pPr>
            <w:r>
              <w:rPr>
                <w:rFonts w:hint="eastAsia" w:ascii="宋体" w:hAnsi="宋体" w:cs="宋体"/>
                <w:color w:val="000000"/>
                <w:sz w:val="24"/>
              </w:rPr>
              <w:t>缺陷责任期：</w:t>
            </w:r>
            <w:r>
              <w:rPr>
                <w:rFonts w:hint="eastAsia" w:ascii="宋体" w:hAnsi="宋体" w:cs="宋体"/>
                <w:b/>
                <w:color w:val="000000"/>
                <w:sz w:val="24"/>
              </w:rPr>
              <w:t>自实际交工日期起计算</w:t>
            </w:r>
            <w:r>
              <w:rPr>
                <w:rFonts w:hint="eastAsia" w:ascii="宋体" w:hAnsi="宋体" w:cs="宋体"/>
                <w:b/>
                <w:color w:val="000000"/>
                <w:sz w:val="24"/>
                <w:u w:val="single"/>
              </w:rPr>
              <w:t xml:space="preserve">　2  </w:t>
            </w:r>
            <w:r>
              <w:rPr>
                <w:rFonts w:hint="eastAsia" w:ascii="宋体" w:hAnsi="宋体" w:cs="宋体"/>
                <w:b/>
                <w:color w:val="000000"/>
                <w:sz w:val="24"/>
              </w:rPr>
              <w:t>年</w:t>
            </w:r>
          </w:p>
        </w:tc>
      </w:tr>
      <w:tr w14:paraId="3B92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12E37CE1">
            <w:pPr>
              <w:spacing w:line="360" w:lineRule="auto"/>
              <w:jc w:val="center"/>
              <w:rPr>
                <w:rFonts w:ascii="宋体" w:hAnsi="宋体" w:cs="宋体"/>
                <w:color w:val="000000"/>
                <w:sz w:val="24"/>
              </w:rPr>
            </w:pPr>
            <w:r>
              <w:rPr>
                <w:rFonts w:hint="eastAsia" w:ascii="宋体" w:hAnsi="宋体" w:cs="宋体"/>
                <w:color w:val="000000"/>
                <w:sz w:val="24"/>
              </w:rPr>
              <w:t>4</w:t>
            </w:r>
          </w:p>
        </w:tc>
        <w:tc>
          <w:tcPr>
            <w:tcW w:w="1134" w:type="dxa"/>
            <w:noWrap/>
            <w:vAlign w:val="center"/>
          </w:tcPr>
          <w:p w14:paraId="0FCA1899">
            <w:pPr>
              <w:spacing w:line="360" w:lineRule="auto"/>
              <w:rPr>
                <w:rFonts w:ascii="宋体" w:hAnsi="宋体" w:cs="宋体"/>
                <w:color w:val="000000"/>
                <w:sz w:val="24"/>
              </w:rPr>
            </w:pPr>
            <w:r>
              <w:rPr>
                <w:rFonts w:hint="eastAsia" w:ascii="宋体" w:hAnsi="宋体" w:cs="宋体"/>
                <w:color w:val="000000"/>
                <w:sz w:val="24"/>
              </w:rPr>
              <w:t>1.6.3</w:t>
            </w:r>
          </w:p>
        </w:tc>
        <w:tc>
          <w:tcPr>
            <w:tcW w:w="7443" w:type="dxa"/>
            <w:noWrap/>
            <w:vAlign w:val="center"/>
          </w:tcPr>
          <w:p w14:paraId="329A7474">
            <w:pPr>
              <w:spacing w:line="360" w:lineRule="auto"/>
              <w:rPr>
                <w:rFonts w:ascii="宋体" w:hAnsi="宋体" w:cs="宋体"/>
                <w:color w:val="000000"/>
                <w:sz w:val="24"/>
              </w:rPr>
            </w:pPr>
            <w:r>
              <w:rPr>
                <w:rFonts w:hint="eastAsia" w:ascii="宋体" w:hAnsi="宋体" w:cs="宋体"/>
                <w:color w:val="000000"/>
                <w:sz w:val="24"/>
              </w:rPr>
              <w:t>图纸需要修改和补充的，应由监理人取得发包人同意后，在该工程或工程相应部位施工前</w:t>
            </w:r>
            <w:r>
              <w:rPr>
                <w:rFonts w:hint="eastAsia" w:ascii="宋体" w:hAnsi="宋体" w:cs="宋体"/>
                <w:color w:val="000000"/>
                <w:sz w:val="24"/>
                <w:u w:val="single"/>
              </w:rPr>
              <w:t>　7　</w:t>
            </w:r>
            <w:r>
              <w:rPr>
                <w:rFonts w:hint="eastAsia" w:ascii="宋体" w:hAnsi="宋体" w:cs="宋体"/>
                <w:color w:val="000000"/>
                <w:sz w:val="24"/>
              </w:rPr>
              <w:t>天签发图纸修改图给承包人</w:t>
            </w:r>
          </w:p>
        </w:tc>
      </w:tr>
      <w:tr w14:paraId="080AA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21D27989">
            <w:pPr>
              <w:spacing w:line="360" w:lineRule="auto"/>
              <w:jc w:val="center"/>
              <w:rPr>
                <w:rFonts w:ascii="宋体" w:hAnsi="宋体" w:cs="宋体"/>
                <w:color w:val="000000"/>
                <w:sz w:val="24"/>
              </w:rPr>
            </w:pPr>
            <w:r>
              <w:rPr>
                <w:rFonts w:hint="eastAsia" w:ascii="宋体" w:hAnsi="宋体" w:cs="宋体"/>
                <w:color w:val="000000"/>
                <w:sz w:val="24"/>
              </w:rPr>
              <w:t>5</w:t>
            </w:r>
          </w:p>
        </w:tc>
        <w:tc>
          <w:tcPr>
            <w:tcW w:w="1134" w:type="dxa"/>
            <w:noWrap/>
            <w:vAlign w:val="center"/>
          </w:tcPr>
          <w:p w14:paraId="0216730C">
            <w:pPr>
              <w:spacing w:line="360" w:lineRule="auto"/>
              <w:rPr>
                <w:rFonts w:ascii="宋体" w:hAnsi="宋体" w:cs="宋体"/>
                <w:color w:val="000000"/>
                <w:sz w:val="24"/>
              </w:rPr>
            </w:pPr>
            <w:r>
              <w:rPr>
                <w:rFonts w:hint="eastAsia" w:ascii="宋体" w:hAnsi="宋体" w:cs="宋体"/>
                <w:color w:val="000000"/>
                <w:sz w:val="24"/>
              </w:rPr>
              <w:t>3.1.1</w:t>
            </w:r>
          </w:p>
        </w:tc>
        <w:tc>
          <w:tcPr>
            <w:tcW w:w="7443" w:type="dxa"/>
            <w:noWrap/>
            <w:vAlign w:val="center"/>
          </w:tcPr>
          <w:p w14:paraId="6EBC594D">
            <w:pPr>
              <w:spacing w:line="360" w:lineRule="auto"/>
              <w:rPr>
                <w:rFonts w:ascii="宋体" w:hAnsi="宋体" w:cs="宋体"/>
                <w:color w:val="000000"/>
                <w:sz w:val="24"/>
              </w:rPr>
            </w:pPr>
            <w:r>
              <w:rPr>
                <w:rFonts w:hint="eastAsia" w:ascii="宋体" w:hAnsi="宋体" w:cs="宋体"/>
                <w:color w:val="000000"/>
                <w:sz w:val="24"/>
              </w:rPr>
              <w:t>所有的变更必须得到业主的审核及批准</w:t>
            </w:r>
          </w:p>
        </w:tc>
      </w:tr>
      <w:tr w14:paraId="67510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3573A58D">
            <w:pPr>
              <w:spacing w:line="360" w:lineRule="auto"/>
              <w:jc w:val="center"/>
              <w:rPr>
                <w:rFonts w:ascii="宋体" w:hAnsi="宋体" w:cs="宋体"/>
                <w:color w:val="000000"/>
                <w:sz w:val="24"/>
              </w:rPr>
            </w:pPr>
            <w:r>
              <w:rPr>
                <w:rFonts w:hint="eastAsia" w:ascii="宋体" w:hAnsi="宋体" w:cs="宋体"/>
                <w:color w:val="000000"/>
                <w:sz w:val="24"/>
              </w:rPr>
              <w:t>6</w:t>
            </w:r>
          </w:p>
        </w:tc>
        <w:tc>
          <w:tcPr>
            <w:tcW w:w="1134" w:type="dxa"/>
            <w:noWrap/>
            <w:vAlign w:val="center"/>
          </w:tcPr>
          <w:p w14:paraId="501498A6">
            <w:pPr>
              <w:spacing w:line="360" w:lineRule="auto"/>
              <w:rPr>
                <w:rFonts w:ascii="宋体" w:hAnsi="宋体" w:cs="宋体"/>
                <w:color w:val="000000"/>
                <w:sz w:val="24"/>
              </w:rPr>
            </w:pPr>
            <w:r>
              <w:rPr>
                <w:rFonts w:hint="eastAsia" w:ascii="宋体" w:hAnsi="宋体" w:cs="宋体"/>
                <w:color w:val="000000"/>
                <w:sz w:val="24"/>
              </w:rPr>
              <w:t>5.2.1</w:t>
            </w:r>
          </w:p>
        </w:tc>
        <w:tc>
          <w:tcPr>
            <w:tcW w:w="7443" w:type="dxa"/>
            <w:noWrap/>
            <w:vAlign w:val="center"/>
          </w:tcPr>
          <w:p w14:paraId="6E3E14FE">
            <w:pPr>
              <w:spacing w:line="360" w:lineRule="auto"/>
              <w:rPr>
                <w:rFonts w:ascii="宋体" w:hAnsi="宋体" w:cs="宋体"/>
                <w:color w:val="000000"/>
                <w:sz w:val="24"/>
              </w:rPr>
            </w:pPr>
            <w:r>
              <w:rPr>
                <w:rFonts w:hint="eastAsia" w:ascii="宋体" w:hAnsi="宋体" w:cs="宋体"/>
                <w:color w:val="000000"/>
                <w:sz w:val="24"/>
              </w:rPr>
              <w:t>发包人是否提供材料或工程设备：</w:t>
            </w:r>
            <w:r>
              <w:rPr>
                <w:rFonts w:hint="eastAsia" w:ascii="宋体" w:hAnsi="宋体" w:cs="宋体"/>
                <w:color w:val="000000"/>
                <w:sz w:val="24"/>
                <w:u w:val="single"/>
              </w:rPr>
              <w:t>否</w:t>
            </w:r>
          </w:p>
          <w:p w14:paraId="45D723E1">
            <w:pPr>
              <w:spacing w:line="360" w:lineRule="auto"/>
              <w:rPr>
                <w:rFonts w:ascii="宋体" w:hAnsi="宋体" w:cs="宋体"/>
                <w:color w:val="000000"/>
                <w:sz w:val="24"/>
              </w:rPr>
            </w:pPr>
            <w:r>
              <w:rPr>
                <w:rFonts w:hint="eastAsia" w:ascii="宋体" w:hAnsi="宋体" w:cs="宋体"/>
                <w:color w:val="000000"/>
                <w:sz w:val="24"/>
              </w:rPr>
              <w:t>如发包人负责提供部分材料或工程设备，相关规定如下：</w:t>
            </w:r>
            <w:r>
              <w:rPr>
                <w:rFonts w:hint="eastAsia" w:ascii="宋体" w:hAnsi="宋体" w:cs="宋体"/>
                <w:color w:val="000000"/>
                <w:sz w:val="24"/>
                <w:u w:val="single"/>
              </w:rPr>
              <w:t>　/　</w:t>
            </w:r>
          </w:p>
        </w:tc>
      </w:tr>
      <w:tr w14:paraId="2499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034B7A77">
            <w:pPr>
              <w:spacing w:line="360" w:lineRule="auto"/>
              <w:jc w:val="center"/>
              <w:rPr>
                <w:rFonts w:ascii="宋体" w:hAnsi="宋体" w:cs="宋体"/>
                <w:color w:val="000000"/>
                <w:sz w:val="24"/>
              </w:rPr>
            </w:pPr>
            <w:r>
              <w:rPr>
                <w:rFonts w:hint="eastAsia" w:ascii="宋体" w:hAnsi="宋体" w:cs="宋体"/>
                <w:color w:val="000000"/>
                <w:sz w:val="24"/>
              </w:rPr>
              <w:t>7</w:t>
            </w:r>
          </w:p>
        </w:tc>
        <w:tc>
          <w:tcPr>
            <w:tcW w:w="1134" w:type="dxa"/>
            <w:noWrap/>
            <w:vAlign w:val="center"/>
          </w:tcPr>
          <w:p w14:paraId="2BD6C439">
            <w:pPr>
              <w:spacing w:line="360" w:lineRule="auto"/>
              <w:rPr>
                <w:rFonts w:ascii="宋体" w:hAnsi="宋体" w:cs="宋体"/>
                <w:color w:val="000000"/>
                <w:sz w:val="24"/>
              </w:rPr>
            </w:pPr>
            <w:r>
              <w:rPr>
                <w:rFonts w:hint="eastAsia" w:ascii="宋体" w:hAnsi="宋体" w:cs="宋体"/>
                <w:color w:val="000000"/>
                <w:sz w:val="24"/>
              </w:rPr>
              <w:t>6.2</w:t>
            </w:r>
          </w:p>
        </w:tc>
        <w:tc>
          <w:tcPr>
            <w:tcW w:w="7443" w:type="dxa"/>
            <w:noWrap/>
            <w:vAlign w:val="center"/>
          </w:tcPr>
          <w:p w14:paraId="42BB6927">
            <w:pPr>
              <w:spacing w:line="360" w:lineRule="auto"/>
              <w:rPr>
                <w:rFonts w:ascii="宋体" w:hAnsi="宋体" w:cs="宋体"/>
                <w:color w:val="000000"/>
                <w:sz w:val="24"/>
              </w:rPr>
            </w:pPr>
            <w:r>
              <w:rPr>
                <w:rFonts w:hint="eastAsia" w:ascii="宋体" w:hAnsi="宋体" w:cs="宋体"/>
                <w:color w:val="000000"/>
                <w:sz w:val="24"/>
              </w:rPr>
              <w:t>发包人是否提供施工设备和临时设施：</w:t>
            </w:r>
            <w:r>
              <w:rPr>
                <w:rFonts w:hint="eastAsia" w:ascii="宋体" w:hAnsi="宋体" w:cs="宋体"/>
                <w:color w:val="000000"/>
                <w:sz w:val="24"/>
                <w:u w:val="single"/>
              </w:rPr>
              <w:t>否</w:t>
            </w:r>
          </w:p>
          <w:p w14:paraId="0F978D47">
            <w:pPr>
              <w:spacing w:line="360" w:lineRule="auto"/>
              <w:rPr>
                <w:rFonts w:ascii="宋体" w:hAnsi="宋体" w:cs="宋体"/>
                <w:color w:val="000000"/>
                <w:sz w:val="24"/>
              </w:rPr>
            </w:pPr>
            <w:r>
              <w:rPr>
                <w:rFonts w:hint="eastAsia" w:ascii="宋体" w:hAnsi="宋体" w:cs="宋体"/>
                <w:color w:val="000000"/>
                <w:sz w:val="24"/>
              </w:rPr>
              <w:t>如发包人负责提供部分施工设备和临时设施，相关规定如下：</w:t>
            </w:r>
            <w:r>
              <w:rPr>
                <w:rFonts w:hint="eastAsia" w:ascii="宋体" w:hAnsi="宋体" w:cs="宋体"/>
                <w:color w:val="000000"/>
                <w:sz w:val="24"/>
                <w:u w:val="single"/>
              </w:rPr>
              <w:t>　/　</w:t>
            </w:r>
          </w:p>
        </w:tc>
      </w:tr>
      <w:tr w14:paraId="09A2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1E967D69">
            <w:pPr>
              <w:spacing w:line="360" w:lineRule="auto"/>
              <w:jc w:val="center"/>
              <w:rPr>
                <w:rFonts w:ascii="宋体" w:hAnsi="宋体" w:cs="宋体"/>
                <w:color w:val="000000"/>
                <w:sz w:val="24"/>
              </w:rPr>
            </w:pPr>
            <w:r>
              <w:rPr>
                <w:rFonts w:hint="eastAsia" w:ascii="宋体" w:hAnsi="宋体" w:cs="宋体"/>
                <w:color w:val="000000"/>
                <w:sz w:val="24"/>
              </w:rPr>
              <w:t>8</w:t>
            </w:r>
          </w:p>
        </w:tc>
        <w:tc>
          <w:tcPr>
            <w:tcW w:w="1134" w:type="dxa"/>
            <w:noWrap/>
            <w:vAlign w:val="center"/>
          </w:tcPr>
          <w:p w14:paraId="30C3EA5C">
            <w:pPr>
              <w:spacing w:line="360" w:lineRule="auto"/>
              <w:rPr>
                <w:rFonts w:ascii="宋体" w:hAnsi="宋体" w:cs="宋体"/>
                <w:color w:val="000000"/>
                <w:sz w:val="24"/>
              </w:rPr>
            </w:pPr>
            <w:r>
              <w:rPr>
                <w:rFonts w:hint="eastAsia" w:ascii="宋体" w:hAnsi="宋体" w:cs="宋体"/>
                <w:color w:val="000000"/>
                <w:sz w:val="24"/>
              </w:rPr>
              <w:t>8.1.1</w:t>
            </w:r>
          </w:p>
        </w:tc>
        <w:tc>
          <w:tcPr>
            <w:tcW w:w="7443" w:type="dxa"/>
            <w:noWrap/>
            <w:vAlign w:val="center"/>
          </w:tcPr>
          <w:p w14:paraId="7AF8A12A">
            <w:pPr>
              <w:spacing w:line="360" w:lineRule="auto"/>
              <w:rPr>
                <w:rFonts w:ascii="宋体" w:hAnsi="宋体" w:cs="宋体"/>
                <w:color w:val="000000"/>
                <w:sz w:val="24"/>
              </w:rPr>
            </w:pPr>
            <w:r>
              <w:rPr>
                <w:rFonts w:hint="eastAsia" w:ascii="宋体" w:hAnsi="宋体" w:cs="宋体"/>
                <w:color w:val="000000"/>
                <w:sz w:val="24"/>
              </w:rPr>
              <w:t>发包人提供测量基准点、基准线和水准点及其书面资料的期限：</w:t>
            </w:r>
            <w:r>
              <w:rPr>
                <w:rFonts w:hint="eastAsia" w:ascii="宋体" w:hAnsi="宋体" w:cs="宋体"/>
                <w:color w:val="000000"/>
                <w:sz w:val="24"/>
                <w:u w:val="single"/>
              </w:rPr>
              <w:t>　/　</w:t>
            </w:r>
          </w:p>
          <w:p w14:paraId="249B2E2E">
            <w:pPr>
              <w:spacing w:line="360" w:lineRule="auto"/>
              <w:rPr>
                <w:rFonts w:ascii="宋体" w:hAnsi="宋体" w:cs="宋体"/>
                <w:color w:val="000000"/>
                <w:sz w:val="24"/>
              </w:rPr>
            </w:pPr>
            <w:r>
              <w:rPr>
                <w:rFonts w:hint="eastAsia" w:ascii="宋体" w:hAnsi="宋体" w:cs="宋体"/>
                <w:color w:val="000000"/>
                <w:sz w:val="24"/>
              </w:rPr>
              <w:t>承包人将施工控制网资料报送监理人审批的期限：/</w:t>
            </w:r>
            <w:r>
              <w:rPr>
                <w:rFonts w:hint="eastAsia" w:ascii="宋体" w:hAnsi="宋体" w:cs="宋体"/>
                <w:color w:val="000000"/>
                <w:sz w:val="24"/>
                <w:u w:val="single"/>
              </w:rPr>
              <w:t>　　</w:t>
            </w:r>
          </w:p>
        </w:tc>
      </w:tr>
      <w:tr w14:paraId="1895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6DC4EF7C">
            <w:pPr>
              <w:spacing w:line="360" w:lineRule="auto"/>
              <w:jc w:val="center"/>
              <w:rPr>
                <w:rFonts w:ascii="宋体" w:hAnsi="宋体" w:cs="宋体"/>
                <w:color w:val="000000"/>
                <w:sz w:val="24"/>
              </w:rPr>
            </w:pPr>
            <w:r>
              <w:rPr>
                <w:rFonts w:hint="eastAsia" w:ascii="宋体" w:hAnsi="宋体" w:cs="宋体"/>
                <w:color w:val="000000"/>
                <w:sz w:val="24"/>
              </w:rPr>
              <w:t>9</w:t>
            </w:r>
          </w:p>
        </w:tc>
        <w:tc>
          <w:tcPr>
            <w:tcW w:w="1134" w:type="dxa"/>
            <w:noWrap/>
            <w:vAlign w:val="center"/>
          </w:tcPr>
          <w:p w14:paraId="76440E05">
            <w:pPr>
              <w:spacing w:line="360" w:lineRule="auto"/>
              <w:rPr>
                <w:rFonts w:ascii="宋体" w:hAnsi="宋体" w:cs="宋体"/>
                <w:color w:val="000000"/>
                <w:sz w:val="24"/>
              </w:rPr>
            </w:pPr>
            <w:r>
              <w:rPr>
                <w:rFonts w:hint="eastAsia" w:ascii="宋体" w:hAnsi="宋体" w:cs="宋体"/>
                <w:color w:val="000000"/>
                <w:sz w:val="24"/>
              </w:rPr>
              <w:t>11.5（3）</w:t>
            </w:r>
          </w:p>
        </w:tc>
        <w:tc>
          <w:tcPr>
            <w:tcW w:w="7443" w:type="dxa"/>
            <w:noWrap/>
            <w:vAlign w:val="center"/>
          </w:tcPr>
          <w:p w14:paraId="07461CCF">
            <w:pPr>
              <w:spacing w:line="360" w:lineRule="auto"/>
              <w:rPr>
                <w:rFonts w:ascii="宋体" w:hAnsi="宋体" w:cs="宋体"/>
                <w:color w:val="000000"/>
                <w:sz w:val="24"/>
              </w:rPr>
            </w:pPr>
            <w:r>
              <w:rPr>
                <w:rFonts w:hint="eastAsia" w:ascii="宋体" w:hAnsi="宋体" w:cs="宋体"/>
                <w:color w:val="000000"/>
                <w:sz w:val="24"/>
              </w:rPr>
              <w:t>逾期交工违约金：</w:t>
            </w:r>
            <w:r>
              <w:rPr>
                <w:rFonts w:hint="eastAsia" w:ascii="宋体" w:hAnsi="宋体" w:cs="宋体"/>
                <w:color w:val="000000"/>
                <w:sz w:val="24"/>
                <w:u w:val="single"/>
              </w:rPr>
              <w:t xml:space="preserve">  /  </w:t>
            </w:r>
            <w:r>
              <w:rPr>
                <w:rFonts w:hint="eastAsia" w:ascii="宋体" w:hAnsi="宋体" w:cs="宋体"/>
                <w:color w:val="000000"/>
                <w:sz w:val="24"/>
              </w:rPr>
              <w:t>元/天</w:t>
            </w:r>
          </w:p>
        </w:tc>
      </w:tr>
      <w:tr w14:paraId="744A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36DAA5A8">
            <w:pPr>
              <w:spacing w:line="360" w:lineRule="auto"/>
              <w:jc w:val="center"/>
              <w:rPr>
                <w:rFonts w:ascii="宋体" w:hAnsi="宋体" w:cs="宋体"/>
                <w:color w:val="000000"/>
                <w:sz w:val="24"/>
              </w:rPr>
            </w:pPr>
            <w:r>
              <w:rPr>
                <w:rFonts w:hint="eastAsia" w:ascii="宋体" w:hAnsi="宋体" w:cs="宋体"/>
                <w:color w:val="000000"/>
                <w:sz w:val="24"/>
              </w:rPr>
              <w:t>10</w:t>
            </w:r>
          </w:p>
        </w:tc>
        <w:tc>
          <w:tcPr>
            <w:tcW w:w="1134" w:type="dxa"/>
            <w:noWrap/>
            <w:vAlign w:val="center"/>
          </w:tcPr>
          <w:p w14:paraId="2D15A027">
            <w:pPr>
              <w:spacing w:line="360" w:lineRule="auto"/>
              <w:rPr>
                <w:rFonts w:ascii="宋体" w:hAnsi="宋体" w:cs="宋体"/>
                <w:color w:val="000000"/>
                <w:sz w:val="24"/>
              </w:rPr>
            </w:pPr>
            <w:r>
              <w:rPr>
                <w:rFonts w:hint="eastAsia" w:ascii="宋体" w:hAnsi="宋体" w:cs="宋体"/>
                <w:color w:val="000000"/>
                <w:sz w:val="24"/>
              </w:rPr>
              <w:t>11.5（3）</w:t>
            </w:r>
          </w:p>
        </w:tc>
        <w:tc>
          <w:tcPr>
            <w:tcW w:w="7443" w:type="dxa"/>
            <w:noWrap/>
            <w:vAlign w:val="center"/>
          </w:tcPr>
          <w:p w14:paraId="5310A063">
            <w:pPr>
              <w:spacing w:line="360" w:lineRule="auto"/>
              <w:rPr>
                <w:rFonts w:ascii="宋体" w:hAnsi="宋体" w:cs="宋体"/>
                <w:color w:val="000000"/>
                <w:sz w:val="24"/>
              </w:rPr>
            </w:pPr>
            <w:r>
              <w:rPr>
                <w:rFonts w:hint="eastAsia" w:ascii="宋体" w:hAnsi="宋体" w:cs="宋体"/>
                <w:color w:val="000000"/>
                <w:sz w:val="24"/>
              </w:rPr>
              <w:t>逾期交工违约金限额：</w:t>
            </w:r>
            <w:r>
              <w:rPr>
                <w:rFonts w:hint="eastAsia" w:ascii="宋体" w:hAnsi="宋体" w:cs="宋体"/>
                <w:color w:val="000000"/>
                <w:sz w:val="24"/>
                <w:u w:val="single"/>
              </w:rPr>
              <w:t>　 / 　</w:t>
            </w:r>
            <w:r>
              <w:rPr>
                <w:rFonts w:hint="eastAsia" w:ascii="宋体" w:hAnsi="宋体" w:cs="宋体"/>
                <w:color w:val="000000"/>
                <w:sz w:val="24"/>
              </w:rPr>
              <w:t>%签约合同价</w:t>
            </w:r>
          </w:p>
        </w:tc>
      </w:tr>
      <w:tr w14:paraId="3A40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6A5B5702">
            <w:pPr>
              <w:spacing w:line="360" w:lineRule="auto"/>
              <w:jc w:val="center"/>
              <w:rPr>
                <w:rFonts w:ascii="宋体" w:hAnsi="宋体" w:cs="宋体"/>
                <w:color w:val="000000"/>
                <w:sz w:val="24"/>
              </w:rPr>
            </w:pPr>
            <w:r>
              <w:rPr>
                <w:rFonts w:hint="eastAsia" w:ascii="宋体" w:hAnsi="宋体" w:cs="宋体"/>
                <w:color w:val="000000"/>
                <w:sz w:val="24"/>
              </w:rPr>
              <w:t>11</w:t>
            </w:r>
          </w:p>
        </w:tc>
        <w:tc>
          <w:tcPr>
            <w:tcW w:w="1134" w:type="dxa"/>
            <w:noWrap/>
            <w:vAlign w:val="center"/>
          </w:tcPr>
          <w:p w14:paraId="2E396ED6">
            <w:pPr>
              <w:spacing w:line="360" w:lineRule="auto"/>
              <w:rPr>
                <w:rFonts w:ascii="宋体" w:hAnsi="宋体" w:cs="宋体"/>
                <w:color w:val="000000"/>
                <w:sz w:val="24"/>
              </w:rPr>
            </w:pPr>
            <w:r>
              <w:rPr>
                <w:rFonts w:hint="eastAsia" w:ascii="宋体" w:hAnsi="宋体" w:cs="宋体"/>
                <w:color w:val="000000"/>
                <w:sz w:val="24"/>
              </w:rPr>
              <w:t>11.6</w:t>
            </w:r>
          </w:p>
        </w:tc>
        <w:tc>
          <w:tcPr>
            <w:tcW w:w="7443" w:type="dxa"/>
            <w:noWrap/>
            <w:vAlign w:val="center"/>
          </w:tcPr>
          <w:p w14:paraId="581D7C46">
            <w:pPr>
              <w:spacing w:line="360" w:lineRule="auto"/>
              <w:rPr>
                <w:rFonts w:ascii="宋体" w:hAnsi="宋体" w:cs="宋体"/>
                <w:color w:val="000000"/>
                <w:sz w:val="24"/>
              </w:rPr>
            </w:pPr>
            <w:r>
              <w:rPr>
                <w:rFonts w:hint="eastAsia" w:ascii="宋体" w:hAnsi="宋体" w:cs="宋体"/>
                <w:color w:val="000000"/>
                <w:sz w:val="24"/>
              </w:rPr>
              <w:t>提前交工的奖金：/元/天</w:t>
            </w:r>
          </w:p>
        </w:tc>
      </w:tr>
      <w:tr w14:paraId="6DD2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5817C021">
            <w:pPr>
              <w:spacing w:line="360" w:lineRule="auto"/>
              <w:jc w:val="center"/>
              <w:rPr>
                <w:rFonts w:ascii="宋体" w:hAnsi="宋体" w:cs="宋体"/>
                <w:color w:val="000000"/>
                <w:sz w:val="24"/>
              </w:rPr>
            </w:pPr>
            <w:r>
              <w:rPr>
                <w:rFonts w:hint="eastAsia" w:ascii="宋体" w:hAnsi="宋体" w:cs="宋体"/>
                <w:color w:val="000000"/>
                <w:sz w:val="24"/>
              </w:rPr>
              <w:t>12</w:t>
            </w:r>
          </w:p>
        </w:tc>
        <w:tc>
          <w:tcPr>
            <w:tcW w:w="1134" w:type="dxa"/>
            <w:noWrap/>
            <w:vAlign w:val="center"/>
          </w:tcPr>
          <w:p w14:paraId="58D11B10">
            <w:pPr>
              <w:spacing w:line="360" w:lineRule="auto"/>
              <w:rPr>
                <w:rFonts w:ascii="宋体" w:hAnsi="宋体" w:cs="宋体"/>
                <w:color w:val="000000"/>
                <w:sz w:val="24"/>
              </w:rPr>
            </w:pPr>
            <w:r>
              <w:rPr>
                <w:rFonts w:hint="eastAsia" w:ascii="宋体" w:hAnsi="宋体" w:cs="宋体"/>
                <w:color w:val="000000"/>
                <w:sz w:val="24"/>
              </w:rPr>
              <w:t>11.6</w:t>
            </w:r>
          </w:p>
        </w:tc>
        <w:tc>
          <w:tcPr>
            <w:tcW w:w="7443" w:type="dxa"/>
            <w:noWrap/>
            <w:vAlign w:val="center"/>
          </w:tcPr>
          <w:p w14:paraId="0AB4627B">
            <w:pPr>
              <w:spacing w:line="360" w:lineRule="auto"/>
              <w:rPr>
                <w:rFonts w:ascii="宋体" w:hAnsi="宋体" w:cs="宋体"/>
                <w:color w:val="000000"/>
                <w:sz w:val="24"/>
              </w:rPr>
            </w:pPr>
            <w:r>
              <w:rPr>
                <w:rFonts w:hint="eastAsia" w:ascii="宋体" w:hAnsi="宋体" w:cs="宋体"/>
                <w:color w:val="000000"/>
                <w:sz w:val="24"/>
              </w:rPr>
              <w:t>提前交工的奖金限额：不适用</w:t>
            </w:r>
          </w:p>
        </w:tc>
      </w:tr>
      <w:tr w14:paraId="33FB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1C70959F">
            <w:pPr>
              <w:spacing w:line="360" w:lineRule="auto"/>
              <w:jc w:val="center"/>
              <w:rPr>
                <w:rFonts w:ascii="宋体" w:hAnsi="宋体" w:cs="宋体"/>
                <w:color w:val="000000"/>
                <w:sz w:val="24"/>
              </w:rPr>
            </w:pPr>
            <w:r>
              <w:rPr>
                <w:rFonts w:hint="eastAsia" w:ascii="宋体" w:hAnsi="宋体" w:cs="宋体"/>
                <w:color w:val="000000"/>
                <w:sz w:val="24"/>
              </w:rPr>
              <w:t>13</w:t>
            </w:r>
          </w:p>
        </w:tc>
        <w:tc>
          <w:tcPr>
            <w:tcW w:w="1134" w:type="dxa"/>
            <w:noWrap/>
            <w:vAlign w:val="center"/>
          </w:tcPr>
          <w:p w14:paraId="5D8BD125">
            <w:pPr>
              <w:spacing w:line="360" w:lineRule="auto"/>
              <w:rPr>
                <w:rFonts w:ascii="宋体" w:hAnsi="宋体" w:cs="宋体"/>
                <w:color w:val="000000"/>
                <w:sz w:val="24"/>
              </w:rPr>
            </w:pPr>
            <w:r>
              <w:rPr>
                <w:rFonts w:hint="eastAsia" w:ascii="宋体" w:hAnsi="宋体" w:cs="宋体"/>
                <w:color w:val="000000"/>
                <w:sz w:val="24"/>
              </w:rPr>
              <w:t>15.5.2</w:t>
            </w:r>
          </w:p>
        </w:tc>
        <w:tc>
          <w:tcPr>
            <w:tcW w:w="7443" w:type="dxa"/>
            <w:noWrap/>
            <w:vAlign w:val="center"/>
          </w:tcPr>
          <w:p w14:paraId="0F3B3D86">
            <w:pPr>
              <w:spacing w:line="360" w:lineRule="auto"/>
              <w:rPr>
                <w:rFonts w:ascii="宋体" w:hAnsi="宋体" w:cs="宋体"/>
                <w:color w:val="000000"/>
                <w:sz w:val="24"/>
              </w:rPr>
            </w:pPr>
            <w:r>
              <w:rPr>
                <w:rFonts w:hint="eastAsia" w:ascii="宋体" w:hAnsi="宋体" w:cs="宋体"/>
                <w:color w:val="000000"/>
                <w:sz w:val="24"/>
              </w:rPr>
              <w:t>承包人提出的合理化建议降低了合同价格或者提高了工程经济效益的，发包人按所节约成本的</w:t>
            </w:r>
            <w:r>
              <w:rPr>
                <w:rFonts w:hint="eastAsia" w:ascii="宋体" w:hAnsi="宋体" w:cs="宋体"/>
                <w:color w:val="000000"/>
                <w:sz w:val="24"/>
                <w:u w:val="single"/>
              </w:rPr>
              <w:t xml:space="preserve">  /   </w:t>
            </w:r>
            <w:r>
              <w:rPr>
                <w:rFonts w:hint="eastAsia" w:ascii="宋体" w:hAnsi="宋体" w:cs="宋体"/>
                <w:color w:val="000000"/>
                <w:sz w:val="24"/>
              </w:rPr>
              <w:t>%或增加收益的</w:t>
            </w:r>
            <w:r>
              <w:rPr>
                <w:rFonts w:hint="eastAsia" w:ascii="宋体" w:hAnsi="宋体" w:cs="宋体"/>
                <w:color w:val="000000"/>
                <w:sz w:val="24"/>
                <w:u w:val="single"/>
              </w:rPr>
              <w:t>　  / 　</w:t>
            </w:r>
            <w:r>
              <w:rPr>
                <w:rFonts w:hint="eastAsia" w:ascii="宋体" w:hAnsi="宋体" w:cs="宋体"/>
                <w:color w:val="000000"/>
                <w:sz w:val="24"/>
              </w:rPr>
              <w:t>%给予奖励</w:t>
            </w:r>
          </w:p>
        </w:tc>
      </w:tr>
      <w:tr w14:paraId="3F00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6E36676C">
            <w:pPr>
              <w:spacing w:line="360" w:lineRule="auto"/>
              <w:jc w:val="center"/>
              <w:rPr>
                <w:rFonts w:ascii="宋体" w:hAnsi="宋体" w:cs="宋体"/>
                <w:color w:val="000000"/>
                <w:sz w:val="24"/>
              </w:rPr>
            </w:pPr>
            <w:r>
              <w:rPr>
                <w:rFonts w:hint="eastAsia" w:ascii="宋体" w:hAnsi="宋体" w:cs="宋体"/>
                <w:color w:val="000000"/>
                <w:sz w:val="24"/>
              </w:rPr>
              <w:t>14</w:t>
            </w:r>
          </w:p>
        </w:tc>
        <w:tc>
          <w:tcPr>
            <w:tcW w:w="1134" w:type="dxa"/>
            <w:noWrap/>
            <w:vAlign w:val="center"/>
          </w:tcPr>
          <w:p w14:paraId="0958F086">
            <w:pPr>
              <w:spacing w:line="360" w:lineRule="auto"/>
              <w:rPr>
                <w:rFonts w:ascii="宋体" w:hAnsi="宋体" w:cs="宋体"/>
                <w:color w:val="000000"/>
                <w:sz w:val="24"/>
              </w:rPr>
            </w:pPr>
            <w:r>
              <w:rPr>
                <w:rFonts w:hint="eastAsia" w:ascii="宋体" w:hAnsi="宋体" w:cs="宋体"/>
                <w:color w:val="000000"/>
                <w:sz w:val="24"/>
              </w:rPr>
              <w:t>16.1</w:t>
            </w:r>
          </w:p>
        </w:tc>
        <w:tc>
          <w:tcPr>
            <w:tcW w:w="7443" w:type="dxa"/>
            <w:noWrap/>
            <w:vAlign w:val="center"/>
          </w:tcPr>
          <w:p w14:paraId="0CC087A2">
            <w:pPr>
              <w:spacing w:line="360" w:lineRule="auto"/>
              <w:rPr>
                <w:rFonts w:ascii="宋体" w:hAnsi="宋体" w:cs="宋体"/>
                <w:color w:val="000000"/>
                <w:sz w:val="24"/>
              </w:rPr>
            </w:pPr>
            <w:r>
              <w:rPr>
                <w:rFonts w:hint="eastAsia" w:ascii="宋体" w:hAnsi="宋体" w:cs="宋体"/>
                <w:color w:val="000000"/>
                <w:sz w:val="24"/>
              </w:rPr>
              <w:t>按河南省交通运输厅豫交〔2011〕42号约定的原则处理。</w:t>
            </w:r>
          </w:p>
        </w:tc>
      </w:tr>
      <w:tr w14:paraId="3578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57784CD7">
            <w:pPr>
              <w:spacing w:line="360" w:lineRule="auto"/>
              <w:jc w:val="center"/>
              <w:rPr>
                <w:rFonts w:ascii="宋体" w:hAnsi="宋体" w:cs="宋体"/>
                <w:color w:val="000000"/>
                <w:sz w:val="24"/>
              </w:rPr>
            </w:pPr>
            <w:r>
              <w:rPr>
                <w:rFonts w:hint="eastAsia" w:ascii="宋体" w:hAnsi="宋体" w:cs="宋体"/>
                <w:color w:val="000000"/>
                <w:sz w:val="24"/>
              </w:rPr>
              <w:t>15</w:t>
            </w:r>
          </w:p>
        </w:tc>
        <w:tc>
          <w:tcPr>
            <w:tcW w:w="1134" w:type="dxa"/>
            <w:noWrap/>
            <w:vAlign w:val="center"/>
          </w:tcPr>
          <w:p w14:paraId="0EC3340B">
            <w:pPr>
              <w:spacing w:line="360" w:lineRule="auto"/>
              <w:rPr>
                <w:rFonts w:ascii="宋体" w:hAnsi="宋体" w:cs="宋体"/>
                <w:color w:val="000000"/>
                <w:sz w:val="24"/>
              </w:rPr>
            </w:pPr>
            <w:r>
              <w:rPr>
                <w:rFonts w:hint="eastAsia" w:ascii="宋体" w:hAnsi="宋体" w:cs="宋体"/>
                <w:color w:val="000000"/>
                <w:sz w:val="24"/>
              </w:rPr>
              <w:t>17.2.1（1）</w:t>
            </w:r>
          </w:p>
        </w:tc>
        <w:tc>
          <w:tcPr>
            <w:tcW w:w="7443" w:type="dxa"/>
            <w:noWrap/>
            <w:vAlign w:val="center"/>
          </w:tcPr>
          <w:p w14:paraId="28C648D1">
            <w:pPr>
              <w:spacing w:line="360" w:lineRule="auto"/>
              <w:rPr>
                <w:rFonts w:ascii="宋体" w:hAnsi="宋体" w:cs="宋体"/>
                <w:color w:val="000000"/>
                <w:sz w:val="24"/>
              </w:rPr>
            </w:pPr>
            <w:r>
              <w:rPr>
                <w:rFonts w:hint="eastAsia" w:ascii="宋体" w:hAnsi="宋体" w:cs="宋体"/>
                <w:color w:val="000000"/>
                <w:sz w:val="24"/>
              </w:rPr>
              <w:t>开工预付款金额：/</w:t>
            </w:r>
          </w:p>
        </w:tc>
      </w:tr>
      <w:tr w14:paraId="1933A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21D05724">
            <w:pPr>
              <w:spacing w:line="360" w:lineRule="auto"/>
              <w:jc w:val="center"/>
              <w:rPr>
                <w:rFonts w:ascii="宋体" w:hAnsi="宋体" w:cs="宋体"/>
                <w:color w:val="000000"/>
                <w:sz w:val="24"/>
              </w:rPr>
            </w:pPr>
            <w:r>
              <w:rPr>
                <w:rFonts w:hint="eastAsia" w:ascii="宋体" w:hAnsi="宋体" w:cs="宋体"/>
                <w:color w:val="000000"/>
                <w:sz w:val="24"/>
              </w:rPr>
              <w:t>16</w:t>
            </w:r>
          </w:p>
        </w:tc>
        <w:tc>
          <w:tcPr>
            <w:tcW w:w="1134" w:type="dxa"/>
            <w:noWrap/>
            <w:vAlign w:val="center"/>
          </w:tcPr>
          <w:p w14:paraId="6A4C51B5">
            <w:pPr>
              <w:spacing w:line="360" w:lineRule="auto"/>
              <w:rPr>
                <w:rFonts w:ascii="宋体" w:hAnsi="宋体" w:cs="宋体"/>
                <w:color w:val="000000"/>
                <w:sz w:val="24"/>
              </w:rPr>
            </w:pPr>
            <w:r>
              <w:rPr>
                <w:rFonts w:hint="eastAsia" w:ascii="宋体" w:hAnsi="宋体" w:cs="宋体"/>
                <w:color w:val="000000"/>
                <w:sz w:val="24"/>
              </w:rPr>
              <w:t>17.2.1（2）</w:t>
            </w:r>
          </w:p>
        </w:tc>
        <w:tc>
          <w:tcPr>
            <w:tcW w:w="7443" w:type="dxa"/>
            <w:noWrap/>
            <w:vAlign w:val="center"/>
          </w:tcPr>
          <w:p w14:paraId="575CDAF6">
            <w:pPr>
              <w:spacing w:line="360" w:lineRule="auto"/>
              <w:rPr>
                <w:rFonts w:ascii="宋体" w:hAnsi="宋体" w:cs="宋体"/>
                <w:color w:val="000000"/>
                <w:sz w:val="24"/>
              </w:rPr>
            </w:pPr>
            <w:r>
              <w:rPr>
                <w:rFonts w:hint="eastAsia" w:ascii="宋体" w:hAnsi="宋体" w:cs="宋体"/>
                <w:color w:val="000000"/>
                <w:sz w:val="24"/>
              </w:rPr>
              <w:t>材料、设备预付款比例：/</w:t>
            </w:r>
          </w:p>
        </w:tc>
      </w:tr>
      <w:tr w14:paraId="7A66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2" w:type="dxa"/>
            <w:noWrap/>
            <w:vAlign w:val="center"/>
          </w:tcPr>
          <w:p w14:paraId="2C6B532E">
            <w:pPr>
              <w:spacing w:line="360" w:lineRule="auto"/>
              <w:jc w:val="center"/>
              <w:rPr>
                <w:rFonts w:ascii="宋体" w:hAnsi="宋体" w:cs="宋体"/>
                <w:color w:val="000000"/>
                <w:sz w:val="24"/>
              </w:rPr>
            </w:pPr>
            <w:r>
              <w:rPr>
                <w:rFonts w:hint="eastAsia" w:ascii="宋体" w:hAnsi="宋体" w:cs="宋体"/>
                <w:color w:val="000000"/>
                <w:sz w:val="24"/>
              </w:rPr>
              <w:t>17</w:t>
            </w:r>
          </w:p>
        </w:tc>
        <w:tc>
          <w:tcPr>
            <w:tcW w:w="1134" w:type="dxa"/>
            <w:noWrap/>
            <w:vAlign w:val="center"/>
          </w:tcPr>
          <w:p w14:paraId="65700891">
            <w:pPr>
              <w:spacing w:line="360" w:lineRule="auto"/>
              <w:rPr>
                <w:rFonts w:ascii="宋体" w:hAnsi="宋体" w:cs="宋体"/>
                <w:color w:val="000000"/>
                <w:sz w:val="24"/>
              </w:rPr>
            </w:pPr>
            <w:r>
              <w:rPr>
                <w:rFonts w:hint="eastAsia" w:ascii="宋体" w:hAnsi="宋体" w:cs="宋体"/>
                <w:color w:val="000000"/>
                <w:sz w:val="24"/>
              </w:rPr>
              <w:t>17.3.2</w:t>
            </w:r>
          </w:p>
        </w:tc>
        <w:tc>
          <w:tcPr>
            <w:tcW w:w="7443" w:type="dxa"/>
            <w:noWrap/>
            <w:vAlign w:val="center"/>
          </w:tcPr>
          <w:p w14:paraId="42150368">
            <w:pPr>
              <w:spacing w:line="360" w:lineRule="auto"/>
              <w:rPr>
                <w:rFonts w:ascii="宋体" w:hAnsi="宋体" w:cs="宋体"/>
                <w:color w:val="000000"/>
                <w:sz w:val="24"/>
              </w:rPr>
            </w:pPr>
            <w:r>
              <w:rPr>
                <w:rFonts w:hint="eastAsia" w:ascii="宋体" w:hAnsi="宋体" w:cs="宋体"/>
                <w:color w:val="000000"/>
                <w:sz w:val="24"/>
              </w:rPr>
              <w:t>承包人在每个付款周期末向监理人提交进度付款申请单的份数：</w:t>
            </w:r>
            <w:r>
              <w:rPr>
                <w:rFonts w:hint="eastAsia" w:ascii="宋体" w:hAnsi="宋体" w:cs="宋体"/>
                <w:color w:val="000000"/>
                <w:sz w:val="24"/>
                <w:u w:val="single"/>
              </w:rPr>
              <w:t>　6　</w:t>
            </w:r>
            <w:r>
              <w:rPr>
                <w:rFonts w:hint="eastAsia" w:ascii="宋体" w:hAnsi="宋体" w:cs="宋体"/>
                <w:color w:val="000000"/>
                <w:sz w:val="24"/>
              </w:rPr>
              <w:t>份</w:t>
            </w:r>
          </w:p>
        </w:tc>
      </w:tr>
      <w:tr w14:paraId="5589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08AEA36B">
            <w:pPr>
              <w:spacing w:line="360" w:lineRule="auto"/>
              <w:jc w:val="center"/>
              <w:rPr>
                <w:rFonts w:ascii="宋体" w:hAnsi="宋体" w:cs="宋体"/>
                <w:color w:val="000000"/>
                <w:sz w:val="24"/>
              </w:rPr>
            </w:pPr>
            <w:r>
              <w:rPr>
                <w:rFonts w:hint="eastAsia" w:ascii="宋体" w:hAnsi="宋体" w:cs="宋体"/>
                <w:color w:val="000000"/>
                <w:sz w:val="24"/>
              </w:rPr>
              <w:t>18</w:t>
            </w:r>
          </w:p>
        </w:tc>
        <w:tc>
          <w:tcPr>
            <w:tcW w:w="1134" w:type="dxa"/>
            <w:noWrap/>
            <w:vAlign w:val="center"/>
          </w:tcPr>
          <w:p w14:paraId="4422E225">
            <w:pPr>
              <w:spacing w:line="360" w:lineRule="auto"/>
              <w:rPr>
                <w:rFonts w:ascii="宋体" w:hAnsi="宋体" w:cs="宋体"/>
                <w:color w:val="000000"/>
                <w:sz w:val="24"/>
              </w:rPr>
            </w:pPr>
            <w:r>
              <w:rPr>
                <w:rFonts w:hint="eastAsia" w:ascii="宋体" w:hAnsi="宋体" w:cs="宋体"/>
                <w:color w:val="000000"/>
                <w:sz w:val="24"/>
              </w:rPr>
              <w:t>17.3.3（1）</w:t>
            </w:r>
          </w:p>
        </w:tc>
        <w:tc>
          <w:tcPr>
            <w:tcW w:w="7443" w:type="dxa"/>
            <w:noWrap/>
            <w:vAlign w:val="center"/>
          </w:tcPr>
          <w:p w14:paraId="393BCD5C">
            <w:pPr>
              <w:spacing w:line="360" w:lineRule="auto"/>
              <w:rPr>
                <w:rFonts w:ascii="宋体" w:hAnsi="宋体" w:cs="宋体"/>
                <w:color w:val="000000"/>
                <w:sz w:val="24"/>
              </w:rPr>
            </w:pPr>
            <w:r>
              <w:rPr>
                <w:rFonts w:hint="eastAsia" w:ascii="宋体" w:hAnsi="宋体" w:cs="宋体"/>
                <w:color w:val="000000"/>
                <w:sz w:val="24"/>
              </w:rPr>
              <w:t>进度付款证书最低限额：/ 万元</w:t>
            </w:r>
          </w:p>
        </w:tc>
      </w:tr>
      <w:tr w14:paraId="431B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0BF67DF3">
            <w:pPr>
              <w:spacing w:line="360" w:lineRule="auto"/>
              <w:jc w:val="center"/>
              <w:rPr>
                <w:rFonts w:ascii="宋体" w:hAnsi="宋体" w:cs="宋体"/>
                <w:color w:val="000000"/>
                <w:sz w:val="24"/>
              </w:rPr>
            </w:pPr>
            <w:r>
              <w:rPr>
                <w:rFonts w:hint="eastAsia" w:ascii="宋体" w:hAnsi="宋体" w:cs="宋体"/>
                <w:color w:val="000000"/>
                <w:sz w:val="24"/>
              </w:rPr>
              <w:t>19</w:t>
            </w:r>
          </w:p>
        </w:tc>
        <w:tc>
          <w:tcPr>
            <w:tcW w:w="1134" w:type="dxa"/>
            <w:noWrap/>
            <w:vAlign w:val="center"/>
          </w:tcPr>
          <w:p w14:paraId="7051579E">
            <w:pPr>
              <w:spacing w:line="360" w:lineRule="auto"/>
              <w:rPr>
                <w:rFonts w:ascii="宋体" w:hAnsi="宋体" w:cs="宋体"/>
                <w:color w:val="000000"/>
                <w:sz w:val="24"/>
              </w:rPr>
            </w:pPr>
            <w:r>
              <w:rPr>
                <w:rFonts w:hint="eastAsia" w:ascii="宋体" w:hAnsi="宋体" w:cs="宋体"/>
                <w:color w:val="000000"/>
                <w:sz w:val="24"/>
              </w:rPr>
              <w:t>17.3.3（2）</w:t>
            </w:r>
          </w:p>
        </w:tc>
        <w:tc>
          <w:tcPr>
            <w:tcW w:w="7443" w:type="dxa"/>
            <w:noWrap/>
            <w:vAlign w:val="center"/>
          </w:tcPr>
          <w:p w14:paraId="782AD91A">
            <w:pPr>
              <w:spacing w:line="360" w:lineRule="auto"/>
              <w:rPr>
                <w:rFonts w:ascii="宋体" w:hAnsi="宋体" w:cs="宋体"/>
                <w:color w:val="000000"/>
                <w:sz w:val="24"/>
              </w:rPr>
            </w:pPr>
            <w:r>
              <w:rPr>
                <w:rFonts w:hint="eastAsia" w:ascii="宋体" w:hAnsi="宋体" w:cs="宋体"/>
                <w:color w:val="000000"/>
                <w:sz w:val="24"/>
              </w:rPr>
              <w:t>逾期付款违约金的利率：不适用</w:t>
            </w:r>
          </w:p>
        </w:tc>
      </w:tr>
      <w:tr w14:paraId="783F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2445D046">
            <w:pPr>
              <w:spacing w:line="360" w:lineRule="auto"/>
              <w:jc w:val="center"/>
              <w:rPr>
                <w:rFonts w:ascii="宋体" w:hAnsi="宋体" w:cs="宋体"/>
                <w:color w:val="000000"/>
                <w:sz w:val="24"/>
              </w:rPr>
            </w:pPr>
            <w:r>
              <w:rPr>
                <w:rFonts w:hint="eastAsia" w:ascii="宋体" w:hAnsi="宋体" w:cs="宋体"/>
                <w:color w:val="000000"/>
                <w:sz w:val="24"/>
              </w:rPr>
              <w:t>20</w:t>
            </w:r>
          </w:p>
        </w:tc>
        <w:tc>
          <w:tcPr>
            <w:tcW w:w="1134" w:type="dxa"/>
            <w:noWrap/>
            <w:vAlign w:val="center"/>
          </w:tcPr>
          <w:p w14:paraId="7A12E3AB">
            <w:pPr>
              <w:spacing w:line="360" w:lineRule="auto"/>
              <w:rPr>
                <w:rFonts w:ascii="宋体" w:hAnsi="宋体" w:cs="宋体"/>
                <w:color w:val="000000"/>
                <w:sz w:val="24"/>
              </w:rPr>
            </w:pPr>
            <w:r>
              <w:rPr>
                <w:rFonts w:hint="eastAsia" w:ascii="宋体" w:hAnsi="宋体" w:cs="宋体"/>
                <w:color w:val="000000"/>
                <w:sz w:val="24"/>
              </w:rPr>
              <w:t>17.4.1</w:t>
            </w:r>
          </w:p>
        </w:tc>
        <w:tc>
          <w:tcPr>
            <w:tcW w:w="7443" w:type="dxa"/>
            <w:noWrap/>
            <w:vAlign w:val="center"/>
          </w:tcPr>
          <w:p w14:paraId="0427ABA5">
            <w:pPr>
              <w:spacing w:line="360" w:lineRule="auto"/>
              <w:rPr>
                <w:rFonts w:ascii="宋体" w:hAnsi="宋体" w:cs="宋体"/>
                <w:color w:val="000000"/>
                <w:sz w:val="24"/>
              </w:rPr>
            </w:pPr>
            <w:r>
              <w:rPr>
                <w:rFonts w:hint="eastAsia" w:ascii="宋体" w:hAnsi="宋体" w:cs="宋体"/>
                <w:color w:val="000000"/>
                <w:sz w:val="24"/>
              </w:rPr>
              <w:t>质量保证金限额：</w:t>
            </w:r>
            <w:r>
              <w:rPr>
                <w:rFonts w:hint="eastAsia" w:ascii="宋体" w:hAnsi="宋体" w:cs="宋体"/>
                <w:color w:val="000000"/>
                <w:sz w:val="24"/>
                <w:u w:val="single"/>
              </w:rPr>
              <w:t xml:space="preserve"> 3 </w:t>
            </w:r>
            <w:r>
              <w:rPr>
                <w:rFonts w:hint="eastAsia" w:ascii="宋体" w:hAnsi="宋体" w:cs="宋体"/>
                <w:color w:val="000000"/>
                <w:sz w:val="24"/>
              </w:rPr>
              <w:t>%合同价</w:t>
            </w:r>
          </w:p>
          <w:p w14:paraId="0D60A105">
            <w:pPr>
              <w:spacing w:line="360" w:lineRule="auto"/>
              <w:rPr>
                <w:rFonts w:ascii="宋体" w:hAnsi="宋体" w:cs="宋体"/>
                <w:color w:val="000000"/>
                <w:sz w:val="24"/>
              </w:rPr>
            </w:pPr>
            <w:r>
              <w:rPr>
                <w:rFonts w:hint="eastAsia" w:ascii="宋体" w:hAnsi="宋体" w:cs="宋体"/>
                <w:color w:val="000000"/>
                <w:sz w:val="24"/>
              </w:rPr>
              <w:t>质量保证金是否计付利息：否</w:t>
            </w:r>
          </w:p>
        </w:tc>
      </w:tr>
      <w:tr w14:paraId="2C2F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52" w:type="dxa"/>
            <w:noWrap/>
            <w:vAlign w:val="center"/>
          </w:tcPr>
          <w:p w14:paraId="3739CA15">
            <w:pPr>
              <w:spacing w:line="360" w:lineRule="auto"/>
              <w:jc w:val="center"/>
              <w:rPr>
                <w:rFonts w:ascii="宋体" w:hAnsi="宋体" w:cs="宋体"/>
                <w:color w:val="000000"/>
                <w:sz w:val="24"/>
              </w:rPr>
            </w:pPr>
            <w:r>
              <w:rPr>
                <w:rFonts w:hint="eastAsia" w:ascii="宋体" w:hAnsi="宋体" w:cs="宋体"/>
                <w:color w:val="000000"/>
                <w:sz w:val="24"/>
              </w:rPr>
              <w:t>21</w:t>
            </w:r>
          </w:p>
        </w:tc>
        <w:tc>
          <w:tcPr>
            <w:tcW w:w="1134" w:type="dxa"/>
            <w:noWrap/>
            <w:vAlign w:val="center"/>
          </w:tcPr>
          <w:p w14:paraId="0E835DCF">
            <w:pPr>
              <w:spacing w:line="360" w:lineRule="auto"/>
              <w:rPr>
                <w:rFonts w:ascii="宋体" w:hAnsi="宋体" w:cs="宋体"/>
                <w:color w:val="000000"/>
                <w:sz w:val="24"/>
              </w:rPr>
            </w:pPr>
            <w:r>
              <w:rPr>
                <w:rFonts w:hint="eastAsia" w:ascii="宋体" w:hAnsi="宋体" w:cs="宋体"/>
                <w:color w:val="000000"/>
                <w:sz w:val="24"/>
              </w:rPr>
              <w:t>17.5.1（1）</w:t>
            </w:r>
          </w:p>
        </w:tc>
        <w:tc>
          <w:tcPr>
            <w:tcW w:w="7443" w:type="dxa"/>
            <w:noWrap/>
            <w:vAlign w:val="center"/>
          </w:tcPr>
          <w:p w14:paraId="621ED79F">
            <w:pPr>
              <w:spacing w:line="360" w:lineRule="auto"/>
              <w:rPr>
                <w:rFonts w:ascii="宋体" w:hAnsi="宋体" w:cs="宋体"/>
                <w:color w:val="000000"/>
                <w:sz w:val="24"/>
              </w:rPr>
            </w:pPr>
            <w:r>
              <w:rPr>
                <w:rFonts w:hint="eastAsia" w:ascii="宋体" w:hAnsi="宋体" w:cs="宋体"/>
                <w:color w:val="000000"/>
                <w:sz w:val="24"/>
              </w:rPr>
              <w:t>承包人向监理人提交交工付款申请单（包括相关证明材料）的份数：</w:t>
            </w:r>
            <w:r>
              <w:rPr>
                <w:rFonts w:hint="eastAsia" w:ascii="宋体" w:hAnsi="宋体" w:cs="宋体"/>
                <w:color w:val="000000"/>
                <w:sz w:val="24"/>
                <w:u w:val="single"/>
              </w:rPr>
              <w:t>　6　</w:t>
            </w:r>
            <w:r>
              <w:rPr>
                <w:rFonts w:hint="eastAsia" w:ascii="宋体" w:hAnsi="宋体" w:cs="宋体"/>
                <w:color w:val="000000"/>
                <w:sz w:val="24"/>
              </w:rPr>
              <w:t>份</w:t>
            </w:r>
          </w:p>
        </w:tc>
      </w:tr>
      <w:tr w14:paraId="7193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52" w:type="dxa"/>
            <w:noWrap/>
            <w:vAlign w:val="center"/>
          </w:tcPr>
          <w:p w14:paraId="7BBE926C">
            <w:pPr>
              <w:spacing w:line="360" w:lineRule="auto"/>
              <w:jc w:val="center"/>
              <w:rPr>
                <w:rFonts w:ascii="宋体" w:hAnsi="宋体" w:cs="宋体"/>
                <w:color w:val="000000"/>
                <w:sz w:val="24"/>
              </w:rPr>
            </w:pPr>
            <w:r>
              <w:rPr>
                <w:rFonts w:hint="eastAsia" w:ascii="宋体" w:hAnsi="宋体" w:cs="宋体"/>
                <w:color w:val="000000"/>
                <w:sz w:val="24"/>
              </w:rPr>
              <w:t>22</w:t>
            </w:r>
          </w:p>
        </w:tc>
        <w:tc>
          <w:tcPr>
            <w:tcW w:w="1134" w:type="dxa"/>
            <w:noWrap/>
            <w:vAlign w:val="center"/>
          </w:tcPr>
          <w:p w14:paraId="42F1890C">
            <w:pPr>
              <w:spacing w:line="360" w:lineRule="auto"/>
              <w:rPr>
                <w:rFonts w:ascii="宋体" w:hAnsi="宋体" w:cs="宋体"/>
                <w:color w:val="000000"/>
                <w:sz w:val="24"/>
              </w:rPr>
            </w:pPr>
            <w:r>
              <w:rPr>
                <w:rFonts w:hint="eastAsia" w:ascii="宋体" w:hAnsi="宋体" w:cs="宋体"/>
                <w:color w:val="000000"/>
                <w:sz w:val="24"/>
              </w:rPr>
              <w:t>17.6.1（1）</w:t>
            </w:r>
          </w:p>
        </w:tc>
        <w:tc>
          <w:tcPr>
            <w:tcW w:w="7443" w:type="dxa"/>
            <w:noWrap/>
            <w:vAlign w:val="center"/>
          </w:tcPr>
          <w:p w14:paraId="24D50EE4">
            <w:pPr>
              <w:spacing w:line="360" w:lineRule="auto"/>
              <w:rPr>
                <w:rFonts w:ascii="宋体" w:hAnsi="宋体" w:cs="宋体"/>
                <w:color w:val="000000"/>
                <w:sz w:val="24"/>
              </w:rPr>
            </w:pPr>
            <w:r>
              <w:rPr>
                <w:rFonts w:hint="eastAsia" w:ascii="宋体" w:hAnsi="宋体" w:cs="宋体"/>
                <w:color w:val="000000"/>
                <w:sz w:val="24"/>
              </w:rPr>
              <w:t>承包人向监理人提交最终结清申请单（包括相关证明材料）的份数：</w:t>
            </w:r>
            <w:r>
              <w:rPr>
                <w:rFonts w:hint="eastAsia" w:ascii="宋体" w:hAnsi="宋体" w:cs="宋体"/>
                <w:color w:val="000000"/>
                <w:sz w:val="24"/>
                <w:u w:val="single"/>
              </w:rPr>
              <w:t>　6　</w:t>
            </w:r>
            <w:r>
              <w:rPr>
                <w:rFonts w:hint="eastAsia" w:ascii="宋体" w:hAnsi="宋体" w:cs="宋体"/>
                <w:color w:val="000000"/>
                <w:sz w:val="24"/>
              </w:rPr>
              <w:t>份</w:t>
            </w:r>
          </w:p>
        </w:tc>
      </w:tr>
      <w:tr w14:paraId="051D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758B6A62">
            <w:pPr>
              <w:spacing w:line="360" w:lineRule="auto"/>
              <w:jc w:val="center"/>
              <w:rPr>
                <w:rFonts w:ascii="宋体" w:hAnsi="宋体" w:cs="宋体"/>
                <w:color w:val="000000"/>
                <w:sz w:val="24"/>
              </w:rPr>
            </w:pPr>
            <w:r>
              <w:rPr>
                <w:rFonts w:hint="eastAsia" w:ascii="宋体" w:hAnsi="宋体" w:cs="宋体"/>
                <w:color w:val="000000"/>
                <w:sz w:val="24"/>
              </w:rPr>
              <w:t>23</w:t>
            </w:r>
          </w:p>
        </w:tc>
        <w:tc>
          <w:tcPr>
            <w:tcW w:w="1134" w:type="dxa"/>
            <w:noWrap/>
            <w:vAlign w:val="center"/>
          </w:tcPr>
          <w:p w14:paraId="7F2A254A">
            <w:pPr>
              <w:spacing w:line="360" w:lineRule="auto"/>
              <w:rPr>
                <w:rFonts w:ascii="宋体" w:hAnsi="宋体" w:cs="宋体"/>
                <w:color w:val="000000"/>
                <w:sz w:val="24"/>
              </w:rPr>
            </w:pPr>
            <w:r>
              <w:rPr>
                <w:rFonts w:hint="eastAsia" w:ascii="宋体" w:hAnsi="宋体" w:cs="宋体"/>
                <w:color w:val="000000"/>
                <w:sz w:val="24"/>
              </w:rPr>
              <w:t>18.2（2）</w:t>
            </w:r>
          </w:p>
        </w:tc>
        <w:tc>
          <w:tcPr>
            <w:tcW w:w="7443" w:type="dxa"/>
            <w:noWrap/>
            <w:vAlign w:val="center"/>
          </w:tcPr>
          <w:p w14:paraId="68480E1B">
            <w:pPr>
              <w:spacing w:line="360" w:lineRule="auto"/>
              <w:rPr>
                <w:rFonts w:ascii="宋体" w:hAnsi="宋体" w:cs="宋体"/>
                <w:color w:val="000000"/>
                <w:sz w:val="24"/>
              </w:rPr>
            </w:pPr>
            <w:r>
              <w:rPr>
                <w:rFonts w:hint="eastAsia" w:ascii="宋体" w:hAnsi="宋体" w:cs="宋体"/>
                <w:color w:val="000000"/>
                <w:sz w:val="24"/>
              </w:rPr>
              <w:t>竣工资料的份数：</w:t>
            </w:r>
            <w:r>
              <w:rPr>
                <w:rFonts w:hint="eastAsia" w:ascii="宋体" w:hAnsi="宋体" w:cs="宋体"/>
                <w:color w:val="000000"/>
                <w:sz w:val="24"/>
                <w:u w:val="single"/>
              </w:rPr>
              <w:t>　4　</w:t>
            </w:r>
            <w:r>
              <w:rPr>
                <w:rFonts w:hint="eastAsia" w:ascii="宋体" w:hAnsi="宋体" w:cs="宋体"/>
                <w:color w:val="000000"/>
                <w:sz w:val="24"/>
              </w:rPr>
              <w:t>份</w:t>
            </w:r>
          </w:p>
        </w:tc>
      </w:tr>
      <w:tr w14:paraId="3D2E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39D62BD1">
            <w:pPr>
              <w:spacing w:line="360" w:lineRule="auto"/>
              <w:jc w:val="center"/>
              <w:rPr>
                <w:rFonts w:ascii="宋体" w:hAnsi="宋体" w:cs="宋体"/>
                <w:color w:val="000000"/>
                <w:sz w:val="24"/>
              </w:rPr>
            </w:pPr>
            <w:r>
              <w:rPr>
                <w:rFonts w:hint="eastAsia" w:ascii="宋体" w:hAnsi="宋体" w:cs="宋体"/>
                <w:color w:val="000000"/>
                <w:sz w:val="24"/>
              </w:rPr>
              <w:t>24</w:t>
            </w:r>
          </w:p>
        </w:tc>
        <w:tc>
          <w:tcPr>
            <w:tcW w:w="1134" w:type="dxa"/>
            <w:noWrap/>
            <w:vAlign w:val="center"/>
          </w:tcPr>
          <w:p w14:paraId="294022DB">
            <w:pPr>
              <w:spacing w:line="360" w:lineRule="auto"/>
              <w:rPr>
                <w:rFonts w:ascii="宋体" w:hAnsi="宋体" w:cs="宋体"/>
                <w:color w:val="000000"/>
                <w:sz w:val="24"/>
              </w:rPr>
            </w:pPr>
            <w:r>
              <w:rPr>
                <w:rFonts w:hint="eastAsia" w:ascii="宋体" w:hAnsi="宋体" w:cs="宋体"/>
                <w:color w:val="000000"/>
                <w:sz w:val="24"/>
              </w:rPr>
              <w:t>18.5.1</w:t>
            </w:r>
          </w:p>
        </w:tc>
        <w:tc>
          <w:tcPr>
            <w:tcW w:w="7443" w:type="dxa"/>
            <w:noWrap/>
            <w:vAlign w:val="center"/>
          </w:tcPr>
          <w:p w14:paraId="45F9B6A3">
            <w:pPr>
              <w:spacing w:line="360" w:lineRule="auto"/>
              <w:rPr>
                <w:rFonts w:ascii="宋体" w:hAnsi="宋体" w:cs="宋体"/>
                <w:color w:val="000000"/>
                <w:sz w:val="24"/>
              </w:rPr>
            </w:pPr>
            <w:r>
              <w:rPr>
                <w:rFonts w:hint="eastAsia" w:ascii="宋体" w:hAnsi="宋体" w:cs="宋体"/>
                <w:color w:val="000000"/>
                <w:sz w:val="24"/>
              </w:rPr>
              <w:t>单位工程或工程设备是否需投入施计划工期运行：</w:t>
            </w:r>
            <w:r>
              <w:rPr>
                <w:rFonts w:hint="eastAsia" w:ascii="宋体" w:hAnsi="宋体" w:cs="宋体"/>
                <w:color w:val="000000"/>
                <w:sz w:val="24"/>
                <w:u w:val="single"/>
              </w:rPr>
              <w:t>否</w:t>
            </w:r>
          </w:p>
          <w:p w14:paraId="2B571933">
            <w:pPr>
              <w:spacing w:line="360" w:lineRule="auto"/>
              <w:rPr>
                <w:rFonts w:ascii="宋体" w:hAnsi="宋体" w:cs="宋体"/>
                <w:color w:val="000000"/>
                <w:sz w:val="24"/>
              </w:rPr>
            </w:pPr>
            <w:r>
              <w:rPr>
                <w:rFonts w:hint="eastAsia" w:ascii="宋体" w:hAnsi="宋体" w:cs="宋体"/>
                <w:color w:val="000000"/>
                <w:sz w:val="24"/>
              </w:rPr>
              <w:t>如单位工程或工程设备需要进行施计划工期运行，需要施计划工期运行的单位工程或工程设备规定如下：</w:t>
            </w:r>
            <w:r>
              <w:rPr>
                <w:rFonts w:hint="eastAsia" w:ascii="宋体" w:hAnsi="宋体" w:cs="宋体"/>
                <w:color w:val="000000"/>
                <w:sz w:val="24"/>
                <w:u w:val="single"/>
              </w:rPr>
              <w:t>　/　</w:t>
            </w:r>
          </w:p>
        </w:tc>
      </w:tr>
      <w:tr w14:paraId="6582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347AA8F0">
            <w:pPr>
              <w:spacing w:line="360" w:lineRule="auto"/>
              <w:jc w:val="center"/>
              <w:rPr>
                <w:rFonts w:ascii="宋体" w:hAnsi="宋体" w:cs="宋体"/>
                <w:color w:val="000000"/>
                <w:sz w:val="24"/>
              </w:rPr>
            </w:pPr>
            <w:r>
              <w:rPr>
                <w:rFonts w:hint="eastAsia" w:ascii="宋体" w:hAnsi="宋体" w:cs="宋体"/>
                <w:color w:val="000000"/>
                <w:sz w:val="24"/>
              </w:rPr>
              <w:t>25</w:t>
            </w:r>
          </w:p>
        </w:tc>
        <w:tc>
          <w:tcPr>
            <w:tcW w:w="1134" w:type="dxa"/>
            <w:noWrap/>
            <w:vAlign w:val="center"/>
          </w:tcPr>
          <w:p w14:paraId="6FF45A5A">
            <w:pPr>
              <w:spacing w:line="360" w:lineRule="auto"/>
              <w:rPr>
                <w:rFonts w:ascii="宋体" w:hAnsi="宋体" w:cs="宋体"/>
                <w:color w:val="000000"/>
                <w:sz w:val="24"/>
              </w:rPr>
            </w:pPr>
            <w:r>
              <w:rPr>
                <w:rFonts w:hint="eastAsia" w:ascii="宋体" w:hAnsi="宋体" w:cs="宋体"/>
                <w:color w:val="000000"/>
                <w:sz w:val="24"/>
              </w:rPr>
              <w:t>18.6.1</w:t>
            </w:r>
          </w:p>
        </w:tc>
        <w:tc>
          <w:tcPr>
            <w:tcW w:w="7443" w:type="dxa"/>
            <w:noWrap/>
            <w:vAlign w:val="center"/>
          </w:tcPr>
          <w:p w14:paraId="7EEC00DE">
            <w:pPr>
              <w:spacing w:line="360" w:lineRule="auto"/>
              <w:rPr>
                <w:rFonts w:ascii="宋体" w:hAnsi="宋体" w:cs="宋体"/>
                <w:color w:val="000000"/>
                <w:sz w:val="24"/>
              </w:rPr>
            </w:pPr>
            <w:r>
              <w:rPr>
                <w:rFonts w:hint="eastAsia" w:ascii="宋体" w:hAnsi="宋体" w:cs="宋体"/>
                <w:color w:val="000000"/>
                <w:sz w:val="24"/>
              </w:rPr>
              <w:t>本工程及工程设备是否进行试运行：</w:t>
            </w:r>
            <w:r>
              <w:rPr>
                <w:rFonts w:hint="eastAsia" w:ascii="宋体" w:hAnsi="宋体" w:cs="宋体"/>
                <w:color w:val="000000"/>
                <w:sz w:val="24"/>
                <w:u w:val="single"/>
              </w:rPr>
              <w:t>否</w:t>
            </w:r>
          </w:p>
          <w:p w14:paraId="0A81B66E">
            <w:pPr>
              <w:spacing w:line="360" w:lineRule="auto"/>
              <w:rPr>
                <w:rFonts w:ascii="宋体" w:hAnsi="宋体" w:cs="宋体"/>
                <w:color w:val="000000"/>
                <w:sz w:val="24"/>
              </w:rPr>
            </w:pPr>
            <w:r>
              <w:rPr>
                <w:rFonts w:hint="eastAsia" w:ascii="宋体" w:hAnsi="宋体" w:cs="宋体"/>
                <w:color w:val="000000"/>
                <w:sz w:val="24"/>
              </w:rPr>
              <w:t>如本工程及工程设备需要进行试运行，试运行的具体规定如下：</w:t>
            </w:r>
            <w:r>
              <w:rPr>
                <w:rFonts w:hint="eastAsia" w:ascii="宋体" w:hAnsi="宋体" w:cs="宋体"/>
                <w:color w:val="000000"/>
                <w:sz w:val="24"/>
                <w:u w:val="single"/>
              </w:rPr>
              <w:t>　/　</w:t>
            </w:r>
          </w:p>
        </w:tc>
      </w:tr>
      <w:tr w14:paraId="7F45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52" w:type="dxa"/>
            <w:noWrap/>
            <w:vAlign w:val="center"/>
          </w:tcPr>
          <w:p w14:paraId="39C9957D">
            <w:pPr>
              <w:spacing w:line="360" w:lineRule="auto"/>
              <w:jc w:val="center"/>
              <w:rPr>
                <w:rFonts w:ascii="宋体" w:hAnsi="宋体" w:cs="宋体"/>
                <w:color w:val="000000"/>
                <w:sz w:val="24"/>
              </w:rPr>
            </w:pPr>
            <w:r>
              <w:rPr>
                <w:rFonts w:hint="eastAsia" w:ascii="宋体" w:hAnsi="宋体" w:cs="宋体"/>
                <w:color w:val="000000"/>
                <w:sz w:val="24"/>
              </w:rPr>
              <w:t>26</w:t>
            </w:r>
          </w:p>
        </w:tc>
        <w:tc>
          <w:tcPr>
            <w:tcW w:w="1134" w:type="dxa"/>
            <w:noWrap/>
            <w:vAlign w:val="center"/>
          </w:tcPr>
          <w:p w14:paraId="3E697519">
            <w:pPr>
              <w:spacing w:line="360" w:lineRule="auto"/>
              <w:rPr>
                <w:rFonts w:ascii="宋体" w:hAnsi="宋体" w:cs="宋体"/>
                <w:color w:val="000000"/>
                <w:sz w:val="24"/>
              </w:rPr>
            </w:pPr>
            <w:r>
              <w:rPr>
                <w:rFonts w:hint="eastAsia" w:ascii="宋体" w:hAnsi="宋体" w:cs="宋体"/>
                <w:color w:val="000000"/>
                <w:sz w:val="24"/>
              </w:rPr>
              <w:t>19.7（1）</w:t>
            </w:r>
          </w:p>
        </w:tc>
        <w:tc>
          <w:tcPr>
            <w:tcW w:w="7443" w:type="dxa"/>
            <w:noWrap/>
            <w:vAlign w:val="center"/>
          </w:tcPr>
          <w:p w14:paraId="084B5CD2">
            <w:pPr>
              <w:spacing w:line="360" w:lineRule="auto"/>
              <w:rPr>
                <w:rFonts w:ascii="宋体" w:hAnsi="宋体" w:cs="宋体"/>
                <w:color w:val="000000"/>
                <w:sz w:val="24"/>
              </w:rPr>
            </w:pPr>
            <w:r>
              <w:rPr>
                <w:rFonts w:hint="eastAsia" w:ascii="宋体" w:hAnsi="宋体" w:cs="宋体"/>
                <w:color w:val="000000"/>
                <w:sz w:val="24"/>
              </w:rPr>
              <w:t>保修期：</w:t>
            </w:r>
            <w:r>
              <w:rPr>
                <w:rFonts w:hint="eastAsia" w:ascii="宋体" w:hAnsi="宋体" w:cs="宋体"/>
                <w:color w:val="000000"/>
                <w:sz w:val="24"/>
                <w:u w:val="single"/>
              </w:rPr>
              <w:t xml:space="preserve">  /   年</w:t>
            </w:r>
          </w:p>
        </w:tc>
      </w:tr>
      <w:tr w14:paraId="6B7BC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22A4F0D9">
            <w:pPr>
              <w:spacing w:line="360" w:lineRule="auto"/>
              <w:jc w:val="center"/>
              <w:rPr>
                <w:rFonts w:ascii="宋体" w:hAnsi="宋体" w:cs="宋体"/>
                <w:color w:val="000000"/>
                <w:sz w:val="24"/>
              </w:rPr>
            </w:pPr>
            <w:r>
              <w:rPr>
                <w:rFonts w:hint="eastAsia" w:ascii="宋体" w:hAnsi="宋体" w:cs="宋体"/>
                <w:color w:val="000000"/>
                <w:sz w:val="24"/>
              </w:rPr>
              <w:t>27</w:t>
            </w:r>
          </w:p>
        </w:tc>
        <w:tc>
          <w:tcPr>
            <w:tcW w:w="1134" w:type="dxa"/>
            <w:noWrap/>
            <w:vAlign w:val="center"/>
          </w:tcPr>
          <w:p w14:paraId="664424C8">
            <w:pPr>
              <w:spacing w:line="360" w:lineRule="auto"/>
              <w:rPr>
                <w:rFonts w:ascii="宋体" w:hAnsi="宋体" w:cs="宋体"/>
                <w:color w:val="000000"/>
                <w:sz w:val="24"/>
              </w:rPr>
            </w:pPr>
            <w:r>
              <w:rPr>
                <w:rFonts w:hint="eastAsia" w:ascii="宋体" w:hAnsi="宋体" w:cs="宋体"/>
                <w:color w:val="000000"/>
                <w:sz w:val="24"/>
              </w:rPr>
              <w:t>20.1</w:t>
            </w:r>
          </w:p>
        </w:tc>
        <w:tc>
          <w:tcPr>
            <w:tcW w:w="7443" w:type="dxa"/>
            <w:noWrap/>
            <w:vAlign w:val="center"/>
          </w:tcPr>
          <w:p w14:paraId="71D4A304">
            <w:pPr>
              <w:spacing w:line="360" w:lineRule="auto"/>
              <w:rPr>
                <w:rFonts w:ascii="宋体" w:hAnsi="宋体" w:cs="宋体"/>
                <w:color w:val="000000"/>
                <w:sz w:val="24"/>
              </w:rPr>
            </w:pPr>
            <w:r>
              <w:rPr>
                <w:rFonts w:hint="eastAsia" w:ascii="宋体" w:hAnsi="宋体" w:cs="宋体"/>
                <w:color w:val="000000"/>
                <w:sz w:val="24"/>
              </w:rPr>
              <w:t>建筑工程一切险的保险费率：</w:t>
            </w:r>
            <w:r>
              <w:rPr>
                <w:rFonts w:hint="eastAsia" w:ascii="宋体" w:hAnsi="宋体" w:cs="宋体"/>
                <w:color w:val="000000"/>
                <w:sz w:val="24"/>
                <w:u w:val="single"/>
              </w:rPr>
              <w:t xml:space="preserve">    　</w:t>
            </w:r>
            <w:r>
              <w:rPr>
                <w:rFonts w:hint="eastAsia" w:ascii="宋体" w:hAnsi="宋体" w:cs="宋体"/>
                <w:color w:val="000000"/>
                <w:sz w:val="24"/>
              </w:rPr>
              <w:t>‰</w:t>
            </w:r>
          </w:p>
        </w:tc>
      </w:tr>
      <w:tr w14:paraId="4534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73097B0B">
            <w:pPr>
              <w:spacing w:line="360" w:lineRule="auto"/>
              <w:jc w:val="center"/>
              <w:rPr>
                <w:rFonts w:ascii="宋体" w:hAnsi="宋体" w:cs="宋体"/>
                <w:color w:val="000000"/>
                <w:sz w:val="24"/>
              </w:rPr>
            </w:pPr>
            <w:r>
              <w:rPr>
                <w:rFonts w:hint="eastAsia" w:ascii="宋体" w:hAnsi="宋体" w:cs="宋体"/>
                <w:color w:val="000000"/>
                <w:sz w:val="24"/>
              </w:rPr>
              <w:t>28</w:t>
            </w:r>
          </w:p>
        </w:tc>
        <w:tc>
          <w:tcPr>
            <w:tcW w:w="1134" w:type="dxa"/>
            <w:noWrap/>
            <w:vAlign w:val="center"/>
          </w:tcPr>
          <w:p w14:paraId="053BAADB">
            <w:pPr>
              <w:spacing w:line="360" w:lineRule="auto"/>
              <w:rPr>
                <w:rFonts w:ascii="宋体" w:hAnsi="宋体" w:cs="宋体"/>
                <w:color w:val="000000"/>
                <w:sz w:val="24"/>
              </w:rPr>
            </w:pPr>
            <w:r>
              <w:rPr>
                <w:rFonts w:hint="eastAsia" w:ascii="宋体" w:hAnsi="宋体" w:cs="宋体"/>
                <w:color w:val="000000"/>
                <w:sz w:val="24"/>
              </w:rPr>
              <w:t>20.4.2</w:t>
            </w:r>
          </w:p>
        </w:tc>
        <w:tc>
          <w:tcPr>
            <w:tcW w:w="7443" w:type="dxa"/>
            <w:noWrap/>
            <w:vAlign w:val="center"/>
          </w:tcPr>
          <w:p w14:paraId="33152A68">
            <w:pPr>
              <w:spacing w:line="360" w:lineRule="auto"/>
              <w:rPr>
                <w:rFonts w:ascii="宋体" w:hAnsi="宋体" w:cs="宋体"/>
                <w:color w:val="000000"/>
                <w:sz w:val="24"/>
              </w:rPr>
            </w:pPr>
            <w:r>
              <w:rPr>
                <w:rFonts w:hint="eastAsia" w:ascii="宋体" w:hAnsi="宋体" w:cs="宋体"/>
                <w:color w:val="000000"/>
                <w:sz w:val="24"/>
              </w:rPr>
              <w:t>第三者责任险的最低投保金额：</w:t>
            </w:r>
            <w:r>
              <w:rPr>
                <w:rFonts w:hint="eastAsia" w:ascii="宋体" w:hAnsi="宋体" w:cs="宋体"/>
                <w:color w:val="000000"/>
                <w:sz w:val="24"/>
                <w:u w:val="single"/>
              </w:rPr>
              <w:t>　  /  　</w:t>
            </w:r>
            <w:r>
              <w:rPr>
                <w:rFonts w:hint="eastAsia" w:ascii="宋体" w:hAnsi="宋体" w:cs="宋体"/>
                <w:color w:val="000000"/>
                <w:sz w:val="24"/>
              </w:rPr>
              <w:t>万元，事故次数不限（不计免赔额）</w:t>
            </w:r>
          </w:p>
          <w:p w14:paraId="77682025">
            <w:pPr>
              <w:spacing w:line="360" w:lineRule="auto"/>
              <w:rPr>
                <w:rFonts w:ascii="宋体" w:hAnsi="宋体" w:cs="宋体"/>
                <w:color w:val="000000"/>
                <w:sz w:val="24"/>
              </w:rPr>
            </w:pPr>
            <w:r>
              <w:rPr>
                <w:rFonts w:hint="eastAsia" w:ascii="宋体" w:hAnsi="宋体" w:cs="宋体"/>
                <w:color w:val="000000"/>
                <w:sz w:val="24"/>
              </w:rPr>
              <w:t>保险费率：</w:t>
            </w:r>
            <w:r>
              <w:rPr>
                <w:rFonts w:hint="eastAsia" w:ascii="宋体" w:hAnsi="宋体" w:cs="宋体"/>
                <w:color w:val="000000"/>
                <w:sz w:val="24"/>
                <w:u w:val="single"/>
              </w:rPr>
              <w:t>　 /  　</w:t>
            </w:r>
            <w:r>
              <w:rPr>
                <w:rFonts w:hint="eastAsia" w:ascii="宋体" w:hAnsi="宋体" w:cs="宋体"/>
                <w:color w:val="000000"/>
                <w:sz w:val="24"/>
              </w:rPr>
              <w:t>‰</w:t>
            </w:r>
          </w:p>
        </w:tc>
      </w:tr>
      <w:tr w14:paraId="6775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ign w:val="center"/>
          </w:tcPr>
          <w:p w14:paraId="00922680">
            <w:pPr>
              <w:spacing w:line="360" w:lineRule="auto"/>
              <w:jc w:val="center"/>
              <w:rPr>
                <w:rFonts w:ascii="宋体" w:hAnsi="宋体" w:cs="宋体"/>
                <w:color w:val="000000"/>
                <w:sz w:val="24"/>
              </w:rPr>
            </w:pPr>
            <w:r>
              <w:rPr>
                <w:rFonts w:hint="eastAsia" w:ascii="宋体" w:hAnsi="宋体" w:cs="宋体"/>
                <w:color w:val="000000"/>
                <w:sz w:val="24"/>
              </w:rPr>
              <w:t>29</w:t>
            </w:r>
          </w:p>
        </w:tc>
        <w:tc>
          <w:tcPr>
            <w:tcW w:w="1134" w:type="dxa"/>
            <w:noWrap/>
            <w:vAlign w:val="center"/>
          </w:tcPr>
          <w:p w14:paraId="5409BD23">
            <w:pPr>
              <w:spacing w:line="360" w:lineRule="auto"/>
              <w:rPr>
                <w:rFonts w:ascii="宋体" w:hAnsi="宋体" w:cs="宋体"/>
                <w:color w:val="000000"/>
                <w:sz w:val="24"/>
              </w:rPr>
            </w:pPr>
            <w:r>
              <w:rPr>
                <w:rFonts w:hint="eastAsia" w:ascii="宋体" w:hAnsi="宋体" w:cs="宋体"/>
                <w:color w:val="000000"/>
                <w:sz w:val="24"/>
              </w:rPr>
              <w:t>24.1</w:t>
            </w:r>
          </w:p>
        </w:tc>
        <w:tc>
          <w:tcPr>
            <w:tcW w:w="7443" w:type="dxa"/>
            <w:noWrap/>
            <w:vAlign w:val="center"/>
          </w:tcPr>
          <w:p w14:paraId="60890564">
            <w:pPr>
              <w:spacing w:line="360" w:lineRule="auto"/>
              <w:rPr>
                <w:rFonts w:ascii="宋体" w:hAnsi="宋体" w:cs="宋体"/>
                <w:color w:val="000000"/>
                <w:sz w:val="24"/>
              </w:rPr>
            </w:pPr>
            <w:r>
              <w:rPr>
                <w:rFonts w:hint="eastAsia" w:ascii="宋体" w:hAnsi="宋体" w:cs="宋体"/>
                <w:color w:val="000000"/>
                <w:sz w:val="24"/>
              </w:rPr>
              <w:t>争议的最终解决方式：</w:t>
            </w:r>
            <w:r>
              <w:rPr>
                <w:rFonts w:hint="eastAsia" w:ascii="宋体" w:hAnsi="宋体" w:cs="宋体"/>
                <w:color w:val="000000"/>
                <w:sz w:val="24"/>
                <w:u w:val="single"/>
              </w:rPr>
              <w:t>仲裁</w:t>
            </w:r>
          </w:p>
          <w:p w14:paraId="4BE9623C">
            <w:pPr>
              <w:spacing w:line="360" w:lineRule="auto"/>
              <w:rPr>
                <w:rFonts w:ascii="宋体" w:hAnsi="宋体" w:cs="宋体"/>
                <w:color w:val="000000"/>
                <w:sz w:val="24"/>
              </w:rPr>
            </w:pPr>
            <w:r>
              <w:rPr>
                <w:rFonts w:hint="eastAsia" w:ascii="宋体" w:hAnsi="宋体" w:cs="宋体"/>
                <w:color w:val="000000"/>
                <w:sz w:val="24"/>
              </w:rPr>
              <w:t>如采用仲裁，仲裁委员会名称：</w:t>
            </w:r>
            <w:r>
              <w:rPr>
                <w:rFonts w:hint="eastAsia" w:ascii="宋体" w:hAnsi="宋体" w:cs="宋体"/>
                <w:color w:val="000000"/>
                <w:sz w:val="24"/>
                <w:u w:val="single"/>
              </w:rPr>
              <w:t xml:space="preserve">        /         </w:t>
            </w:r>
          </w:p>
        </w:tc>
      </w:tr>
    </w:tbl>
    <w:p w14:paraId="6ECB5CBE">
      <w:pPr>
        <w:spacing w:line="360" w:lineRule="auto"/>
        <w:jc w:val="center"/>
        <w:rPr>
          <w:rFonts w:ascii="宋体" w:hAnsi="宋体"/>
          <w:b/>
          <w:color w:val="000000"/>
          <w:kern w:val="0"/>
          <w:sz w:val="24"/>
        </w:rPr>
      </w:pPr>
      <w:bookmarkStart w:id="433" w:name="_Toc514414378"/>
      <w:bookmarkStart w:id="434" w:name="_Toc23564"/>
    </w:p>
    <w:p w14:paraId="2B7F7919">
      <w:pPr>
        <w:rPr>
          <w:rFonts w:ascii="宋体" w:hAnsi="宋体"/>
          <w:b/>
          <w:color w:val="000000"/>
          <w:kern w:val="0"/>
          <w:sz w:val="24"/>
        </w:rPr>
      </w:pPr>
      <w:r>
        <w:rPr>
          <w:rFonts w:hint="eastAsia" w:ascii="宋体" w:hAnsi="宋体"/>
          <w:b/>
          <w:color w:val="000000"/>
          <w:kern w:val="0"/>
          <w:sz w:val="24"/>
        </w:rPr>
        <w:br w:type="page"/>
      </w:r>
    </w:p>
    <w:p w14:paraId="0191FAC3">
      <w:pPr>
        <w:spacing w:line="360" w:lineRule="auto"/>
        <w:jc w:val="center"/>
        <w:rPr>
          <w:rFonts w:ascii="宋体" w:hAnsi="宋体"/>
          <w:b/>
          <w:color w:val="000000"/>
          <w:kern w:val="0"/>
          <w:sz w:val="24"/>
        </w:rPr>
      </w:pPr>
      <w:r>
        <w:rPr>
          <w:rFonts w:hint="eastAsia" w:ascii="宋体" w:hAnsi="宋体"/>
          <w:b/>
          <w:color w:val="000000"/>
          <w:kern w:val="0"/>
          <w:sz w:val="24"/>
        </w:rPr>
        <w:t>项目专用合同条款</w:t>
      </w:r>
      <w:bookmarkEnd w:id="433"/>
      <w:bookmarkEnd w:id="434"/>
    </w:p>
    <w:p w14:paraId="011BCAE2">
      <w:pPr>
        <w:spacing w:line="360" w:lineRule="auto"/>
        <w:ind w:firstLine="480" w:firstLineChars="200"/>
        <w:rPr>
          <w:rFonts w:ascii="宋体" w:hAnsi="宋体"/>
          <w:color w:val="000000"/>
          <w:sz w:val="24"/>
        </w:rPr>
      </w:pPr>
      <w:r>
        <w:rPr>
          <w:rFonts w:hint="eastAsia" w:ascii="宋体" w:hAnsi="宋体"/>
          <w:color w:val="000000"/>
          <w:sz w:val="24"/>
        </w:rPr>
        <w:t>说明：本部分所列的项目专用合同条款是对“公路工程专用合同条款”中规定必须在项目专用合同条款中明确的内容的集中，采购人编制的“项目专用合同条款”不限于本部分所列内容。</w:t>
      </w:r>
    </w:p>
    <w:p w14:paraId="4FA4F408">
      <w:pPr>
        <w:spacing w:line="360" w:lineRule="auto"/>
        <w:ind w:firstLine="480" w:firstLineChars="200"/>
        <w:rPr>
          <w:rFonts w:ascii="宋体" w:hAnsi="宋体"/>
          <w:color w:val="000000"/>
          <w:sz w:val="24"/>
        </w:rPr>
      </w:pPr>
      <w:r>
        <w:rPr>
          <w:rFonts w:hint="eastAsia" w:ascii="宋体" w:hAnsi="宋体"/>
          <w:color w:val="000000"/>
          <w:sz w:val="24"/>
        </w:rPr>
        <w:t>4.1承包人的一般义务</w:t>
      </w:r>
    </w:p>
    <w:p w14:paraId="7D1820A0">
      <w:pPr>
        <w:spacing w:line="360" w:lineRule="auto"/>
        <w:ind w:firstLine="480" w:firstLineChars="200"/>
        <w:rPr>
          <w:rFonts w:ascii="宋体" w:hAnsi="宋体"/>
          <w:color w:val="000000"/>
          <w:sz w:val="24"/>
        </w:rPr>
      </w:pPr>
      <w:r>
        <w:rPr>
          <w:rFonts w:hint="eastAsia" w:ascii="宋体" w:hAnsi="宋体"/>
          <w:color w:val="000000"/>
          <w:sz w:val="24"/>
        </w:rPr>
        <w:t>4.1.10其他义务</w:t>
      </w:r>
    </w:p>
    <w:p w14:paraId="71AEB104">
      <w:pPr>
        <w:spacing w:line="360" w:lineRule="auto"/>
        <w:ind w:firstLine="480" w:firstLineChars="200"/>
        <w:rPr>
          <w:rFonts w:ascii="宋体" w:hAnsi="宋体"/>
          <w:color w:val="000000"/>
          <w:sz w:val="24"/>
        </w:rPr>
      </w:pPr>
      <w:r>
        <w:rPr>
          <w:rFonts w:hint="eastAsia" w:ascii="宋体" w:hAnsi="宋体"/>
          <w:color w:val="000000"/>
          <w:sz w:val="24"/>
        </w:rPr>
        <w:t>（4）承包人应履行的其他义务：</w:t>
      </w:r>
    </w:p>
    <w:p w14:paraId="5D1AD3E9">
      <w:pPr>
        <w:spacing w:line="360" w:lineRule="auto"/>
        <w:ind w:firstLine="480" w:firstLineChars="200"/>
        <w:rPr>
          <w:rFonts w:ascii="宋体" w:hAnsi="宋体"/>
          <w:color w:val="000000"/>
          <w:sz w:val="24"/>
        </w:rPr>
      </w:pPr>
      <w:r>
        <w:rPr>
          <w:rFonts w:hint="eastAsia" w:ascii="宋体" w:hAnsi="宋体"/>
          <w:color w:val="000000"/>
          <w:sz w:val="24"/>
        </w:rPr>
        <w:t>4.11不利物质条件</w:t>
      </w:r>
    </w:p>
    <w:p w14:paraId="1E6B55BE">
      <w:pPr>
        <w:spacing w:line="360" w:lineRule="auto"/>
        <w:ind w:firstLine="480" w:firstLineChars="200"/>
        <w:rPr>
          <w:rFonts w:ascii="宋体" w:hAnsi="宋体"/>
          <w:color w:val="000000"/>
          <w:sz w:val="24"/>
        </w:rPr>
      </w:pPr>
      <w:r>
        <w:rPr>
          <w:rFonts w:hint="eastAsia" w:ascii="宋体" w:hAnsi="宋体"/>
          <w:color w:val="000000"/>
          <w:sz w:val="24"/>
        </w:rPr>
        <w:t>4.11.1不利物质条件的范围：</w:t>
      </w:r>
    </w:p>
    <w:p w14:paraId="31C8247E">
      <w:pPr>
        <w:spacing w:line="360" w:lineRule="auto"/>
        <w:ind w:firstLine="480" w:firstLineChars="200"/>
        <w:rPr>
          <w:rFonts w:ascii="宋体" w:hAnsi="宋体"/>
          <w:color w:val="000000"/>
          <w:sz w:val="24"/>
        </w:rPr>
      </w:pPr>
      <w:r>
        <w:rPr>
          <w:rFonts w:hint="eastAsia" w:ascii="宋体" w:hAnsi="宋体"/>
          <w:color w:val="000000"/>
          <w:sz w:val="24"/>
        </w:rPr>
        <w:t>10.1合同进度计划承包人编制施工方案的内容：</w:t>
      </w:r>
    </w:p>
    <w:p w14:paraId="23C435A1">
      <w:pPr>
        <w:spacing w:line="360" w:lineRule="auto"/>
        <w:ind w:firstLine="480" w:firstLineChars="200"/>
        <w:rPr>
          <w:rFonts w:ascii="宋体" w:hAnsi="宋体"/>
          <w:color w:val="000000"/>
          <w:sz w:val="24"/>
        </w:rPr>
      </w:pPr>
      <w:r>
        <w:rPr>
          <w:rFonts w:hint="eastAsia" w:ascii="宋体" w:hAnsi="宋体"/>
          <w:color w:val="000000"/>
          <w:sz w:val="24"/>
        </w:rPr>
        <w:t>11.4异常恶劣的气候条件异常恶劣的气候条件的范围：</w:t>
      </w:r>
    </w:p>
    <w:p w14:paraId="3669CBBC">
      <w:pPr>
        <w:spacing w:line="360" w:lineRule="auto"/>
        <w:ind w:firstLine="480" w:firstLineChars="200"/>
        <w:rPr>
          <w:rFonts w:ascii="宋体" w:hAnsi="宋体"/>
          <w:color w:val="000000"/>
          <w:sz w:val="24"/>
        </w:rPr>
      </w:pPr>
      <w:r>
        <w:rPr>
          <w:rFonts w:hint="eastAsia" w:ascii="宋体" w:hAnsi="宋体"/>
          <w:color w:val="000000"/>
          <w:sz w:val="24"/>
        </w:rPr>
        <w:t>12.1承包人暂停施工的责任</w:t>
      </w:r>
    </w:p>
    <w:p w14:paraId="007A50F7">
      <w:pPr>
        <w:spacing w:line="360" w:lineRule="auto"/>
        <w:ind w:firstLine="480" w:firstLineChars="200"/>
        <w:rPr>
          <w:rFonts w:ascii="宋体" w:hAnsi="宋体"/>
          <w:color w:val="000000"/>
          <w:sz w:val="24"/>
        </w:rPr>
      </w:pPr>
      <w:r>
        <w:rPr>
          <w:rFonts w:hint="eastAsia" w:ascii="宋体" w:hAnsi="宋体"/>
          <w:color w:val="000000"/>
          <w:sz w:val="24"/>
        </w:rPr>
        <w:t>12.1（6）由承包人承担的其他暂停施工：</w:t>
      </w:r>
    </w:p>
    <w:p w14:paraId="1A846D1B">
      <w:pPr>
        <w:spacing w:line="360" w:lineRule="auto"/>
        <w:ind w:firstLine="480" w:firstLineChars="200"/>
        <w:rPr>
          <w:rFonts w:ascii="宋体" w:hAnsi="宋体"/>
          <w:color w:val="000000"/>
          <w:sz w:val="24"/>
        </w:rPr>
      </w:pPr>
      <w:r>
        <w:rPr>
          <w:rFonts w:hint="eastAsia" w:ascii="宋体" w:hAnsi="宋体"/>
          <w:color w:val="000000"/>
          <w:sz w:val="24"/>
        </w:rPr>
        <w:t>21.1不可抗力的确认</w:t>
      </w:r>
    </w:p>
    <w:p w14:paraId="1A3B921F">
      <w:pPr>
        <w:spacing w:line="360" w:lineRule="auto"/>
        <w:ind w:firstLine="480" w:firstLineChars="200"/>
        <w:rPr>
          <w:rFonts w:ascii="宋体" w:hAnsi="宋体"/>
          <w:color w:val="000000"/>
          <w:sz w:val="24"/>
        </w:rPr>
      </w:pPr>
      <w:r>
        <w:rPr>
          <w:rFonts w:hint="eastAsia" w:ascii="宋体" w:hAnsi="宋体"/>
          <w:color w:val="000000"/>
          <w:sz w:val="24"/>
        </w:rPr>
        <w:t>21.1.1（6）不可抗力的其他情形：</w:t>
      </w:r>
    </w:p>
    <w:p w14:paraId="27455D63">
      <w:pPr>
        <w:spacing w:line="360" w:lineRule="auto"/>
        <w:ind w:firstLine="480" w:firstLineChars="200"/>
        <w:rPr>
          <w:rFonts w:ascii="宋体" w:hAnsi="宋体"/>
          <w:color w:val="000000"/>
          <w:sz w:val="24"/>
        </w:rPr>
      </w:pPr>
      <w:r>
        <w:rPr>
          <w:rFonts w:hint="eastAsia" w:ascii="宋体" w:hAnsi="宋体"/>
          <w:color w:val="000000"/>
          <w:sz w:val="24"/>
        </w:rPr>
        <w:t>22.1承包人违约</w:t>
      </w:r>
    </w:p>
    <w:p w14:paraId="2498FD66">
      <w:pPr>
        <w:spacing w:line="360" w:lineRule="auto"/>
        <w:ind w:firstLine="480" w:firstLineChars="200"/>
        <w:rPr>
          <w:rFonts w:ascii="宋体" w:hAnsi="宋体"/>
          <w:color w:val="000000"/>
          <w:sz w:val="24"/>
        </w:rPr>
      </w:pPr>
      <w:r>
        <w:rPr>
          <w:rFonts w:hint="eastAsia" w:ascii="宋体" w:hAnsi="宋体"/>
          <w:color w:val="000000"/>
          <w:sz w:val="24"/>
        </w:rPr>
        <w:t>22.1.2当承包人发生第22.1.1项约定的违约情况时，发包人有权向承包人课以违约金，具体约定如下：</w:t>
      </w:r>
    </w:p>
    <w:p w14:paraId="6E56A837">
      <w:pPr>
        <w:spacing w:line="360" w:lineRule="auto"/>
        <w:ind w:firstLine="480" w:firstLineChars="200"/>
        <w:rPr>
          <w:rFonts w:ascii="宋体" w:hAnsi="宋体"/>
          <w:color w:val="000000"/>
          <w:sz w:val="24"/>
        </w:rPr>
      </w:pPr>
      <w:r>
        <w:rPr>
          <w:rFonts w:hint="eastAsia" w:ascii="宋体" w:hAnsi="宋体"/>
          <w:color w:val="000000"/>
          <w:sz w:val="24"/>
        </w:rPr>
        <w:t>………</w:t>
      </w:r>
    </w:p>
    <w:p w14:paraId="79BA6AD7">
      <w:pPr>
        <w:spacing w:line="360" w:lineRule="auto"/>
        <w:rPr>
          <w:rFonts w:ascii="宋体" w:hAnsi="宋体"/>
          <w:color w:val="000000"/>
          <w:sz w:val="24"/>
        </w:rPr>
      </w:pPr>
    </w:p>
    <w:p w14:paraId="4B4CBDEA">
      <w:pPr>
        <w:spacing w:line="360" w:lineRule="auto"/>
        <w:rPr>
          <w:rFonts w:ascii="宋体" w:hAnsi="宋体"/>
          <w:color w:val="000000"/>
          <w:sz w:val="24"/>
        </w:rPr>
      </w:pPr>
    </w:p>
    <w:p w14:paraId="2E0615BB">
      <w:pPr>
        <w:spacing w:line="360" w:lineRule="auto"/>
        <w:rPr>
          <w:rFonts w:ascii="宋体" w:hAnsi="宋体"/>
          <w:color w:val="000000"/>
          <w:sz w:val="24"/>
        </w:rPr>
      </w:pPr>
    </w:p>
    <w:p w14:paraId="4C41D17C">
      <w:pPr>
        <w:spacing w:line="360" w:lineRule="auto"/>
        <w:rPr>
          <w:rFonts w:ascii="宋体" w:hAnsi="宋体"/>
          <w:color w:val="000000"/>
          <w:sz w:val="24"/>
        </w:rPr>
      </w:pPr>
    </w:p>
    <w:p w14:paraId="1255464E">
      <w:pPr>
        <w:spacing w:line="360" w:lineRule="auto"/>
        <w:rPr>
          <w:rFonts w:ascii="宋体" w:hAnsi="宋体"/>
          <w:color w:val="000000"/>
          <w:sz w:val="24"/>
        </w:rPr>
      </w:pPr>
    </w:p>
    <w:p w14:paraId="067DEDAD">
      <w:pPr>
        <w:spacing w:line="360" w:lineRule="auto"/>
        <w:rPr>
          <w:rFonts w:ascii="宋体" w:hAnsi="宋体"/>
          <w:color w:val="000000"/>
          <w:sz w:val="24"/>
        </w:rPr>
      </w:pPr>
    </w:p>
    <w:p w14:paraId="2199CA6E">
      <w:pPr>
        <w:spacing w:line="360" w:lineRule="auto"/>
        <w:rPr>
          <w:rFonts w:ascii="宋体" w:hAnsi="宋体"/>
          <w:color w:val="000000"/>
          <w:sz w:val="24"/>
        </w:rPr>
      </w:pPr>
    </w:p>
    <w:p w14:paraId="6C156F49">
      <w:pPr>
        <w:pStyle w:val="2"/>
        <w:rPr>
          <w:rFonts w:ascii="宋体" w:hAnsi="宋体" w:eastAsia="宋体"/>
          <w:sz w:val="24"/>
        </w:rPr>
      </w:pPr>
    </w:p>
    <w:p w14:paraId="4020B459">
      <w:pPr>
        <w:pStyle w:val="4"/>
        <w:rPr>
          <w:rFonts w:ascii="宋体" w:hAnsi="宋体" w:eastAsia="宋体"/>
        </w:rPr>
      </w:pPr>
    </w:p>
    <w:p w14:paraId="3FCC91B7">
      <w:pPr>
        <w:spacing w:line="360" w:lineRule="auto"/>
        <w:rPr>
          <w:rFonts w:ascii="宋体" w:hAnsi="宋体"/>
          <w:color w:val="000000"/>
          <w:sz w:val="24"/>
        </w:rPr>
      </w:pPr>
    </w:p>
    <w:p w14:paraId="6150C547">
      <w:pPr>
        <w:spacing w:before="100" w:beforeAutospacing="1" w:after="100" w:afterAutospacing="1" w:line="500" w:lineRule="exact"/>
        <w:ind w:left="7913" w:leftChars="60" w:hanging="7787" w:hangingChars="2424"/>
        <w:jc w:val="center"/>
        <w:outlineLvl w:val="0"/>
        <w:rPr>
          <w:rFonts w:ascii="宋体" w:hAnsi="宋体" w:cs="宋体"/>
          <w:b/>
          <w:bCs/>
          <w:kern w:val="0"/>
          <w:sz w:val="32"/>
          <w:szCs w:val="32"/>
        </w:rPr>
      </w:pPr>
      <w:r>
        <w:rPr>
          <w:rFonts w:hint="eastAsia" w:ascii="宋体" w:hAnsi="宋体" w:cs="宋体"/>
          <w:b/>
          <w:bCs/>
          <w:kern w:val="0"/>
          <w:sz w:val="32"/>
          <w:szCs w:val="32"/>
        </w:rPr>
        <w:t>第五章  工程量清单及图纸（另附）</w:t>
      </w:r>
      <w:bookmarkEnd w:id="132"/>
    </w:p>
    <w:p w14:paraId="4D73837E">
      <w:pPr>
        <w:spacing w:before="100" w:beforeAutospacing="1" w:after="100" w:afterAutospacing="1" w:line="600" w:lineRule="exact"/>
        <w:ind w:left="2500"/>
        <w:jc w:val="left"/>
        <w:outlineLvl w:val="0"/>
        <w:rPr>
          <w:rFonts w:ascii="宋体" w:hAnsi="宋体" w:cs="宋体"/>
          <w:b/>
          <w:bCs/>
          <w:kern w:val="0"/>
          <w:sz w:val="32"/>
          <w:szCs w:val="32"/>
        </w:rPr>
      </w:pPr>
      <w:bookmarkStart w:id="435" w:name="_Toc179632804"/>
      <w:bookmarkStart w:id="436" w:name="_Toc77586966"/>
      <w:bookmarkStart w:id="437" w:name="_Toc152045785"/>
      <w:bookmarkStart w:id="438" w:name="_Toc6878"/>
      <w:bookmarkStart w:id="439" w:name="_Toc296602599"/>
      <w:bookmarkStart w:id="440" w:name="_Toc246996353"/>
      <w:bookmarkStart w:id="441" w:name="_Toc247085870"/>
      <w:bookmarkStart w:id="442" w:name="_Toc152042574"/>
      <w:bookmarkStart w:id="443" w:name="_Toc144974854"/>
      <w:bookmarkStart w:id="444" w:name="_Toc246997096"/>
      <w:bookmarkStart w:id="445" w:name="_Toc171014038"/>
    </w:p>
    <w:p w14:paraId="376C2B41">
      <w:pPr>
        <w:spacing w:before="100" w:beforeAutospacing="1" w:after="100" w:afterAutospacing="1" w:line="600" w:lineRule="exact"/>
        <w:ind w:left="2500"/>
        <w:jc w:val="left"/>
        <w:outlineLvl w:val="0"/>
        <w:rPr>
          <w:rFonts w:ascii="宋体" w:hAnsi="宋体" w:cs="宋体"/>
          <w:b/>
          <w:bCs/>
          <w:kern w:val="0"/>
          <w:sz w:val="32"/>
          <w:szCs w:val="32"/>
        </w:rPr>
      </w:pPr>
    </w:p>
    <w:p w14:paraId="58A919F7">
      <w:pPr>
        <w:spacing w:before="100" w:beforeAutospacing="1" w:after="100" w:afterAutospacing="1" w:line="600" w:lineRule="exact"/>
        <w:ind w:left="2500"/>
        <w:jc w:val="left"/>
        <w:outlineLvl w:val="0"/>
        <w:rPr>
          <w:rFonts w:ascii="宋体" w:hAnsi="宋体" w:cs="宋体"/>
          <w:b/>
          <w:bCs/>
          <w:kern w:val="0"/>
          <w:sz w:val="32"/>
          <w:szCs w:val="32"/>
        </w:rPr>
      </w:pPr>
    </w:p>
    <w:p w14:paraId="3BFC5FFD">
      <w:pPr>
        <w:spacing w:before="100" w:beforeAutospacing="1" w:after="100" w:afterAutospacing="1" w:line="600" w:lineRule="exact"/>
        <w:ind w:left="2500"/>
        <w:jc w:val="left"/>
        <w:outlineLvl w:val="0"/>
        <w:rPr>
          <w:rFonts w:ascii="宋体" w:hAnsi="宋体" w:cs="宋体"/>
          <w:b/>
          <w:bCs/>
          <w:kern w:val="0"/>
          <w:sz w:val="32"/>
          <w:szCs w:val="32"/>
        </w:rPr>
      </w:pPr>
      <w:r>
        <w:rPr>
          <w:rFonts w:hint="eastAsia" w:ascii="宋体" w:hAnsi="宋体" w:cs="宋体"/>
          <w:b/>
          <w:bCs/>
          <w:kern w:val="0"/>
          <w:sz w:val="32"/>
          <w:szCs w:val="32"/>
        </w:rPr>
        <w:t>第六章  技术标准和要求</w:t>
      </w:r>
      <w:bookmarkEnd w:id="435"/>
      <w:bookmarkEnd w:id="436"/>
      <w:bookmarkEnd w:id="437"/>
      <w:bookmarkEnd w:id="438"/>
      <w:bookmarkEnd w:id="439"/>
      <w:bookmarkEnd w:id="440"/>
      <w:bookmarkEnd w:id="441"/>
      <w:bookmarkEnd w:id="442"/>
      <w:bookmarkEnd w:id="443"/>
      <w:bookmarkEnd w:id="444"/>
      <w:bookmarkEnd w:id="445"/>
    </w:p>
    <w:p w14:paraId="60D595EA">
      <w:pPr>
        <w:spacing w:line="480" w:lineRule="auto"/>
        <w:ind w:firstLine="480" w:firstLineChars="200"/>
        <w:rPr>
          <w:rFonts w:ascii="宋体" w:hAnsi="宋体"/>
          <w:sz w:val="24"/>
        </w:rPr>
      </w:pPr>
    </w:p>
    <w:p w14:paraId="6B3FC113">
      <w:pPr>
        <w:spacing w:line="480" w:lineRule="auto"/>
        <w:ind w:firstLine="480" w:firstLineChars="200"/>
        <w:rPr>
          <w:rFonts w:ascii="宋体" w:hAnsi="宋体"/>
          <w:sz w:val="24"/>
        </w:rPr>
      </w:pPr>
      <w:r>
        <w:rPr>
          <w:rFonts w:hint="eastAsia" w:ascii="宋体" w:hAnsi="宋体"/>
          <w:sz w:val="24"/>
        </w:rPr>
        <w:t>1、依据施工方案和技术文件要求，本项目的材料，设备、施工必须达到现行中华人民共和国及省市行业的一切有关法规、规范的要求。</w:t>
      </w:r>
    </w:p>
    <w:p w14:paraId="3DAF1866">
      <w:pPr>
        <w:jc w:val="center"/>
        <w:outlineLvl w:val="0"/>
        <w:rPr>
          <w:rFonts w:ascii="宋体" w:hAnsi="宋体"/>
          <w:b/>
          <w:bCs/>
          <w:sz w:val="32"/>
          <w:szCs w:val="32"/>
        </w:rPr>
      </w:pPr>
      <w:bookmarkStart w:id="446" w:name="_Toc16520680"/>
      <w:bookmarkStart w:id="447" w:name="_Toc16520168"/>
      <w:bookmarkStart w:id="448" w:name="_Toc508179891"/>
    </w:p>
    <w:p w14:paraId="74F6B495">
      <w:pPr>
        <w:jc w:val="center"/>
        <w:outlineLvl w:val="0"/>
        <w:rPr>
          <w:rFonts w:ascii="宋体" w:hAnsi="宋体"/>
          <w:b/>
          <w:bCs/>
          <w:sz w:val="32"/>
          <w:szCs w:val="32"/>
        </w:rPr>
      </w:pPr>
    </w:p>
    <w:p w14:paraId="3AF636DB">
      <w:pPr>
        <w:jc w:val="center"/>
        <w:outlineLvl w:val="0"/>
        <w:rPr>
          <w:rFonts w:ascii="宋体" w:hAnsi="宋体"/>
          <w:b/>
          <w:bCs/>
          <w:sz w:val="32"/>
          <w:szCs w:val="32"/>
        </w:rPr>
      </w:pPr>
    </w:p>
    <w:p w14:paraId="4F015B1B">
      <w:pPr>
        <w:jc w:val="center"/>
        <w:outlineLvl w:val="0"/>
        <w:rPr>
          <w:rFonts w:ascii="宋体" w:hAnsi="宋体"/>
          <w:b/>
          <w:bCs/>
          <w:sz w:val="32"/>
          <w:szCs w:val="32"/>
        </w:rPr>
      </w:pPr>
    </w:p>
    <w:p w14:paraId="1965DF57">
      <w:pPr>
        <w:jc w:val="center"/>
        <w:outlineLvl w:val="0"/>
        <w:rPr>
          <w:rFonts w:ascii="宋体" w:hAnsi="宋体"/>
          <w:b/>
          <w:bCs/>
          <w:sz w:val="32"/>
          <w:szCs w:val="32"/>
        </w:rPr>
      </w:pPr>
    </w:p>
    <w:p w14:paraId="59707064">
      <w:pPr>
        <w:jc w:val="center"/>
        <w:outlineLvl w:val="0"/>
        <w:rPr>
          <w:rFonts w:ascii="宋体" w:hAnsi="宋体"/>
          <w:b/>
          <w:bCs/>
          <w:sz w:val="32"/>
          <w:szCs w:val="32"/>
        </w:rPr>
      </w:pPr>
      <w:bookmarkStart w:id="449" w:name="_Toc171014039"/>
      <w:r>
        <w:rPr>
          <w:rFonts w:ascii="宋体" w:hAnsi="宋体"/>
          <w:b/>
          <w:bCs/>
          <w:sz w:val="32"/>
          <w:szCs w:val="32"/>
        </w:rPr>
        <w:br w:type="page"/>
      </w:r>
      <w:r>
        <w:rPr>
          <w:rFonts w:hint="eastAsia" w:ascii="宋体" w:hAnsi="宋体"/>
          <w:b/>
          <w:bCs/>
          <w:sz w:val="32"/>
          <w:szCs w:val="32"/>
        </w:rPr>
        <w:t>第七章 响应性文件部分格式</w:t>
      </w:r>
      <w:bookmarkEnd w:id="446"/>
      <w:bookmarkEnd w:id="447"/>
      <w:bookmarkEnd w:id="448"/>
      <w:bookmarkEnd w:id="449"/>
    </w:p>
    <w:p w14:paraId="68D33CFB">
      <w:pPr>
        <w:spacing w:line="360" w:lineRule="auto"/>
        <w:rPr>
          <w:rFonts w:ascii="宋体" w:hAnsi="宋体" w:cs="宋体"/>
          <w:b/>
          <w:bCs/>
          <w:sz w:val="32"/>
          <w:szCs w:val="32"/>
        </w:rPr>
      </w:pPr>
    </w:p>
    <w:p w14:paraId="2346132A">
      <w:pPr>
        <w:spacing w:line="360" w:lineRule="auto"/>
        <w:rPr>
          <w:rFonts w:ascii="宋体" w:hAnsi="宋体" w:cs="宋体"/>
          <w:b/>
          <w:sz w:val="30"/>
          <w:szCs w:val="30"/>
        </w:rPr>
      </w:pPr>
      <w:r>
        <w:rPr>
          <w:rFonts w:hint="eastAsia" w:ascii="宋体" w:hAnsi="宋体" w:cs="宋体"/>
          <w:b/>
          <w:sz w:val="30"/>
          <w:szCs w:val="30"/>
        </w:rPr>
        <w:t xml:space="preserve">                                                     正/副本</w:t>
      </w:r>
    </w:p>
    <w:p w14:paraId="0C3F70ED">
      <w:pPr>
        <w:widowControl/>
        <w:jc w:val="left"/>
        <w:rPr>
          <w:rFonts w:ascii="宋体" w:hAnsi="宋体"/>
        </w:rPr>
      </w:pPr>
    </w:p>
    <w:p w14:paraId="42B39FA4">
      <w:pPr>
        <w:spacing w:line="360" w:lineRule="auto"/>
        <w:jc w:val="center"/>
        <w:rPr>
          <w:rFonts w:ascii="宋体" w:hAnsi="宋体" w:cs="宋体"/>
          <w:b/>
          <w:sz w:val="30"/>
          <w:szCs w:val="30"/>
          <w:u w:val="single"/>
        </w:rPr>
      </w:pPr>
      <w:r>
        <w:rPr>
          <w:rFonts w:hint="eastAsia" w:ascii="宋体" w:hAnsi="宋体" w:cs="宋体"/>
          <w:b/>
          <w:sz w:val="30"/>
          <w:szCs w:val="30"/>
        </w:rPr>
        <w:t>（项目名称）</w:t>
      </w:r>
    </w:p>
    <w:p w14:paraId="008D0EF1">
      <w:pPr>
        <w:spacing w:line="360" w:lineRule="auto"/>
        <w:rPr>
          <w:rFonts w:ascii="宋体" w:hAnsi="宋体" w:cs="宋体"/>
          <w:b/>
        </w:rPr>
      </w:pPr>
    </w:p>
    <w:p w14:paraId="030F7885">
      <w:pPr>
        <w:spacing w:line="360" w:lineRule="auto"/>
        <w:jc w:val="center"/>
        <w:rPr>
          <w:rFonts w:ascii="宋体" w:hAnsi="宋体" w:cs="宋体"/>
          <w:b/>
          <w:sz w:val="44"/>
          <w:szCs w:val="44"/>
        </w:rPr>
      </w:pPr>
      <w:r>
        <w:rPr>
          <w:rFonts w:hint="eastAsia" w:ascii="宋体" w:hAnsi="宋体" w:cs="宋体"/>
          <w:b/>
          <w:sz w:val="44"/>
          <w:szCs w:val="44"/>
        </w:rPr>
        <w:t>响 应 性 文 件</w:t>
      </w:r>
    </w:p>
    <w:p w14:paraId="7EEA299A">
      <w:pPr>
        <w:spacing w:line="360" w:lineRule="auto"/>
        <w:ind w:firstLine="420" w:firstLineChars="200"/>
        <w:rPr>
          <w:rFonts w:ascii="宋体" w:hAnsi="宋体" w:cs="宋体"/>
        </w:rPr>
      </w:pPr>
    </w:p>
    <w:p w14:paraId="7D6D39D0">
      <w:pPr>
        <w:spacing w:line="360" w:lineRule="auto"/>
        <w:jc w:val="center"/>
        <w:rPr>
          <w:rFonts w:ascii="宋体" w:hAnsi="宋体" w:cs="宋体"/>
          <w:b/>
          <w:sz w:val="30"/>
          <w:szCs w:val="30"/>
        </w:rPr>
      </w:pPr>
      <w:r>
        <w:rPr>
          <w:rFonts w:hint="eastAsia" w:ascii="宋体" w:hAnsi="宋体" w:cs="宋体"/>
          <w:b/>
          <w:sz w:val="30"/>
          <w:szCs w:val="30"/>
        </w:rPr>
        <w:t>项目编号：</w:t>
      </w:r>
    </w:p>
    <w:p w14:paraId="3A93E069">
      <w:pPr>
        <w:spacing w:line="360" w:lineRule="auto"/>
        <w:ind w:firstLine="420" w:firstLineChars="200"/>
        <w:rPr>
          <w:rFonts w:ascii="宋体" w:hAnsi="宋体" w:cs="宋体"/>
        </w:rPr>
      </w:pPr>
    </w:p>
    <w:p w14:paraId="7E7F9A23">
      <w:pPr>
        <w:spacing w:line="360" w:lineRule="auto"/>
        <w:ind w:firstLine="420" w:firstLineChars="200"/>
        <w:rPr>
          <w:rFonts w:ascii="宋体" w:hAnsi="宋体" w:cs="宋体"/>
        </w:rPr>
      </w:pPr>
    </w:p>
    <w:p w14:paraId="39EEAAA1">
      <w:pPr>
        <w:spacing w:line="360" w:lineRule="auto"/>
        <w:ind w:firstLine="420" w:firstLineChars="200"/>
        <w:rPr>
          <w:rFonts w:ascii="宋体" w:hAnsi="宋体" w:cs="宋体"/>
        </w:rPr>
      </w:pPr>
    </w:p>
    <w:p w14:paraId="074D7221">
      <w:pPr>
        <w:spacing w:line="360" w:lineRule="auto"/>
        <w:ind w:firstLine="420" w:firstLineChars="200"/>
        <w:rPr>
          <w:rFonts w:ascii="宋体" w:hAnsi="宋体" w:cs="宋体"/>
        </w:rPr>
      </w:pPr>
    </w:p>
    <w:p w14:paraId="0AE4AB96">
      <w:pPr>
        <w:spacing w:line="360" w:lineRule="auto"/>
        <w:ind w:firstLine="420" w:firstLineChars="200"/>
        <w:rPr>
          <w:rFonts w:ascii="宋体" w:hAnsi="宋体" w:cs="宋体"/>
        </w:rPr>
      </w:pPr>
    </w:p>
    <w:p w14:paraId="4228E31A">
      <w:pPr>
        <w:widowControl/>
        <w:jc w:val="left"/>
        <w:rPr>
          <w:rFonts w:ascii="宋体" w:hAnsi="宋体"/>
        </w:rPr>
      </w:pPr>
    </w:p>
    <w:p w14:paraId="332BE0DB">
      <w:pPr>
        <w:widowControl/>
        <w:jc w:val="left"/>
        <w:rPr>
          <w:rFonts w:ascii="宋体" w:hAnsi="宋体"/>
        </w:rPr>
      </w:pPr>
    </w:p>
    <w:p w14:paraId="7301DFFC">
      <w:pPr>
        <w:widowControl/>
        <w:jc w:val="left"/>
        <w:rPr>
          <w:rFonts w:ascii="宋体" w:hAnsi="宋体"/>
        </w:rPr>
      </w:pPr>
    </w:p>
    <w:p w14:paraId="1106B9D5">
      <w:pPr>
        <w:widowControl/>
        <w:jc w:val="left"/>
        <w:rPr>
          <w:rFonts w:ascii="宋体" w:hAnsi="宋体"/>
        </w:rPr>
      </w:pPr>
    </w:p>
    <w:p w14:paraId="0A2084D7">
      <w:pPr>
        <w:pStyle w:val="2"/>
        <w:rPr>
          <w:rFonts w:ascii="宋体" w:hAnsi="宋体" w:eastAsia="宋体"/>
        </w:rPr>
      </w:pPr>
    </w:p>
    <w:p w14:paraId="746DC7ED">
      <w:pPr>
        <w:pStyle w:val="4"/>
        <w:rPr>
          <w:rFonts w:ascii="宋体" w:hAnsi="宋体" w:eastAsia="宋体"/>
        </w:rPr>
      </w:pPr>
    </w:p>
    <w:p w14:paraId="6368FBE4">
      <w:pPr>
        <w:rPr>
          <w:rFonts w:ascii="宋体" w:hAnsi="宋体"/>
        </w:rPr>
      </w:pPr>
    </w:p>
    <w:p w14:paraId="0B148262">
      <w:pPr>
        <w:spacing w:line="360" w:lineRule="auto"/>
        <w:rPr>
          <w:rFonts w:ascii="宋体" w:hAnsi="宋体" w:cs="宋体"/>
        </w:rPr>
      </w:pPr>
    </w:p>
    <w:p w14:paraId="771C4A61">
      <w:pPr>
        <w:spacing w:line="480" w:lineRule="auto"/>
        <w:jc w:val="center"/>
        <w:rPr>
          <w:rFonts w:ascii="宋体" w:hAnsi="宋体" w:cs="宋体"/>
          <w:sz w:val="24"/>
        </w:rPr>
      </w:pPr>
      <w:r>
        <w:rPr>
          <w:rFonts w:hint="eastAsia" w:ascii="宋体" w:hAnsi="宋体" w:cs="宋体"/>
          <w:sz w:val="24"/>
        </w:rPr>
        <w:t>供应商：（电子签章）</w:t>
      </w:r>
    </w:p>
    <w:p w14:paraId="62CD3097">
      <w:pPr>
        <w:spacing w:line="480" w:lineRule="auto"/>
        <w:jc w:val="center"/>
        <w:rPr>
          <w:rFonts w:ascii="宋体" w:hAnsi="宋体" w:cs="宋体"/>
          <w:sz w:val="24"/>
        </w:rPr>
      </w:pPr>
      <w:r>
        <w:rPr>
          <w:rFonts w:hint="eastAsia" w:ascii="宋体" w:hAnsi="宋体" w:cs="宋体"/>
          <w:sz w:val="24"/>
        </w:rPr>
        <w:t>法定代表人或其委托代理人：（电子签章）</w:t>
      </w:r>
    </w:p>
    <w:p w14:paraId="7419C0AE">
      <w:pPr>
        <w:spacing w:line="480" w:lineRule="auto"/>
        <w:jc w:val="center"/>
        <w:rPr>
          <w:rFonts w:ascii="宋体" w:hAnsi="宋体" w:cs="宋体"/>
          <w:sz w:val="24"/>
        </w:rPr>
      </w:pPr>
      <w:r>
        <w:rPr>
          <w:rFonts w:hint="eastAsia" w:ascii="宋体" w:hAnsi="宋体" w:cs="宋体"/>
          <w:sz w:val="24"/>
        </w:rPr>
        <w:t xml:space="preserve"> 年月日</w:t>
      </w:r>
    </w:p>
    <w:p w14:paraId="26FB4E5D">
      <w:pPr>
        <w:spacing w:line="360" w:lineRule="auto"/>
        <w:rPr>
          <w:rFonts w:ascii="宋体" w:hAnsi="宋体" w:cs="宋体"/>
        </w:rPr>
      </w:pPr>
    </w:p>
    <w:p w14:paraId="2D580B7D">
      <w:pPr>
        <w:spacing w:line="360" w:lineRule="auto"/>
        <w:rPr>
          <w:rFonts w:ascii="宋体" w:hAnsi="宋体" w:cs="宋体"/>
        </w:rPr>
      </w:pPr>
    </w:p>
    <w:p w14:paraId="704CECB9">
      <w:pPr>
        <w:spacing w:line="540" w:lineRule="exact"/>
        <w:rPr>
          <w:rFonts w:ascii="宋体" w:hAnsi="宋体" w:cs="宋体"/>
          <w:sz w:val="28"/>
          <w:szCs w:val="28"/>
        </w:rPr>
      </w:pPr>
    </w:p>
    <w:p w14:paraId="0A65DD76">
      <w:pPr>
        <w:spacing w:line="540" w:lineRule="exact"/>
        <w:jc w:val="center"/>
        <w:rPr>
          <w:rFonts w:ascii="宋体" w:hAnsi="宋体" w:cs="宋体"/>
          <w:sz w:val="24"/>
        </w:rPr>
      </w:pPr>
      <w:r>
        <w:rPr>
          <w:rFonts w:hint="eastAsia" w:ascii="宋体" w:hAnsi="宋体" w:cs="宋体"/>
          <w:sz w:val="24"/>
        </w:rPr>
        <w:t>目   录</w:t>
      </w:r>
    </w:p>
    <w:p w14:paraId="6B65D533">
      <w:pPr>
        <w:spacing w:line="540" w:lineRule="exact"/>
        <w:rPr>
          <w:rFonts w:ascii="宋体" w:hAnsi="宋体" w:cs="宋体"/>
          <w:sz w:val="24"/>
        </w:rPr>
      </w:pPr>
    </w:p>
    <w:p w14:paraId="6216CEBC">
      <w:pPr>
        <w:spacing w:line="540" w:lineRule="exact"/>
        <w:jc w:val="center"/>
        <w:rPr>
          <w:rFonts w:ascii="宋体" w:hAnsi="宋体" w:cs="宋体"/>
          <w:sz w:val="24"/>
        </w:rPr>
      </w:pPr>
      <w:r>
        <w:rPr>
          <w:rFonts w:hint="eastAsia" w:ascii="宋体" w:hAnsi="宋体" w:cs="宋体"/>
          <w:sz w:val="24"/>
        </w:rPr>
        <w:t>格式自拟</w:t>
      </w:r>
    </w:p>
    <w:p w14:paraId="12E9E8C0">
      <w:pPr>
        <w:shd w:val="clear" w:color="auto" w:fill="FFFFFF"/>
        <w:tabs>
          <w:tab w:val="right" w:pos="6077"/>
        </w:tabs>
        <w:autoSpaceDE w:val="0"/>
        <w:autoSpaceDN w:val="0"/>
        <w:spacing w:line="560" w:lineRule="exact"/>
        <w:rPr>
          <w:rFonts w:ascii="宋体" w:hAnsi="宋体" w:cs="宋体"/>
          <w:b/>
          <w:bCs/>
          <w:kern w:val="10"/>
          <w:sz w:val="32"/>
          <w:szCs w:val="32"/>
        </w:rPr>
      </w:pPr>
    </w:p>
    <w:p w14:paraId="2B9B1206">
      <w:pPr>
        <w:shd w:val="clear" w:color="auto" w:fill="FFFFFF"/>
        <w:tabs>
          <w:tab w:val="right" w:pos="6077"/>
        </w:tabs>
        <w:autoSpaceDE w:val="0"/>
        <w:autoSpaceDN w:val="0"/>
        <w:spacing w:line="560" w:lineRule="exact"/>
        <w:rPr>
          <w:rFonts w:ascii="宋体" w:hAnsi="宋体" w:cs="宋体"/>
          <w:color w:val="000000"/>
          <w:sz w:val="28"/>
          <w:szCs w:val="28"/>
        </w:rPr>
      </w:pPr>
    </w:p>
    <w:p w14:paraId="3ECFE2FA">
      <w:pPr>
        <w:shd w:val="clear" w:color="auto" w:fill="FFFFFF"/>
        <w:tabs>
          <w:tab w:val="right" w:pos="6077"/>
        </w:tabs>
        <w:autoSpaceDE w:val="0"/>
        <w:autoSpaceDN w:val="0"/>
        <w:spacing w:line="560" w:lineRule="exact"/>
        <w:rPr>
          <w:rFonts w:ascii="宋体" w:hAnsi="宋体" w:cs="宋体"/>
          <w:color w:val="000000"/>
          <w:sz w:val="28"/>
          <w:szCs w:val="28"/>
        </w:rPr>
      </w:pPr>
    </w:p>
    <w:p w14:paraId="7BA27B85">
      <w:pPr>
        <w:shd w:val="clear" w:color="auto" w:fill="FFFFFF"/>
        <w:tabs>
          <w:tab w:val="right" w:pos="6077"/>
        </w:tabs>
        <w:autoSpaceDE w:val="0"/>
        <w:autoSpaceDN w:val="0"/>
        <w:spacing w:line="560" w:lineRule="exact"/>
        <w:rPr>
          <w:rFonts w:ascii="宋体" w:hAnsi="宋体" w:cs="宋体"/>
          <w:color w:val="000000"/>
          <w:sz w:val="28"/>
          <w:szCs w:val="28"/>
        </w:rPr>
      </w:pPr>
    </w:p>
    <w:p w14:paraId="3648E10A">
      <w:pPr>
        <w:shd w:val="clear" w:color="auto" w:fill="FFFFFF"/>
        <w:tabs>
          <w:tab w:val="right" w:pos="6077"/>
        </w:tabs>
        <w:autoSpaceDE w:val="0"/>
        <w:autoSpaceDN w:val="0"/>
        <w:spacing w:line="560" w:lineRule="exact"/>
        <w:rPr>
          <w:rFonts w:ascii="宋体" w:hAnsi="宋体" w:cs="宋体"/>
          <w:color w:val="000000"/>
          <w:sz w:val="28"/>
          <w:szCs w:val="28"/>
        </w:rPr>
      </w:pPr>
    </w:p>
    <w:p w14:paraId="6A360DDE">
      <w:pPr>
        <w:widowControl/>
        <w:jc w:val="left"/>
        <w:rPr>
          <w:rFonts w:ascii="宋体" w:hAnsi="宋体"/>
        </w:rPr>
      </w:pPr>
    </w:p>
    <w:p w14:paraId="21A3E848">
      <w:pPr>
        <w:widowControl/>
        <w:jc w:val="left"/>
        <w:rPr>
          <w:rFonts w:ascii="宋体" w:hAnsi="宋体"/>
        </w:rPr>
      </w:pPr>
    </w:p>
    <w:p w14:paraId="59E34E78">
      <w:pPr>
        <w:shd w:val="clear" w:color="auto" w:fill="FFFFFF"/>
        <w:tabs>
          <w:tab w:val="right" w:pos="6077"/>
        </w:tabs>
        <w:autoSpaceDE w:val="0"/>
        <w:autoSpaceDN w:val="0"/>
        <w:spacing w:line="560" w:lineRule="exact"/>
        <w:rPr>
          <w:rFonts w:ascii="宋体" w:hAnsi="宋体" w:cs="宋体"/>
          <w:color w:val="000000"/>
          <w:sz w:val="28"/>
          <w:szCs w:val="28"/>
        </w:rPr>
      </w:pPr>
    </w:p>
    <w:p w14:paraId="16F3EB0C">
      <w:pPr>
        <w:shd w:val="clear" w:color="auto" w:fill="FFFFFF"/>
        <w:tabs>
          <w:tab w:val="right" w:pos="6077"/>
        </w:tabs>
        <w:autoSpaceDE w:val="0"/>
        <w:autoSpaceDN w:val="0"/>
        <w:spacing w:line="560" w:lineRule="exact"/>
        <w:rPr>
          <w:rFonts w:ascii="宋体" w:hAnsi="宋体" w:cs="宋体"/>
          <w:color w:val="000000"/>
          <w:sz w:val="28"/>
          <w:szCs w:val="28"/>
        </w:rPr>
      </w:pPr>
    </w:p>
    <w:p w14:paraId="47618E3F">
      <w:pPr>
        <w:widowControl/>
        <w:jc w:val="left"/>
        <w:rPr>
          <w:rFonts w:ascii="宋体" w:hAnsi="宋体"/>
        </w:rPr>
      </w:pPr>
    </w:p>
    <w:p w14:paraId="0D92A2A8">
      <w:pPr>
        <w:widowControl/>
        <w:jc w:val="left"/>
        <w:rPr>
          <w:rFonts w:ascii="宋体" w:hAnsi="宋体"/>
        </w:rPr>
      </w:pPr>
    </w:p>
    <w:p w14:paraId="7220E194">
      <w:pPr>
        <w:widowControl/>
        <w:jc w:val="left"/>
        <w:rPr>
          <w:rFonts w:ascii="宋体" w:hAnsi="宋体"/>
        </w:rPr>
      </w:pPr>
    </w:p>
    <w:p w14:paraId="6165656A">
      <w:pPr>
        <w:widowControl/>
        <w:jc w:val="left"/>
        <w:rPr>
          <w:rFonts w:ascii="宋体" w:hAnsi="宋体"/>
        </w:rPr>
      </w:pPr>
    </w:p>
    <w:p w14:paraId="190D8325">
      <w:pPr>
        <w:widowControl/>
        <w:jc w:val="left"/>
        <w:rPr>
          <w:rFonts w:ascii="宋体" w:hAnsi="宋体"/>
        </w:rPr>
      </w:pPr>
    </w:p>
    <w:p w14:paraId="1906BC32">
      <w:pPr>
        <w:widowControl/>
        <w:jc w:val="left"/>
        <w:rPr>
          <w:rFonts w:ascii="宋体" w:hAnsi="宋体"/>
        </w:rPr>
      </w:pPr>
    </w:p>
    <w:p w14:paraId="201F5997">
      <w:pPr>
        <w:widowControl/>
        <w:jc w:val="left"/>
        <w:rPr>
          <w:rFonts w:ascii="宋体" w:hAnsi="宋体"/>
        </w:rPr>
      </w:pPr>
    </w:p>
    <w:p w14:paraId="0DCCF94E">
      <w:pPr>
        <w:widowControl/>
        <w:jc w:val="left"/>
        <w:rPr>
          <w:rFonts w:ascii="宋体" w:hAnsi="宋体"/>
        </w:rPr>
      </w:pPr>
    </w:p>
    <w:p w14:paraId="7F7A38C4">
      <w:pPr>
        <w:widowControl/>
        <w:jc w:val="left"/>
        <w:rPr>
          <w:rFonts w:ascii="宋体" w:hAnsi="宋体"/>
        </w:rPr>
      </w:pPr>
    </w:p>
    <w:p w14:paraId="0D418F3D">
      <w:pPr>
        <w:widowControl/>
        <w:jc w:val="left"/>
        <w:rPr>
          <w:rFonts w:ascii="宋体" w:hAnsi="宋体"/>
        </w:rPr>
      </w:pPr>
    </w:p>
    <w:p w14:paraId="6E59D114">
      <w:pPr>
        <w:widowControl/>
        <w:jc w:val="left"/>
        <w:rPr>
          <w:rFonts w:ascii="宋体" w:hAnsi="宋体"/>
        </w:rPr>
      </w:pPr>
    </w:p>
    <w:p w14:paraId="0718C11D">
      <w:pPr>
        <w:widowControl/>
        <w:jc w:val="left"/>
        <w:rPr>
          <w:rFonts w:ascii="宋体" w:hAnsi="宋体"/>
        </w:rPr>
      </w:pPr>
    </w:p>
    <w:p w14:paraId="1E382C70">
      <w:pPr>
        <w:widowControl/>
        <w:jc w:val="left"/>
        <w:rPr>
          <w:rFonts w:ascii="宋体" w:hAnsi="宋体"/>
        </w:rPr>
      </w:pPr>
    </w:p>
    <w:p w14:paraId="3BB23B44">
      <w:pPr>
        <w:widowControl/>
        <w:jc w:val="left"/>
        <w:rPr>
          <w:rFonts w:ascii="宋体" w:hAnsi="宋体"/>
        </w:rPr>
      </w:pPr>
    </w:p>
    <w:p w14:paraId="2F6F6905">
      <w:pPr>
        <w:widowControl/>
        <w:jc w:val="left"/>
        <w:rPr>
          <w:rFonts w:ascii="宋体" w:hAnsi="宋体"/>
        </w:rPr>
      </w:pPr>
    </w:p>
    <w:p w14:paraId="4EA2B251">
      <w:pPr>
        <w:widowControl/>
        <w:jc w:val="left"/>
        <w:rPr>
          <w:rFonts w:ascii="宋体" w:hAnsi="宋体"/>
        </w:rPr>
      </w:pPr>
    </w:p>
    <w:p w14:paraId="2BB20099">
      <w:pPr>
        <w:widowControl/>
        <w:jc w:val="left"/>
        <w:rPr>
          <w:rFonts w:ascii="宋体" w:hAnsi="宋体"/>
        </w:rPr>
      </w:pPr>
    </w:p>
    <w:p w14:paraId="1E3A8B8F">
      <w:pPr>
        <w:widowControl/>
        <w:jc w:val="left"/>
        <w:rPr>
          <w:rFonts w:ascii="宋体" w:hAnsi="宋体"/>
        </w:rPr>
      </w:pPr>
    </w:p>
    <w:p w14:paraId="0ABE68CD">
      <w:pPr>
        <w:widowControl/>
        <w:jc w:val="left"/>
        <w:rPr>
          <w:rFonts w:ascii="宋体" w:hAnsi="宋体"/>
        </w:rPr>
      </w:pPr>
    </w:p>
    <w:p w14:paraId="122E1D20">
      <w:pPr>
        <w:widowControl/>
        <w:jc w:val="left"/>
        <w:rPr>
          <w:rFonts w:ascii="宋体" w:hAnsi="宋体"/>
        </w:rPr>
      </w:pPr>
    </w:p>
    <w:p w14:paraId="7FB28076">
      <w:pPr>
        <w:widowControl/>
        <w:jc w:val="left"/>
        <w:rPr>
          <w:rFonts w:ascii="宋体" w:hAnsi="宋体"/>
        </w:rPr>
      </w:pPr>
      <w:bookmarkStart w:id="450" w:name="_Toc16520169"/>
      <w:bookmarkStart w:id="451" w:name="_Toc16520681"/>
      <w:bookmarkStart w:id="452" w:name="_Toc508179892"/>
    </w:p>
    <w:p w14:paraId="050FB359">
      <w:pPr>
        <w:rPr>
          <w:rFonts w:ascii="宋体" w:hAnsi="宋体" w:cs="宋体"/>
          <w:b/>
          <w:bCs/>
          <w:color w:val="000000"/>
          <w:sz w:val="32"/>
          <w:szCs w:val="32"/>
        </w:rPr>
      </w:pPr>
      <w:bookmarkStart w:id="453" w:name="_Toc171014040"/>
      <w:r>
        <w:rPr>
          <w:rFonts w:hint="eastAsia" w:ascii="宋体" w:hAnsi="宋体" w:cs="宋体"/>
          <w:b/>
          <w:bCs/>
          <w:color w:val="000000"/>
          <w:sz w:val="32"/>
          <w:szCs w:val="32"/>
        </w:rPr>
        <w:br w:type="page"/>
      </w:r>
    </w:p>
    <w:p w14:paraId="05B8A501">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r>
        <w:rPr>
          <w:rFonts w:hint="eastAsia" w:ascii="宋体" w:hAnsi="宋体" w:cs="宋体"/>
          <w:b/>
          <w:bCs/>
          <w:color w:val="000000"/>
          <w:sz w:val="32"/>
          <w:szCs w:val="32"/>
        </w:rPr>
        <w:t>一、报价函</w:t>
      </w:r>
      <w:bookmarkEnd w:id="450"/>
      <w:bookmarkEnd w:id="451"/>
      <w:bookmarkEnd w:id="452"/>
      <w:bookmarkEnd w:id="453"/>
    </w:p>
    <w:p w14:paraId="221A3E32">
      <w:pPr>
        <w:spacing w:line="360" w:lineRule="auto"/>
        <w:jc w:val="center"/>
        <w:rPr>
          <w:rFonts w:ascii="宋体" w:hAnsi="宋体" w:cs="宋体"/>
          <w:b/>
          <w:bCs/>
          <w:color w:val="000000"/>
          <w:kern w:val="0"/>
          <w:sz w:val="28"/>
          <w:szCs w:val="28"/>
        </w:rPr>
      </w:pPr>
      <w:r>
        <w:rPr>
          <w:rFonts w:hint="eastAsia" w:ascii="宋体" w:hAnsi="宋体" w:cs="宋体"/>
          <w:b/>
          <w:bCs/>
          <w:color w:val="000000"/>
          <w:kern w:val="0"/>
          <w:sz w:val="28"/>
          <w:szCs w:val="28"/>
        </w:rPr>
        <w:t>（1）报价函</w:t>
      </w:r>
    </w:p>
    <w:p w14:paraId="674E4347">
      <w:pPr>
        <w:spacing w:line="360" w:lineRule="auto"/>
        <w:rPr>
          <w:rFonts w:ascii="宋体" w:hAnsi="宋体" w:cs="宋体"/>
          <w:sz w:val="24"/>
        </w:rPr>
      </w:pPr>
      <w:r>
        <w:rPr>
          <w:rFonts w:hint="eastAsia" w:ascii="宋体" w:hAnsi="宋体" w:cs="宋体"/>
          <w:sz w:val="24"/>
        </w:rPr>
        <w:t xml:space="preserve">（采购人名称）: </w:t>
      </w:r>
    </w:p>
    <w:p w14:paraId="6AD53126">
      <w:pPr>
        <w:spacing w:line="360" w:lineRule="auto"/>
        <w:ind w:firstLine="480" w:firstLineChars="200"/>
        <w:rPr>
          <w:rFonts w:ascii="宋体" w:hAnsi="宋体" w:cs="宋体"/>
          <w:sz w:val="24"/>
        </w:rPr>
      </w:pPr>
      <w:r>
        <w:rPr>
          <w:rFonts w:hint="eastAsia" w:ascii="宋体" w:hAnsi="宋体" w:cs="宋体"/>
          <w:sz w:val="24"/>
        </w:rPr>
        <w:t>1．在研究了上述（项目名称）的竞争性磋商文件后，我们愿意按人民币（大写）元（￥）的磋商报价，工期，质量要求，遵照竞争性磋商文件的要求及合同约定承包该项目的实施、完成及其缺陷修复工作。</w:t>
      </w:r>
    </w:p>
    <w:p w14:paraId="3CC3E6B8">
      <w:pPr>
        <w:spacing w:line="360" w:lineRule="auto"/>
        <w:ind w:firstLine="480" w:firstLineChars="200"/>
        <w:rPr>
          <w:rFonts w:ascii="宋体" w:hAnsi="宋体" w:cs="宋体"/>
          <w:sz w:val="24"/>
        </w:rPr>
      </w:pPr>
      <w:r>
        <w:rPr>
          <w:rFonts w:hint="eastAsia" w:ascii="宋体" w:hAnsi="宋体" w:cs="宋体"/>
          <w:sz w:val="24"/>
        </w:rPr>
        <w:t>2．我方承诺在磋商投标有效期内不修改、撤销响应性文件。</w:t>
      </w:r>
    </w:p>
    <w:p w14:paraId="0157DF96">
      <w:pPr>
        <w:spacing w:line="360" w:lineRule="auto"/>
        <w:ind w:firstLine="480" w:firstLineChars="200"/>
        <w:rPr>
          <w:rFonts w:ascii="宋体" w:hAnsi="宋体" w:cs="宋体"/>
          <w:sz w:val="24"/>
        </w:rPr>
      </w:pPr>
      <w:r>
        <w:rPr>
          <w:rFonts w:hint="eastAsia" w:ascii="宋体" w:hAnsi="宋体" w:cs="宋体"/>
          <w:sz w:val="24"/>
        </w:rPr>
        <w:t>3、如果你单位接受我们的报价，我们将保证在接到开工通知后，在本响应性文件内写明的开服务期限内开工，所有上岗人员按照磋商承诺，及时到位，组织工作。并在计划服务期限内完成本合同项目，达到合同规定的要求。</w:t>
      </w:r>
    </w:p>
    <w:p w14:paraId="3B0DD09A">
      <w:pPr>
        <w:spacing w:line="360" w:lineRule="auto"/>
        <w:ind w:firstLine="480" w:firstLineChars="200"/>
        <w:rPr>
          <w:rFonts w:ascii="宋体" w:hAnsi="宋体" w:cs="宋体"/>
          <w:sz w:val="24"/>
        </w:rPr>
      </w:pPr>
      <w:r>
        <w:rPr>
          <w:rFonts w:hint="eastAsia" w:ascii="宋体" w:hAnsi="宋体" w:cs="宋体"/>
          <w:sz w:val="24"/>
        </w:rPr>
        <w:t>4．如我方成交，我方承诺在收到成交通知书后，在成交通知书规定的期限内与你方签订合同。</w:t>
      </w:r>
    </w:p>
    <w:p w14:paraId="4C4D1DA1">
      <w:pPr>
        <w:spacing w:line="360" w:lineRule="auto"/>
        <w:ind w:firstLine="480" w:firstLineChars="200"/>
        <w:rPr>
          <w:rFonts w:ascii="宋体" w:hAnsi="宋体" w:cs="宋体"/>
          <w:sz w:val="24"/>
        </w:rPr>
      </w:pPr>
      <w:r>
        <w:rPr>
          <w:rFonts w:hint="eastAsia" w:ascii="宋体" w:hAnsi="宋体" w:cs="宋体"/>
          <w:sz w:val="24"/>
        </w:rPr>
        <w:t>5、在合同协议书正式签署生效之前，本响应性文件连同你单位的成交通知书将构成我们双方之间共同遵守的文件，对双方具有约束力。</w:t>
      </w:r>
    </w:p>
    <w:p w14:paraId="0B9607C5">
      <w:pPr>
        <w:spacing w:line="360" w:lineRule="auto"/>
        <w:ind w:firstLine="480" w:firstLineChars="200"/>
        <w:rPr>
          <w:rFonts w:ascii="宋体" w:hAnsi="宋体" w:cs="宋体"/>
          <w:sz w:val="24"/>
        </w:rPr>
      </w:pPr>
      <w:r>
        <w:rPr>
          <w:rFonts w:hint="eastAsia" w:ascii="宋体" w:hAnsi="宋体" w:cs="宋体"/>
          <w:sz w:val="24"/>
        </w:rPr>
        <w:t>6、我方理解甲方竞争性磋商文件的所有要求，若不成交，不要求采购人做任何解释。</w:t>
      </w:r>
    </w:p>
    <w:p w14:paraId="7AEC73F5">
      <w:pPr>
        <w:spacing w:line="360" w:lineRule="auto"/>
        <w:ind w:firstLine="480" w:firstLineChars="200"/>
        <w:rPr>
          <w:rFonts w:ascii="宋体" w:hAnsi="宋体" w:cs="宋体"/>
          <w:color w:val="FF00FF"/>
          <w:sz w:val="24"/>
        </w:rPr>
      </w:pPr>
      <w:r>
        <w:rPr>
          <w:rFonts w:hint="eastAsia" w:ascii="宋体" w:hAnsi="宋体" w:cs="宋体"/>
          <w:sz w:val="24"/>
        </w:rPr>
        <w:t>7、我方在此声明，所递交的响应性文件及有关资料内容完整、真实和准确。</w:t>
      </w:r>
    </w:p>
    <w:p w14:paraId="0070191F">
      <w:pPr>
        <w:spacing w:line="360" w:lineRule="auto"/>
        <w:ind w:firstLine="480" w:firstLineChars="200"/>
        <w:rPr>
          <w:rFonts w:ascii="宋体" w:hAnsi="宋体" w:cs="宋体"/>
          <w:sz w:val="24"/>
        </w:rPr>
      </w:pPr>
      <w:r>
        <w:rPr>
          <w:rFonts w:hint="eastAsia" w:ascii="宋体" w:hAnsi="宋体" w:cs="宋体"/>
          <w:sz w:val="24"/>
        </w:rPr>
        <w:t>8、 （其他补充说明,若无补充说明时本条可取消）。</w:t>
      </w:r>
    </w:p>
    <w:p w14:paraId="3035CC01">
      <w:pPr>
        <w:spacing w:line="360" w:lineRule="auto"/>
        <w:ind w:firstLine="480" w:firstLineChars="200"/>
        <w:rPr>
          <w:rFonts w:ascii="宋体" w:hAnsi="宋体" w:cs="宋体"/>
          <w:sz w:val="24"/>
        </w:rPr>
      </w:pPr>
    </w:p>
    <w:p w14:paraId="59007B97">
      <w:pPr>
        <w:widowControl/>
        <w:jc w:val="left"/>
        <w:rPr>
          <w:rFonts w:ascii="宋体" w:hAnsi="宋体"/>
        </w:rPr>
      </w:pPr>
    </w:p>
    <w:p w14:paraId="3BDCD7D0">
      <w:pPr>
        <w:widowControl/>
        <w:jc w:val="left"/>
        <w:rPr>
          <w:rFonts w:ascii="宋体" w:hAnsi="宋体"/>
        </w:rPr>
      </w:pPr>
    </w:p>
    <w:p w14:paraId="071476C7">
      <w:pPr>
        <w:spacing w:line="360" w:lineRule="auto"/>
        <w:ind w:firstLine="770" w:firstLineChars="321"/>
        <w:rPr>
          <w:rFonts w:ascii="宋体" w:hAnsi="宋体" w:cs="宋体"/>
          <w:sz w:val="24"/>
        </w:rPr>
      </w:pPr>
      <w:r>
        <w:rPr>
          <w:rFonts w:hint="eastAsia" w:ascii="宋体" w:hAnsi="宋体" w:cs="宋体"/>
          <w:sz w:val="24"/>
        </w:rPr>
        <w:t>供应商：（电子签章）</w:t>
      </w:r>
    </w:p>
    <w:p w14:paraId="55096D0B">
      <w:pPr>
        <w:spacing w:line="360" w:lineRule="auto"/>
        <w:ind w:firstLine="720" w:firstLineChars="300"/>
        <w:rPr>
          <w:rFonts w:ascii="宋体" w:hAnsi="宋体" w:cs="宋体"/>
          <w:sz w:val="24"/>
        </w:rPr>
      </w:pPr>
      <w:r>
        <w:rPr>
          <w:rFonts w:hint="eastAsia" w:ascii="宋体" w:hAnsi="宋体" w:cs="宋体"/>
          <w:sz w:val="24"/>
        </w:rPr>
        <w:t>法定代表人或其委托代理人：（电子签章）</w:t>
      </w:r>
    </w:p>
    <w:p w14:paraId="4226A105">
      <w:pPr>
        <w:autoSpaceDE w:val="0"/>
        <w:autoSpaceDN w:val="0"/>
        <w:adjustRightInd w:val="0"/>
        <w:spacing w:line="360" w:lineRule="auto"/>
        <w:ind w:firstLine="720" w:firstLineChars="300"/>
        <w:jc w:val="left"/>
        <w:rPr>
          <w:rFonts w:ascii="宋体" w:hAnsi="宋体" w:cs="宋体"/>
          <w:color w:val="000000"/>
          <w:kern w:val="0"/>
          <w:sz w:val="24"/>
        </w:rPr>
      </w:pPr>
      <w:r>
        <w:rPr>
          <w:rFonts w:hint="eastAsia" w:ascii="宋体" w:hAnsi="宋体" w:cs="宋体"/>
          <w:color w:val="000000"/>
          <w:kern w:val="0"/>
          <w:sz w:val="24"/>
        </w:rPr>
        <w:t>电话：（填写能联系到的电话号码，方便通知二次报价）</w:t>
      </w:r>
    </w:p>
    <w:p w14:paraId="52810991">
      <w:pPr>
        <w:spacing w:line="360" w:lineRule="auto"/>
        <w:ind w:firstLine="720" w:firstLineChars="300"/>
        <w:rPr>
          <w:rFonts w:ascii="宋体" w:hAnsi="宋体" w:cs="宋体"/>
          <w:sz w:val="24"/>
        </w:rPr>
      </w:pPr>
    </w:p>
    <w:p w14:paraId="785CB78B">
      <w:pPr>
        <w:spacing w:line="360" w:lineRule="auto"/>
        <w:ind w:firstLine="4680" w:firstLineChars="1950"/>
        <w:rPr>
          <w:rFonts w:ascii="宋体" w:hAnsi="宋体" w:cs="宋体"/>
          <w:sz w:val="24"/>
        </w:rPr>
      </w:pPr>
    </w:p>
    <w:p w14:paraId="1DDAC769">
      <w:pPr>
        <w:spacing w:line="360" w:lineRule="auto"/>
        <w:ind w:firstLine="6000" w:firstLineChars="2500"/>
        <w:rPr>
          <w:rFonts w:ascii="宋体" w:hAnsi="宋体" w:cs="宋体"/>
          <w:sz w:val="24"/>
        </w:rPr>
      </w:pPr>
      <w:r>
        <w:rPr>
          <w:rFonts w:hint="eastAsia" w:ascii="宋体" w:hAnsi="宋体" w:cs="宋体"/>
          <w:sz w:val="24"/>
        </w:rPr>
        <w:t>年月日</w:t>
      </w:r>
      <w:bookmarkStart w:id="454" w:name="_Toc234421990"/>
    </w:p>
    <w:bookmarkEnd w:id="454"/>
    <w:p w14:paraId="18C06D03">
      <w:pPr>
        <w:spacing w:line="360" w:lineRule="auto"/>
        <w:jc w:val="center"/>
        <w:rPr>
          <w:rFonts w:ascii="宋体" w:hAnsi="宋体" w:cs="宋体"/>
          <w:b/>
          <w:bCs/>
          <w:color w:val="000000"/>
          <w:kern w:val="0"/>
          <w:sz w:val="28"/>
          <w:szCs w:val="28"/>
        </w:rPr>
      </w:pPr>
    </w:p>
    <w:p w14:paraId="12C47CED">
      <w:pPr>
        <w:widowControl/>
        <w:jc w:val="left"/>
        <w:rPr>
          <w:rFonts w:ascii="宋体" w:hAnsi="宋体"/>
        </w:rPr>
      </w:pPr>
    </w:p>
    <w:p w14:paraId="5A3BEAF3">
      <w:pPr>
        <w:widowControl/>
        <w:jc w:val="left"/>
        <w:rPr>
          <w:rFonts w:ascii="宋体" w:hAnsi="宋体"/>
        </w:rPr>
      </w:pPr>
    </w:p>
    <w:p w14:paraId="4A548AE3">
      <w:pPr>
        <w:rPr>
          <w:rFonts w:ascii="宋体" w:hAnsi="宋体" w:cs="宋体"/>
          <w:b/>
          <w:bCs/>
          <w:color w:val="000000"/>
          <w:kern w:val="0"/>
          <w:sz w:val="28"/>
          <w:szCs w:val="28"/>
        </w:rPr>
      </w:pPr>
      <w:r>
        <w:rPr>
          <w:rFonts w:hint="eastAsia" w:ascii="宋体" w:hAnsi="宋体" w:cs="宋体"/>
          <w:b/>
          <w:bCs/>
          <w:color w:val="000000"/>
          <w:kern w:val="0"/>
          <w:sz w:val="28"/>
          <w:szCs w:val="28"/>
        </w:rPr>
        <w:br w:type="page"/>
      </w:r>
    </w:p>
    <w:p w14:paraId="38398025">
      <w:pPr>
        <w:spacing w:line="360" w:lineRule="auto"/>
        <w:jc w:val="center"/>
        <w:rPr>
          <w:rFonts w:ascii="宋体" w:hAnsi="宋体" w:cs="宋体"/>
          <w:b/>
          <w:bCs/>
          <w:color w:val="000000"/>
          <w:kern w:val="0"/>
          <w:sz w:val="28"/>
          <w:szCs w:val="28"/>
        </w:rPr>
      </w:pPr>
      <w:r>
        <w:rPr>
          <w:rFonts w:hint="eastAsia" w:ascii="宋体" w:hAnsi="宋体" w:cs="宋体"/>
          <w:b/>
          <w:bCs/>
          <w:color w:val="000000"/>
          <w:kern w:val="0"/>
          <w:sz w:val="28"/>
          <w:szCs w:val="28"/>
        </w:rPr>
        <w:t>（2）初次报价一览表</w:t>
      </w:r>
    </w:p>
    <w:tbl>
      <w:tblPr>
        <w:tblStyle w:val="11"/>
        <w:tblpPr w:leftFromText="181" w:rightFromText="181" w:vertAnchor="text" w:horzAnchor="margin" w:tblpXSpec="center" w:tblpY="128"/>
        <w:tblOverlap w:val="never"/>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400"/>
        <w:gridCol w:w="1401"/>
        <w:gridCol w:w="1401"/>
        <w:gridCol w:w="1401"/>
        <w:gridCol w:w="1401"/>
      </w:tblGrid>
      <w:tr w14:paraId="7C02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643" w:type="dxa"/>
            <w:noWrap/>
            <w:vAlign w:val="center"/>
          </w:tcPr>
          <w:p w14:paraId="7A0D5F46">
            <w:pPr>
              <w:spacing w:line="480" w:lineRule="exact"/>
              <w:jc w:val="center"/>
              <w:rPr>
                <w:rFonts w:ascii="宋体" w:hAnsi="宋体" w:cs="宋体"/>
                <w:sz w:val="24"/>
              </w:rPr>
            </w:pPr>
            <w:r>
              <w:rPr>
                <w:rFonts w:hint="eastAsia" w:ascii="宋体" w:hAnsi="宋体" w:cs="宋体"/>
                <w:sz w:val="24"/>
              </w:rPr>
              <w:t>工程名称</w:t>
            </w:r>
          </w:p>
        </w:tc>
        <w:tc>
          <w:tcPr>
            <w:tcW w:w="7004" w:type="dxa"/>
            <w:gridSpan w:val="5"/>
            <w:noWrap/>
            <w:vAlign w:val="center"/>
          </w:tcPr>
          <w:p w14:paraId="11873F07">
            <w:pPr>
              <w:spacing w:line="480" w:lineRule="exact"/>
              <w:jc w:val="center"/>
              <w:rPr>
                <w:rFonts w:ascii="宋体" w:hAnsi="宋体" w:cs="宋体"/>
                <w:sz w:val="24"/>
              </w:rPr>
            </w:pPr>
          </w:p>
        </w:tc>
      </w:tr>
      <w:tr w14:paraId="5CB8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jc w:val="center"/>
        </w:trPr>
        <w:tc>
          <w:tcPr>
            <w:tcW w:w="1643" w:type="dxa"/>
            <w:noWrap/>
            <w:vAlign w:val="center"/>
          </w:tcPr>
          <w:p w14:paraId="289CD5AE">
            <w:pPr>
              <w:spacing w:line="480" w:lineRule="exact"/>
              <w:jc w:val="center"/>
              <w:rPr>
                <w:rFonts w:ascii="宋体" w:hAnsi="宋体" w:cs="宋体"/>
                <w:sz w:val="24"/>
              </w:rPr>
            </w:pPr>
            <w:r>
              <w:rPr>
                <w:rFonts w:hint="eastAsia" w:ascii="宋体" w:hAnsi="宋体" w:cs="宋体"/>
                <w:sz w:val="24"/>
              </w:rPr>
              <w:t>投标人名称</w:t>
            </w:r>
          </w:p>
        </w:tc>
        <w:tc>
          <w:tcPr>
            <w:tcW w:w="7004" w:type="dxa"/>
            <w:gridSpan w:val="5"/>
            <w:noWrap/>
            <w:vAlign w:val="center"/>
          </w:tcPr>
          <w:p w14:paraId="28DF802A">
            <w:pPr>
              <w:spacing w:line="480" w:lineRule="exact"/>
              <w:jc w:val="center"/>
              <w:rPr>
                <w:rFonts w:ascii="宋体" w:hAnsi="宋体" w:cs="宋体"/>
                <w:sz w:val="24"/>
              </w:rPr>
            </w:pPr>
          </w:p>
        </w:tc>
      </w:tr>
      <w:tr w14:paraId="13DE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1643" w:type="dxa"/>
            <w:noWrap/>
            <w:vAlign w:val="center"/>
          </w:tcPr>
          <w:p w14:paraId="27007A77">
            <w:pPr>
              <w:spacing w:line="480" w:lineRule="exact"/>
              <w:jc w:val="center"/>
              <w:rPr>
                <w:rFonts w:ascii="宋体" w:hAnsi="宋体" w:cs="宋体"/>
                <w:sz w:val="24"/>
              </w:rPr>
            </w:pPr>
            <w:r>
              <w:rPr>
                <w:rFonts w:hint="eastAsia" w:ascii="宋体" w:hAnsi="宋体" w:cs="宋体"/>
                <w:sz w:val="24"/>
              </w:rPr>
              <w:t>项目经理</w:t>
            </w:r>
          </w:p>
        </w:tc>
        <w:tc>
          <w:tcPr>
            <w:tcW w:w="1400" w:type="dxa"/>
            <w:noWrap/>
            <w:vAlign w:val="center"/>
          </w:tcPr>
          <w:p w14:paraId="3F83A835">
            <w:pPr>
              <w:spacing w:line="480" w:lineRule="exact"/>
              <w:jc w:val="center"/>
              <w:rPr>
                <w:rFonts w:ascii="宋体" w:hAnsi="宋体" w:cs="宋体"/>
                <w:sz w:val="24"/>
              </w:rPr>
            </w:pPr>
          </w:p>
        </w:tc>
        <w:tc>
          <w:tcPr>
            <w:tcW w:w="1401" w:type="dxa"/>
            <w:noWrap/>
            <w:vAlign w:val="center"/>
          </w:tcPr>
          <w:p w14:paraId="5B8F3EA6">
            <w:pPr>
              <w:spacing w:line="480" w:lineRule="exact"/>
              <w:jc w:val="center"/>
              <w:rPr>
                <w:rFonts w:ascii="宋体" w:hAnsi="宋体" w:cs="宋体"/>
                <w:sz w:val="24"/>
              </w:rPr>
            </w:pPr>
            <w:r>
              <w:rPr>
                <w:rFonts w:hint="eastAsia" w:ascii="宋体" w:hAnsi="宋体" w:cs="宋体"/>
                <w:sz w:val="24"/>
              </w:rPr>
              <w:t>级别</w:t>
            </w:r>
          </w:p>
        </w:tc>
        <w:tc>
          <w:tcPr>
            <w:tcW w:w="1401" w:type="dxa"/>
            <w:noWrap/>
            <w:vAlign w:val="center"/>
          </w:tcPr>
          <w:p w14:paraId="1DB5F459">
            <w:pPr>
              <w:spacing w:line="480" w:lineRule="exact"/>
              <w:jc w:val="center"/>
              <w:rPr>
                <w:rFonts w:ascii="宋体" w:hAnsi="宋体" w:cs="宋体"/>
                <w:sz w:val="24"/>
              </w:rPr>
            </w:pPr>
          </w:p>
        </w:tc>
        <w:tc>
          <w:tcPr>
            <w:tcW w:w="1401" w:type="dxa"/>
            <w:noWrap/>
            <w:vAlign w:val="center"/>
          </w:tcPr>
          <w:p w14:paraId="7C7B315A">
            <w:pPr>
              <w:spacing w:line="480" w:lineRule="exact"/>
              <w:jc w:val="center"/>
              <w:rPr>
                <w:rFonts w:ascii="宋体" w:hAnsi="宋体" w:cs="宋体"/>
                <w:sz w:val="24"/>
              </w:rPr>
            </w:pPr>
            <w:r>
              <w:rPr>
                <w:rFonts w:hint="eastAsia" w:ascii="宋体" w:hAnsi="宋体" w:cs="宋体"/>
                <w:sz w:val="24"/>
              </w:rPr>
              <w:t>注册编号</w:t>
            </w:r>
          </w:p>
        </w:tc>
        <w:tc>
          <w:tcPr>
            <w:tcW w:w="1401" w:type="dxa"/>
            <w:noWrap/>
            <w:vAlign w:val="center"/>
          </w:tcPr>
          <w:p w14:paraId="3F2BDF44">
            <w:pPr>
              <w:spacing w:line="480" w:lineRule="exact"/>
              <w:jc w:val="center"/>
              <w:rPr>
                <w:rFonts w:ascii="宋体" w:hAnsi="宋体" w:cs="宋体"/>
                <w:sz w:val="24"/>
              </w:rPr>
            </w:pPr>
          </w:p>
        </w:tc>
      </w:tr>
      <w:tr w14:paraId="5290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1643" w:type="dxa"/>
            <w:noWrap/>
            <w:vAlign w:val="center"/>
          </w:tcPr>
          <w:p w14:paraId="51E84C91">
            <w:pPr>
              <w:spacing w:line="480" w:lineRule="exact"/>
              <w:jc w:val="center"/>
              <w:rPr>
                <w:rFonts w:ascii="宋体" w:hAnsi="宋体" w:cs="宋体"/>
                <w:sz w:val="24"/>
              </w:rPr>
            </w:pPr>
            <w:r>
              <w:rPr>
                <w:rFonts w:hint="eastAsia" w:ascii="宋体" w:hAnsi="宋体" w:cs="宋体"/>
                <w:sz w:val="24"/>
              </w:rPr>
              <w:t>技术负责人</w:t>
            </w:r>
          </w:p>
        </w:tc>
        <w:tc>
          <w:tcPr>
            <w:tcW w:w="1400" w:type="dxa"/>
            <w:noWrap/>
            <w:vAlign w:val="center"/>
          </w:tcPr>
          <w:p w14:paraId="1FE6F281">
            <w:pPr>
              <w:spacing w:line="480" w:lineRule="exact"/>
              <w:jc w:val="center"/>
              <w:rPr>
                <w:rFonts w:ascii="宋体" w:hAnsi="宋体" w:cs="宋体"/>
                <w:sz w:val="24"/>
              </w:rPr>
            </w:pPr>
          </w:p>
        </w:tc>
        <w:tc>
          <w:tcPr>
            <w:tcW w:w="1401" w:type="dxa"/>
            <w:noWrap/>
            <w:vAlign w:val="center"/>
          </w:tcPr>
          <w:p w14:paraId="665EF21B">
            <w:pPr>
              <w:spacing w:line="480" w:lineRule="exact"/>
              <w:jc w:val="center"/>
              <w:rPr>
                <w:rFonts w:ascii="宋体" w:hAnsi="宋体" w:cs="宋体"/>
                <w:sz w:val="24"/>
              </w:rPr>
            </w:pPr>
            <w:r>
              <w:rPr>
                <w:rFonts w:hint="eastAsia" w:ascii="宋体" w:hAnsi="宋体" w:cs="宋体"/>
                <w:sz w:val="24"/>
              </w:rPr>
              <w:t>级别</w:t>
            </w:r>
          </w:p>
        </w:tc>
        <w:tc>
          <w:tcPr>
            <w:tcW w:w="1401" w:type="dxa"/>
            <w:noWrap/>
            <w:vAlign w:val="center"/>
          </w:tcPr>
          <w:p w14:paraId="0845C4A6">
            <w:pPr>
              <w:spacing w:line="480" w:lineRule="exact"/>
              <w:jc w:val="center"/>
              <w:rPr>
                <w:rFonts w:ascii="宋体" w:hAnsi="宋体" w:cs="宋体"/>
                <w:sz w:val="24"/>
              </w:rPr>
            </w:pPr>
          </w:p>
        </w:tc>
        <w:tc>
          <w:tcPr>
            <w:tcW w:w="1401" w:type="dxa"/>
            <w:noWrap/>
            <w:vAlign w:val="center"/>
          </w:tcPr>
          <w:p w14:paraId="78F26DF8">
            <w:pPr>
              <w:spacing w:line="480" w:lineRule="exact"/>
              <w:jc w:val="center"/>
              <w:rPr>
                <w:rFonts w:ascii="宋体" w:hAnsi="宋体" w:cs="宋体"/>
                <w:sz w:val="24"/>
              </w:rPr>
            </w:pPr>
            <w:r>
              <w:rPr>
                <w:rFonts w:hint="eastAsia" w:ascii="宋体" w:hAnsi="宋体" w:cs="宋体"/>
                <w:sz w:val="24"/>
              </w:rPr>
              <w:t>编号</w:t>
            </w:r>
          </w:p>
        </w:tc>
        <w:tc>
          <w:tcPr>
            <w:tcW w:w="1401" w:type="dxa"/>
            <w:noWrap/>
            <w:vAlign w:val="center"/>
          </w:tcPr>
          <w:p w14:paraId="51A2182A">
            <w:pPr>
              <w:spacing w:line="480" w:lineRule="exact"/>
              <w:jc w:val="center"/>
              <w:rPr>
                <w:rFonts w:ascii="宋体" w:hAnsi="宋体" w:cs="宋体"/>
                <w:sz w:val="24"/>
              </w:rPr>
            </w:pPr>
          </w:p>
        </w:tc>
      </w:tr>
      <w:tr w14:paraId="6ED7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exact"/>
          <w:jc w:val="center"/>
        </w:trPr>
        <w:tc>
          <w:tcPr>
            <w:tcW w:w="1643" w:type="dxa"/>
            <w:noWrap/>
            <w:vAlign w:val="center"/>
          </w:tcPr>
          <w:p w14:paraId="279B6172">
            <w:pPr>
              <w:spacing w:line="480" w:lineRule="exact"/>
              <w:jc w:val="center"/>
              <w:rPr>
                <w:rFonts w:ascii="宋体" w:hAnsi="宋体" w:cs="宋体"/>
                <w:sz w:val="24"/>
              </w:rPr>
            </w:pPr>
            <w:r>
              <w:rPr>
                <w:rFonts w:hint="eastAsia" w:ascii="宋体" w:hAnsi="宋体" w:cs="宋体"/>
                <w:sz w:val="24"/>
              </w:rPr>
              <w:t>投标范围</w:t>
            </w:r>
          </w:p>
        </w:tc>
        <w:tc>
          <w:tcPr>
            <w:tcW w:w="7004" w:type="dxa"/>
            <w:gridSpan w:val="5"/>
            <w:noWrap/>
            <w:vAlign w:val="center"/>
          </w:tcPr>
          <w:p w14:paraId="6423B805">
            <w:pPr>
              <w:spacing w:line="480" w:lineRule="exact"/>
              <w:jc w:val="center"/>
              <w:rPr>
                <w:rFonts w:ascii="宋体" w:hAnsi="宋体" w:cs="宋体"/>
                <w:sz w:val="24"/>
              </w:rPr>
            </w:pPr>
          </w:p>
        </w:tc>
      </w:tr>
      <w:tr w14:paraId="71C7C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0" w:hRule="exact"/>
          <w:jc w:val="center"/>
        </w:trPr>
        <w:tc>
          <w:tcPr>
            <w:tcW w:w="1643" w:type="dxa"/>
            <w:noWrap/>
            <w:vAlign w:val="center"/>
          </w:tcPr>
          <w:p w14:paraId="50783405">
            <w:pPr>
              <w:spacing w:line="480" w:lineRule="exact"/>
              <w:jc w:val="center"/>
              <w:rPr>
                <w:rFonts w:ascii="宋体" w:hAnsi="宋体" w:cs="宋体"/>
                <w:sz w:val="24"/>
              </w:rPr>
            </w:pPr>
            <w:r>
              <w:rPr>
                <w:rFonts w:hint="eastAsia" w:ascii="宋体" w:hAnsi="宋体" w:cs="宋体"/>
                <w:sz w:val="24"/>
              </w:rPr>
              <w:t>磋商总报价（元）</w:t>
            </w:r>
          </w:p>
        </w:tc>
        <w:tc>
          <w:tcPr>
            <w:tcW w:w="7004" w:type="dxa"/>
            <w:gridSpan w:val="5"/>
            <w:noWrap/>
            <w:vAlign w:val="center"/>
          </w:tcPr>
          <w:p w14:paraId="7D9FB64C">
            <w:pPr>
              <w:spacing w:line="480" w:lineRule="exact"/>
              <w:rPr>
                <w:rFonts w:ascii="宋体" w:hAnsi="宋体" w:cs="宋体"/>
                <w:sz w:val="24"/>
                <w:u w:val="single"/>
              </w:rPr>
            </w:pPr>
            <w:r>
              <w:rPr>
                <w:rFonts w:hint="eastAsia" w:ascii="宋体" w:hAnsi="宋体" w:cs="宋体"/>
                <w:sz w:val="24"/>
                <w:u w:val="single"/>
              </w:rPr>
              <w:t xml:space="preserve">（大写）                    </w:t>
            </w:r>
          </w:p>
          <w:p w14:paraId="11B0755E">
            <w:pPr>
              <w:spacing w:line="480" w:lineRule="exact"/>
              <w:rPr>
                <w:rFonts w:ascii="宋体" w:hAnsi="宋体" w:cs="宋体"/>
                <w:sz w:val="24"/>
                <w:u w:val="single"/>
              </w:rPr>
            </w:pPr>
            <w:r>
              <w:rPr>
                <w:rFonts w:hint="eastAsia" w:ascii="宋体" w:hAnsi="宋体" w:cs="宋体"/>
                <w:sz w:val="24"/>
                <w:u w:val="single"/>
              </w:rPr>
              <w:t xml:space="preserve">（小写）                    </w:t>
            </w:r>
          </w:p>
          <w:p w14:paraId="7B38C05C">
            <w:pPr>
              <w:widowControl/>
              <w:spacing w:line="480" w:lineRule="exact"/>
              <w:jc w:val="left"/>
              <w:rPr>
                <w:rFonts w:ascii="宋体" w:hAnsi="宋体"/>
              </w:rPr>
            </w:pPr>
            <w:r>
              <w:rPr>
                <w:rFonts w:hint="eastAsia" w:ascii="宋体" w:hAnsi="宋体" w:cs="宋体"/>
                <w:b/>
                <w:bCs/>
                <w:snapToGrid w:val="0"/>
                <w:sz w:val="24"/>
                <w:szCs w:val="22"/>
              </w:rPr>
              <w:t>（响应人应在此填列第一次报价，但以响应人最后一次的磋商报价为成交价）</w:t>
            </w:r>
          </w:p>
        </w:tc>
      </w:tr>
      <w:tr w14:paraId="737D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643" w:type="dxa"/>
            <w:noWrap/>
            <w:vAlign w:val="center"/>
          </w:tcPr>
          <w:p w14:paraId="4050954E">
            <w:pPr>
              <w:spacing w:line="480" w:lineRule="exact"/>
              <w:jc w:val="center"/>
              <w:rPr>
                <w:rFonts w:ascii="宋体" w:hAnsi="宋体" w:cs="宋体"/>
                <w:sz w:val="24"/>
              </w:rPr>
            </w:pPr>
            <w:r>
              <w:rPr>
                <w:rFonts w:hint="eastAsia" w:ascii="宋体" w:hAnsi="宋体" w:cs="宋体"/>
                <w:sz w:val="24"/>
              </w:rPr>
              <w:t xml:space="preserve">质量要求  </w:t>
            </w:r>
          </w:p>
        </w:tc>
        <w:tc>
          <w:tcPr>
            <w:tcW w:w="7004" w:type="dxa"/>
            <w:gridSpan w:val="5"/>
            <w:noWrap/>
            <w:vAlign w:val="center"/>
          </w:tcPr>
          <w:p w14:paraId="444580D6">
            <w:pPr>
              <w:spacing w:line="480" w:lineRule="exact"/>
              <w:jc w:val="center"/>
              <w:rPr>
                <w:rFonts w:ascii="宋体" w:hAnsi="宋体" w:cs="宋体"/>
                <w:sz w:val="24"/>
              </w:rPr>
            </w:pPr>
          </w:p>
        </w:tc>
      </w:tr>
      <w:tr w14:paraId="1732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643" w:type="dxa"/>
            <w:noWrap/>
            <w:vAlign w:val="center"/>
          </w:tcPr>
          <w:p w14:paraId="46D099D8">
            <w:pPr>
              <w:spacing w:line="480" w:lineRule="exact"/>
              <w:jc w:val="center"/>
              <w:rPr>
                <w:rFonts w:ascii="宋体" w:hAnsi="宋体" w:cs="宋体"/>
                <w:sz w:val="24"/>
              </w:rPr>
            </w:pPr>
            <w:r>
              <w:rPr>
                <w:rFonts w:hint="eastAsia" w:ascii="宋体" w:hAnsi="宋体" w:cs="宋体"/>
                <w:sz w:val="24"/>
              </w:rPr>
              <w:t>工 期</w:t>
            </w:r>
          </w:p>
        </w:tc>
        <w:tc>
          <w:tcPr>
            <w:tcW w:w="7004" w:type="dxa"/>
            <w:gridSpan w:val="5"/>
            <w:noWrap/>
            <w:vAlign w:val="center"/>
          </w:tcPr>
          <w:p w14:paraId="3684B15B">
            <w:pPr>
              <w:spacing w:line="480" w:lineRule="exact"/>
              <w:jc w:val="center"/>
              <w:rPr>
                <w:rFonts w:ascii="宋体" w:hAnsi="宋体" w:cs="宋体"/>
                <w:sz w:val="24"/>
              </w:rPr>
            </w:pPr>
          </w:p>
        </w:tc>
      </w:tr>
      <w:tr w14:paraId="2F80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1643" w:type="dxa"/>
            <w:noWrap/>
            <w:vAlign w:val="center"/>
          </w:tcPr>
          <w:p w14:paraId="4A47D463">
            <w:pPr>
              <w:spacing w:line="480" w:lineRule="exact"/>
              <w:jc w:val="center"/>
              <w:rPr>
                <w:rFonts w:ascii="宋体" w:hAnsi="宋体" w:cs="宋体"/>
                <w:sz w:val="24"/>
              </w:rPr>
            </w:pPr>
            <w:r>
              <w:rPr>
                <w:rFonts w:hint="eastAsia" w:ascii="宋体" w:hAnsi="宋体" w:cs="宋体"/>
                <w:sz w:val="24"/>
              </w:rPr>
              <w:t>磋商有效期</w:t>
            </w:r>
          </w:p>
        </w:tc>
        <w:tc>
          <w:tcPr>
            <w:tcW w:w="7004" w:type="dxa"/>
            <w:gridSpan w:val="5"/>
            <w:noWrap/>
            <w:vAlign w:val="center"/>
          </w:tcPr>
          <w:p w14:paraId="2A417D33">
            <w:pPr>
              <w:spacing w:line="480" w:lineRule="exact"/>
              <w:jc w:val="center"/>
              <w:rPr>
                <w:rFonts w:ascii="宋体" w:hAnsi="宋体" w:cs="宋体"/>
                <w:sz w:val="24"/>
              </w:rPr>
            </w:pPr>
            <w:r>
              <w:rPr>
                <w:rFonts w:ascii="宋体" w:hAnsi="宋体" w:cs="宋体"/>
                <w:kern w:val="0"/>
                <w:sz w:val="24"/>
              </w:rPr>
              <w:t>响应文件递交截止之日起60日历天</w:t>
            </w:r>
          </w:p>
        </w:tc>
      </w:tr>
      <w:tr w14:paraId="2500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643" w:type="dxa"/>
            <w:noWrap/>
            <w:vAlign w:val="center"/>
          </w:tcPr>
          <w:p w14:paraId="52F62EEA">
            <w:pPr>
              <w:spacing w:line="480" w:lineRule="exact"/>
              <w:jc w:val="center"/>
              <w:rPr>
                <w:rFonts w:ascii="宋体" w:hAnsi="宋体" w:cs="宋体"/>
                <w:sz w:val="24"/>
              </w:rPr>
            </w:pPr>
            <w:r>
              <w:rPr>
                <w:rFonts w:hint="eastAsia" w:ascii="宋体" w:hAnsi="宋体" w:cs="宋体"/>
                <w:snapToGrid w:val="0"/>
                <w:sz w:val="24"/>
                <w:szCs w:val="22"/>
              </w:rPr>
              <w:t>其他需要说明的问题</w:t>
            </w:r>
          </w:p>
        </w:tc>
        <w:tc>
          <w:tcPr>
            <w:tcW w:w="7004" w:type="dxa"/>
            <w:gridSpan w:val="5"/>
            <w:noWrap/>
            <w:vAlign w:val="center"/>
          </w:tcPr>
          <w:p w14:paraId="3DC9E4E3">
            <w:pPr>
              <w:spacing w:line="480" w:lineRule="exact"/>
              <w:rPr>
                <w:rFonts w:ascii="宋体" w:hAnsi="宋体" w:cs="宋体"/>
                <w:sz w:val="24"/>
              </w:rPr>
            </w:pPr>
          </w:p>
        </w:tc>
      </w:tr>
      <w:tr w14:paraId="18B5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1643" w:type="dxa"/>
            <w:noWrap/>
            <w:vAlign w:val="center"/>
          </w:tcPr>
          <w:p w14:paraId="33ABFCC2">
            <w:pPr>
              <w:spacing w:line="480" w:lineRule="exact"/>
              <w:jc w:val="center"/>
              <w:rPr>
                <w:rFonts w:ascii="宋体" w:hAnsi="宋体" w:cs="宋体"/>
                <w:sz w:val="24"/>
              </w:rPr>
            </w:pPr>
            <w:r>
              <w:rPr>
                <w:rFonts w:hint="eastAsia" w:ascii="宋体" w:hAnsi="宋体" w:cs="宋体"/>
                <w:sz w:val="24"/>
              </w:rPr>
              <w:t>备注</w:t>
            </w:r>
          </w:p>
        </w:tc>
        <w:tc>
          <w:tcPr>
            <w:tcW w:w="7004" w:type="dxa"/>
            <w:gridSpan w:val="5"/>
            <w:noWrap/>
            <w:vAlign w:val="center"/>
          </w:tcPr>
          <w:p w14:paraId="7500055E">
            <w:pPr>
              <w:spacing w:line="480" w:lineRule="exact"/>
              <w:rPr>
                <w:rFonts w:ascii="宋体" w:hAnsi="宋体" w:cs="宋体"/>
                <w:sz w:val="24"/>
              </w:rPr>
            </w:pPr>
          </w:p>
        </w:tc>
      </w:tr>
    </w:tbl>
    <w:p w14:paraId="793BC985">
      <w:pPr>
        <w:widowControl/>
        <w:jc w:val="left"/>
        <w:rPr>
          <w:rFonts w:ascii="宋体" w:hAnsi="宋体"/>
        </w:rPr>
      </w:pPr>
    </w:p>
    <w:p w14:paraId="79B247FE">
      <w:pPr>
        <w:widowControl/>
        <w:jc w:val="left"/>
        <w:rPr>
          <w:rFonts w:ascii="宋体" w:hAnsi="宋体"/>
        </w:rPr>
      </w:pPr>
    </w:p>
    <w:p w14:paraId="1E0A1B2D">
      <w:pPr>
        <w:autoSpaceDE w:val="0"/>
        <w:autoSpaceDN w:val="0"/>
        <w:adjustRightInd w:val="0"/>
        <w:spacing w:line="360" w:lineRule="auto"/>
        <w:ind w:right="315"/>
        <w:jc w:val="center"/>
        <w:textAlignment w:val="baseline"/>
        <w:rPr>
          <w:rFonts w:ascii="宋体" w:hAnsi="宋体" w:cs="宋体"/>
          <w:color w:val="000000"/>
          <w:kern w:val="0"/>
          <w:sz w:val="24"/>
        </w:rPr>
      </w:pPr>
      <w:r>
        <w:rPr>
          <w:rFonts w:hint="eastAsia" w:ascii="宋体" w:hAnsi="宋体" w:cs="宋体"/>
          <w:color w:val="000000"/>
          <w:kern w:val="0"/>
          <w:sz w:val="24"/>
        </w:rPr>
        <w:t xml:space="preserve">                  供应商：（电子签章）</w:t>
      </w:r>
    </w:p>
    <w:p w14:paraId="235D6C58">
      <w:pPr>
        <w:autoSpaceDE w:val="0"/>
        <w:autoSpaceDN w:val="0"/>
        <w:adjustRightInd w:val="0"/>
        <w:spacing w:line="360" w:lineRule="auto"/>
        <w:ind w:right="315"/>
        <w:jc w:val="center"/>
        <w:textAlignment w:val="baseline"/>
        <w:rPr>
          <w:rFonts w:ascii="宋体" w:hAnsi="宋体" w:cs="宋体"/>
          <w:color w:val="000000"/>
          <w:kern w:val="0"/>
          <w:sz w:val="24"/>
          <w:u w:val="single"/>
        </w:rPr>
      </w:pPr>
      <w:r>
        <w:rPr>
          <w:rFonts w:hint="eastAsia" w:ascii="宋体" w:hAnsi="宋体" w:cs="宋体"/>
          <w:color w:val="000000"/>
          <w:kern w:val="0"/>
          <w:sz w:val="24"/>
        </w:rPr>
        <w:t xml:space="preserve">                        法定代表人或其委托代理人：</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电子签章）                             </w:t>
      </w:r>
    </w:p>
    <w:p w14:paraId="20DB8EE0">
      <w:pPr>
        <w:autoSpaceDE w:val="0"/>
        <w:autoSpaceDN w:val="0"/>
        <w:adjustRightInd w:val="0"/>
        <w:spacing w:line="360" w:lineRule="auto"/>
        <w:jc w:val="center"/>
        <w:textAlignment w:val="baseline"/>
        <w:rPr>
          <w:rFonts w:ascii="宋体" w:hAnsi="宋体" w:cs="宋体"/>
          <w:color w:val="000000"/>
          <w:kern w:val="0"/>
          <w:sz w:val="24"/>
        </w:rPr>
      </w:pPr>
      <w:r>
        <w:rPr>
          <w:rFonts w:hint="eastAsia" w:ascii="宋体" w:hAnsi="宋体" w:cs="宋体"/>
          <w:color w:val="000000"/>
          <w:kern w:val="0"/>
          <w:sz w:val="24"/>
        </w:rPr>
        <w:t>年月日</w:t>
      </w:r>
    </w:p>
    <w:p w14:paraId="7CB57A6F">
      <w:pPr>
        <w:autoSpaceDE w:val="0"/>
        <w:autoSpaceDN w:val="0"/>
        <w:adjustRightInd w:val="0"/>
        <w:spacing w:line="360" w:lineRule="auto"/>
        <w:jc w:val="center"/>
        <w:textAlignment w:val="baseline"/>
        <w:rPr>
          <w:rFonts w:ascii="宋体" w:hAnsi="宋体" w:cs="宋体"/>
          <w:color w:val="000000"/>
          <w:kern w:val="0"/>
          <w:sz w:val="24"/>
        </w:rPr>
      </w:pPr>
    </w:p>
    <w:p w14:paraId="0E9C47F3">
      <w:pPr>
        <w:spacing w:line="360" w:lineRule="auto"/>
        <w:jc w:val="center"/>
        <w:outlineLvl w:val="1"/>
        <w:rPr>
          <w:rFonts w:ascii="宋体" w:hAnsi="宋体" w:cs="宋体"/>
          <w:b/>
          <w:bCs/>
          <w:color w:val="000000"/>
          <w:sz w:val="32"/>
          <w:szCs w:val="32"/>
        </w:rPr>
      </w:pPr>
      <w:bookmarkStart w:id="455" w:name="_Toc508179893"/>
      <w:bookmarkStart w:id="456" w:name="_Toc16520682"/>
      <w:bookmarkStart w:id="457" w:name="_Toc171014041"/>
      <w:bookmarkStart w:id="458" w:name="_Toc16520170"/>
      <w:r>
        <w:rPr>
          <w:rFonts w:hint="eastAsia" w:ascii="宋体" w:hAnsi="宋体" w:cs="宋体"/>
          <w:b/>
          <w:bCs/>
          <w:color w:val="000000"/>
          <w:sz w:val="32"/>
          <w:szCs w:val="32"/>
        </w:rPr>
        <w:t>二、法定代表人身份证明及授权委托书</w:t>
      </w:r>
      <w:bookmarkEnd w:id="455"/>
      <w:bookmarkEnd w:id="456"/>
      <w:bookmarkEnd w:id="457"/>
      <w:bookmarkEnd w:id="458"/>
    </w:p>
    <w:p w14:paraId="6A5D7964">
      <w:pPr>
        <w:rPr>
          <w:rFonts w:ascii="宋体" w:hAnsi="宋体" w:cs="宋体"/>
          <w:szCs w:val="21"/>
        </w:rPr>
      </w:pPr>
      <w:bookmarkStart w:id="459" w:name="_Toc387671679"/>
      <w:bookmarkStart w:id="460" w:name="_Toc387669603"/>
      <w:bookmarkStart w:id="461" w:name="_Toc387671317"/>
      <w:bookmarkStart w:id="462" w:name="_Toc234382962"/>
    </w:p>
    <w:p w14:paraId="61316EBB">
      <w:pPr>
        <w:jc w:val="center"/>
        <w:rPr>
          <w:rFonts w:ascii="宋体" w:hAnsi="宋体" w:cs="宋体"/>
          <w:b/>
          <w:sz w:val="24"/>
        </w:rPr>
      </w:pPr>
      <w:r>
        <w:rPr>
          <w:rFonts w:hint="eastAsia" w:ascii="宋体" w:hAnsi="宋体" w:cs="宋体"/>
          <w:b/>
          <w:sz w:val="24"/>
        </w:rPr>
        <w:t>（1）法定代表人身份证明</w:t>
      </w:r>
      <w:bookmarkEnd w:id="459"/>
      <w:bookmarkEnd w:id="460"/>
      <w:bookmarkEnd w:id="461"/>
      <w:bookmarkEnd w:id="462"/>
    </w:p>
    <w:p w14:paraId="1265FED5">
      <w:pPr>
        <w:rPr>
          <w:rFonts w:ascii="宋体" w:hAnsi="宋体" w:cs="宋体"/>
          <w:sz w:val="24"/>
        </w:rPr>
      </w:pPr>
    </w:p>
    <w:p w14:paraId="06764F2D">
      <w:pPr>
        <w:spacing w:line="500" w:lineRule="exact"/>
        <w:rPr>
          <w:rFonts w:ascii="宋体" w:hAnsi="宋体" w:cs="宋体"/>
          <w:sz w:val="24"/>
        </w:rPr>
      </w:pPr>
      <w:r>
        <w:rPr>
          <w:rFonts w:hint="eastAsia" w:ascii="宋体" w:hAnsi="宋体" w:cs="宋体"/>
          <w:sz w:val="24"/>
        </w:rPr>
        <w:t>供应商名称：</w:t>
      </w:r>
    </w:p>
    <w:p w14:paraId="35D6E935">
      <w:pPr>
        <w:spacing w:line="500" w:lineRule="exact"/>
        <w:rPr>
          <w:rFonts w:ascii="宋体" w:hAnsi="宋体" w:cs="宋体"/>
          <w:sz w:val="24"/>
          <w:u w:val="single"/>
        </w:rPr>
      </w:pPr>
      <w:r>
        <w:rPr>
          <w:rFonts w:hint="eastAsia" w:ascii="宋体" w:hAnsi="宋体" w:cs="宋体"/>
          <w:spacing w:val="60"/>
          <w:kern w:val="0"/>
          <w:sz w:val="24"/>
        </w:rPr>
        <w:t>单位性</w:t>
      </w:r>
      <w:r>
        <w:rPr>
          <w:rFonts w:hint="eastAsia" w:ascii="宋体" w:hAnsi="宋体" w:cs="宋体"/>
          <w:kern w:val="0"/>
          <w:sz w:val="24"/>
        </w:rPr>
        <w:t>质</w:t>
      </w:r>
      <w:r>
        <w:rPr>
          <w:rFonts w:hint="eastAsia" w:ascii="宋体" w:hAnsi="宋体" w:cs="宋体"/>
          <w:sz w:val="24"/>
        </w:rPr>
        <w:t>：</w:t>
      </w:r>
    </w:p>
    <w:p w14:paraId="121C516B">
      <w:pPr>
        <w:spacing w:line="500" w:lineRule="exact"/>
        <w:rPr>
          <w:rFonts w:ascii="宋体" w:hAnsi="宋体" w:cs="宋体"/>
          <w:sz w:val="24"/>
        </w:rPr>
      </w:pPr>
      <w:r>
        <w:rPr>
          <w:rFonts w:hint="eastAsia" w:ascii="宋体" w:hAnsi="宋体" w:cs="宋体"/>
          <w:spacing w:val="390"/>
          <w:kern w:val="0"/>
          <w:sz w:val="24"/>
        </w:rPr>
        <w:t>地</w:t>
      </w:r>
      <w:r>
        <w:rPr>
          <w:rFonts w:hint="eastAsia" w:ascii="宋体" w:hAnsi="宋体" w:cs="宋体"/>
          <w:kern w:val="0"/>
          <w:sz w:val="24"/>
        </w:rPr>
        <w:t>址</w:t>
      </w:r>
      <w:r>
        <w:rPr>
          <w:rFonts w:hint="eastAsia" w:ascii="宋体" w:hAnsi="宋体" w:cs="宋体"/>
          <w:sz w:val="24"/>
        </w:rPr>
        <w:t>：</w:t>
      </w:r>
    </w:p>
    <w:p w14:paraId="2532DB18">
      <w:pPr>
        <w:spacing w:line="500" w:lineRule="exact"/>
        <w:rPr>
          <w:rFonts w:ascii="宋体" w:hAnsi="宋体" w:cs="宋体"/>
          <w:sz w:val="24"/>
        </w:rPr>
      </w:pPr>
      <w:r>
        <w:rPr>
          <w:rFonts w:hint="eastAsia" w:ascii="宋体" w:hAnsi="宋体" w:cs="宋体"/>
          <w:sz w:val="24"/>
        </w:rPr>
        <w:t>成立时间：年月日</w:t>
      </w:r>
    </w:p>
    <w:p w14:paraId="797D360B">
      <w:pPr>
        <w:spacing w:line="500" w:lineRule="exact"/>
        <w:rPr>
          <w:rFonts w:ascii="宋体" w:hAnsi="宋体" w:cs="宋体"/>
          <w:sz w:val="24"/>
          <w:u w:val="single"/>
        </w:rPr>
      </w:pPr>
      <w:r>
        <w:rPr>
          <w:rFonts w:hint="eastAsia" w:ascii="宋体" w:hAnsi="宋体" w:cs="宋体"/>
          <w:sz w:val="24"/>
        </w:rPr>
        <w:t>经营期限：</w:t>
      </w:r>
    </w:p>
    <w:p w14:paraId="7989A1B2">
      <w:pPr>
        <w:spacing w:line="500" w:lineRule="exact"/>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（法定代表人） </w:t>
      </w:r>
      <w:r>
        <w:rPr>
          <w:rFonts w:hint="eastAsia" w:ascii="宋体" w:hAnsi="宋体" w:cs="宋体"/>
          <w:sz w:val="24"/>
        </w:rPr>
        <w:t xml:space="preserve">  性别：  年龄：  职务：_________系（供应商名称）的法定代表人。</w:t>
      </w:r>
    </w:p>
    <w:p w14:paraId="5BE89B39">
      <w:pPr>
        <w:spacing w:line="500" w:lineRule="exact"/>
        <w:ind w:firstLine="480" w:firstLineChars="200"/>
        <w:rPr>
          <w:rFonts w:ascii="宋体" w:hAnsi="宋体" w:cs="宋体"/>
          <w:sz w:val="24"/>
        </w:rPr>
      </w:pPr>
    </w:p>
    <w:p w14:paraId="16FC403A">
      <w:pPr>
        <w:spacing w:line="500" w:lineRule="exact"/>
        <w:ind w:firstLine="480" w:firstLineChars="200"/>
        <w:rPr>
          <w:rFonts w:ascii="宋体" w:hAnsi="宋体" w:cs="宋体"/>
          <w:sz w:val="24"/>
        </w:rPr>
      </w:pPr>
      <w:r>
        <w:rPr>
          <w:rFonts w:hint="eastAsia" w:ascii="宋体" w:hAnsi="宋体" w:cs="宋体"/>
          <w:sz w:val="24"/>
        </w:rPr>
        <w:t>特此证明。</w:t>
      </w:r>
    </w:p>
    <w:p w14:paraId="205994E9">
      <w:pPr>
        <w:snapToGrid w:val="0"/>
        <w:rPr>
          <w:rFonts w:ascii="宋体" w:hAnsi="宋体" w:cs="宋体"/>
          <w:b/>
          <w:kern w:val="10"/>
          <w:sz w:val="24"/>
        </w:rPr>
      </w:pPr>
    </w:p>
    <w:p w14:paraId="6044F348">
      <w:pPr>
        <w:snapToGrid w:val="0"/>
        <w:rPr>
          <w:rFonts w:ascii="宋体" w:hAnsi="宋体" w:cs="宋体"/>
          <w:b/>
          <w:kern w:val="10"/>
          <w:sz w:val="24"/>
        </w:rPr>
      </w:pPr>
      <w:r>
        <w:rPr>
          <w:rFonts w:hint="eastAsia" w:ascii="宋体" w:hAnsi="宋体" w:cs="宋体"/>
          <w:b/>
          <w:kern w:val="10"/>
          <w:sz w:val="24"/>
        </w:rPr>
        <w:t>附：（法定代表人身份证正反面原件扫描件）</w:t>
      </w:r>
    </w:p>
    <w:p w14:paraId="0BA5CE43">
      <w:pPr>
        <w:spacing w:line="500" w:lineRule="exact"/>
        <w:rPr>
          <w:rFonts w:ascii="宋体" w:hAnsi="宋体" w:cs="宋体"/>
          <w:sz w:val="24"/>
        </w:rPr>
      </w:pPr>
    </w:p>
    <w:p w14:paraId="14D1DDEF">
      <w:pPr>
        <w:spacing w:line="500" w:lineRule="exact"/>
        <w:rPr>
          <w:rFonts w:ascii="宋体" w:hAnsi="宋体" w:cs="宋体"/>
          <w:sz w:val="24"/>
        </w:rPr>
      </w:pPr>
    </w:p>
    <w:p w14:paraId="0D089DE6">
      <w:pPr>
        <w:spacing w:line="500" w:lineRule="exact"/>
        <w:jc w:val="right"/>
        <w:rPr>
          <w:rFonts w:ascii="宋体" w:hAnsi="宋体" w:cs="宋体"/>
          <w:sz w:val="24"/>
        </w:rPr>
      </w:pPr>
    </w:p>
    <w:p w14:paraId="236558AF">
      <w:pPr>
        <w:spacing w:line="500" w:lineRule="exact"/>
        <w:jc w:val="right"/>
        <w:rPr>
          <w:rFonts w:ascii="宋体" w:hAnsi="宋体" w:cs="宋体"/>
          <w:sz w:val="24"/>
        </w:rPr>
      </w:pPr>
    </w:p>
    <w:p w14:paraId="2DAF260A">
      <w:pPr>
        <w:spacing w:line="500" w:lineRule="exact"/>
        <w:jc w:val="right"/>
        <w:rPr>
          <w:rFonts w:ascii="宋体" w:hAnsi="宋体" w:cs="宋体"/>
          <w:sz w:val="24"/>
        </w:rPr>
      </w:pPr>
    </w:p>
    <w:p w14:paraId="1CB9052D">
      <w:pPr>
        <w:spacing w:line="500" w:lineRule="exact"/>
        <w:jc w:val="right"/>
        <w:rPr>
          <w:rFonts w:ascii="宋体" w:hAnsi="宋体" w:cs="宋体"/>
          <w:sz w:val="24"/>
        </w:rPr>
      </w:pPr>
    </w:p>
    <w:p w14:paraId="23ACD8B9">
      <w:pPr>
        <w:autoSpaceDE w:val="0"/>
        <w:autoSpaceDN w:val="0"/>
        <w:adjustRightInd w:val="0"/>
        <w:spacing w:line="360" w:lineRule="auto"/>
        <w:ind w:right="315"/>
        <w:jc w:val="center"/>
        <w:textAlignment w:val="baseline"/>
        <w:rPr>
          <w:rFonts w:ascii="宋体" w:hAnsi="宋体" w:cs="宋体"/>
          <w:color w:val="000000"/>
          <w:kern w:val="0"/>
          <w:sz w:val="24"/>
        </w:rPr>
      </w:pPr>
      <w:r>
        <w:rPr>
          <w:rFonts w:hint="eastAsia" w:ascii="宋体" w:hAnsi="宋体" w:cs="宋体"/>
          <w:color w:val="000000"/>
          <w:kern w:val="0"/>
          <w:sz w:val="24"/>
        </w:rPr>
        <w:t xml:space="preserve">                        供应商：（电子签章）</w:t>
      </w:r>
    </w:p>
    <w:p w14:paraId="4DEA15E1">
      <w:pPr>
        <w:autoSpaceDE w:val="0"/>
        <w:autoSpaceDN w:val="0"/>
        <w:adjustRightInd w:val="0"/>
        <w:spacing w:line="360" w:lineRule="auto"/>
        <w:ind w:right="315"/>
        <w:jc w:val="center"/>
        <w:textAlignment w:val="baseline"/>
        <w:rPr>
          <w:rFonts w:ascii="宋体" w:hAnsi="宋体" w:cs="宋体"/>
          <w:color w:val="000000"/>
          <w:kern w:val="0"/>
          <w:sz w:val="24"/>
          <w:u w:val="single"/>
        </w:rPr>
      </w:pPr>
      <w:r>
        <w:rPr>
          <w:rFonts w:hint="eastAsia" w:ascii="宋体" w:hAnsi="宋体" w:cs="宋体"/>
          <w:color w:val="000000"/>
          <w:kern w:val="0"/>
          <w:sz w:val="24"/>
        </w:rPr>
        <w:t xml:space="preserve">                        法定代表人：</w:t>
      </w:r>
      <w:r>
        <w:rPr>
          <w:rFonts w:hint="eastAsia" w:ascii="宋体" w:hAnsi="宋体" w:cs="宋体"/>
          <w:color w:val="000000"/>
          <w:kern w:val="0"/>
          <w:sz w:val="24"/>
          <w:u w:val="single"/>
        </w:rPr>
        <w:t xml:space="preserve">          （</w:t>
      </w:r>
      <w:r>
        <w:rPr>
          <w:rFonts w:hint="eastAsia" w:ascii="宋体" w:hAnsi="宋体" w:cs="宋体"/>
          <w:color w:val="000000"/>
          <w:kern w:val="0"/>
          <w:sz w:val="24"/>
        </w:rPr>
        <w:t xml:space="preserve">电子签章）                             </w:t>
      </w:r>
    </w:p>
    <w:p w14:paraId="2B280E93">
      <w:pPr>
        <w:autoSpaceDE w:val="0"/>
        <w:autoSpaceDN w:val="0"/>
        <w:adjustRightInd w:val="0"/>
        <w:spacing w:line="360" w:lineRule="auto"/>
        <w:jc w:val="center"/>
        <w:textAlignment w:val="baseline"/>
        <w:rPr>
          <w:rFonts w:ascii="宋体" w:hAnsi="宋体" w:cs="宋体"/>
          <w:color w:val="000000"/>
          <w:kern w:val="0"/>
          <w:sz w:val="24"/>
        </w:rPr>
      </w:pPr>
      <w:r>
        <w:rPr>
          <w:rFonts w:hint="eastAsia" w:ascii="宋体" w:hAnsi="宋体" w:cs="宋体"/>
          <w:color w:val="000000"/>
          <w:kern w:val="0"/>
          <w:sz w:val="24"/>
        </w:rPr>
        <w:t>年月日</w:t>
      </w:r>
    </w:p>
    <w:p w14:paraId="0E271942">
      <w:pPr>
        <w:spacing w:line="400" w:lineRule="exact"/>
        <w:rPr>
          <w:rFonts w:ascii="宋体" w:hAnsi="宋体" w:cs="宋体"/>
          <w:sz w:val="24"/>
        </w:rPr>
      </w:pPr>
    </w:p>
    <w:p w14:paraId="0518B8AB">
      <w:pPr>
        <w:rPr>
          <w:rFonts w:ascii="宋体" w:hAnsi="宋体" w:cs="宋体"/>
          <w:sz w:val="24"/>
        </w:rPr>
      </w:pPr>
    </w:p>
    <w:p w14:paraId="622B71A1">
      <w:pPr>
        <w:rPr>
          <w:rFonts w:ascii="宋体" w:hAnsi="宋体" w:cs="宋体"/>
          <w:sz w:val="24"/>
        </w:rPr>
      </w:pPr>
    </w:p>
    <w:p w14:paraId="3010A6CD">
      <w:pPr>
        <w:rPr>
          <w:rFonts w:ascii="宋体" w:hAnsi="宋体" w:cs="宋体"/>
          <w:sz w:val="24"/>
        </w:rPr>
      </w:pPr>
    </w:p>
    <w:p w14:paraId="7CCB1902">
      <w:pPr>
        <w:rPr>
          <w:rFonts w:ascii="宋体" w:hAnsi="宋体" w:cs="宋体"/>
          <w:sz w:val="24"/>
        </w:rPr>
      </w:pPr>
    </w:p>
    <w:p w14:paraId="006D5537">
      <w:pPr>
        <w:spacing w:line="360" w:lineRule="auto"/>
        <w:rPr>
          <w:rFonts w:ascii="宋体" w:hAnsi="宋体" w:cs="宋体"/>
          <w:sz w:val="24"/>
        </w:rPr>
      </w:pPr>
    </w:p>
    <w:p w14:paraId="6C157FDA">
      <w:pPr>
        <w:jc w:val="center"/>
        <w:rPr>
          <w:rFonts w:ascii="宋体" w:hAnsi="宋体" w:cs="宋体"/>
          <w:sz w:val="24"/>
        </w:rPr>
      </w:pPr>
    </w:p>
    <w:p w14:paraId="2A269338">
      <w:pPr>
        <w:jc w:val="center"/>
        <w:rPr>
          <w:rFonts w:ascii="宋体" w:hAnsi="宋体" w:cs="宋体"/>
          <w:b/>
          <w:bCs/>
          <w:kern w:val="44"/>
          <w:sz w:val="24"/>
        </w:rPr>
      </w:pPr>
    </w:p>
    <w:p w14:paraId="25243E46">
      <w:pPr>
        <w:jc w:val="center"/>
        <w:rPr>
          <w:rFonts w:ascii="宋体" w:hAnsi="宋体" w:cs="宋体"/>
          <w:b/>
          <w:sz w:val="24"/>
        </w:rPr>
      </w:pPr>
      <w:r>
        <w:rPr>
          <w:rFonts w:hint="eastAsia" w:ascii="宋体" w:hAnsi="宋体" w:cs="宋体"/>
          <w:b/>
          <w:bCs/>
          <w:kern w:val="44"/>
          <w:sz w:val="24"/>
        </w:rPr>
        <w:t>（2）授权委托书</w:t>
      </w:r>
    </w:p>
    <w:p w14:paraId="2B152642">
      <w:pPr>
        <w:spacing w:line="500" w:lineRule="exact"/>
        <w:rPr>
          <w:rFonts w:ascii="宋体" w:hAnsi="宋体" w:cs="宋体"/>
          <w:sz w:val="24"/>
        </w:rPr>
      </w:pPr>
    </w:p>
    <w:p w14:paraId="68D0B594">
      <w:pPr>
        <w:spacing w:line="500" w:lineRule="exact"/>
        <w:ind w:firstLine="480" w:firstLineChars="200"/>
        <w:rPr>
          <w:rFonts w:ascii="宋体" w:hAnsi="宋体" w:cs="宋体"/>
          <w:sz w:val="24"/>
        </w:rPr>
      </w:pPr>
      <w:r>
        <w:rPr>
          <w:rFonts w:hint="eastAsia" w:ascii="宋体" w:hAnsi="宋体" w:cs="宋体"/>
          <w:sz w:val="24"/>
        </w:rPr>
        <w:t>本人（姓名）系（供应商名称）的法定代表人，现委托（姓名）为我方代理人。代理人根据授权，以我方名义签署、澄清、递交、撤回、修改（项目名称）响应性文件、签订合同和处理有关事宜，其法律后果由我方承担。</w:t>
      </w:r>
    </w:p>
    <w:p w14:paraId="7640AD25">
      <w:pPr>
        <w:spacing w:line="500" w:lineRule="exact"/>
        <w:ind w:firstLine="480" w:firstLineChars="200"/>
        <w:rPr>
          <w:rFonts w:ascii="宋体" w:hAnsi="宋体" w:cs="宋体"/>
          <w:sz w:val="24"/>
        </w:rPr>
      </w:pPr>
      <w:r>
        <w:rPr>
          <w:rFonts w:hint="eastAsia" w:ascii="宋体" w:hAnsi="宋体" w:cs="宋体"/>
          <w:sz w:val="24"/>
        </w:rPr>
        <w:t>委托期限：</w:t>
      </w:r>
      <w:r>
        <w:rPr>
          <w:rFonts w:hint="eastAsia" w:ascii="宋体" w:hAnsi="宋体" w:cs="宋体"/>
          <w:sz w:val="24"/>
          <w:u w:val="single"/>
        </w:rPr>
        <w:t xml:space="preserve">自本委托书签署之日起至项目结束 </w:t>
      </w:r>
      <w:r>
        <w:rPr>
          <w:rFonts w:hint="eastAsia" w:ascii="宋体" w:hAnsi="宋体" w:cs="宋体"/>
          <w:sz w:val="24"/>
        </w:rPr>
        <w:t xml:space="preserve">。 </w:t>
      </w:r>
    </w:p>
    <w:p w14:paraId="74EE1B43">
      <w:pPr>
        <w:spacing w:line="500" w:lineRule="exact"/>
        <w:ind w:firstLine="480" w:firstLineChars="200"/>
        <w:rPr>
          <w:rFonts w:ascii="宋体" w:hAnsi="宋体" w:cs="宋体"/>
          <w:sz w:val="24"/>
        </w:rPr>
      </w:pPr>
      <w:r>
        <w:rPr>
          <w:rFonts w:hint="eastAsia" w:ascii="宋体" w:hAnsi="宋体" w:cs="宋体"/>
          <w:sz w:val="24"/>
        </w:rPr>
        <w:t xml:space="preserve">代理人无转委托权。 </w:t>
      </w:r>
    </w:p>
    <w:p w14:paraId="06BA8E10">
      <w:pPr>
        <w:spacing w:line="500" w:lineRule="exact"/>
        <w:ind w:firstLine="480" w:firstLineChars="200"/>
        <w:rPr>
          <w:rFonts w:ascii="宋体" w:hAnsi="宋体" w:cs="宋体"/>
          <w:sz w:val="24"/>
        </w:rPr>
      </w:pPr>
      <w:r>
        <w:rPr>
          <w:rFonts w:hint="eastAsia" w:ascii="宋体" w:hAnsi="宋体" w:cs="宋体"/>
          <w:sz w:val="24"/>
        </w:rPr>
        <w:t>附：委托代理人身份证扫描件正反面</w:t>
      </w:r>
    </w:p>
    <w:p w14:paraId="28C02F4B">
      <w:pPr>
        <w:spacing w:line="500" w:lineRule="exact"/>
        <w:rPr>
          <w:rFonts w:ascii="宋体" w:hAnsi="宋体" w:cs="宋体"/>
          <w:sz w:val="24"/>
        </w:rPr>
      </w:pPr>
    </w:p>
    <w:p w14:paraId="52F9D9EA">
      <w:pPr>
        <w:spacing w:afterLines="100" w:line="360" w:lineRule="auto"/>
        <w:ind w:firstLine="480" w:firstLineChars="200"/>
        <w:rPr>
          <w:rFonts w:ascii="宋体" w:hAnsi="宋体"/>
          <w:sz w:val="24"/>
        </w:rPr>
      </w:pPr>
      <w:r>
        <w:rPr>
          <w:rFonts w:hint="eastAsia" w:ascii="宋体" w:hAnsi="宋体"/>
          <w:sz w:val="24"/>
        </w:rPr>
        <w:t>附：</w:t>
      </w:r>
      <w:r>
        <w:rPr>
          <w:rFonts w:ascii="宋体" w:hAnsi="宋体" w:cs="宋体"/>
          <w:sz w:val="24"/>
        </w:rPr>
        <w:t>法定代表人身份证及授权委托代理人身份证正反面原件扫描件</w:t>
      </w:r>
    </w:p>
    <w:p w14:paraId="75FF9988">
      <w:pPr>
        <w:spacing w:line="500" w:lineRule="exact"/>
        <w:rPr>
          <w:rFonts w:ascii="宋体" w:hAnsi="宋体" w:cs="宋体"/>
          <w:sz w:val="24"/>
        </w:rPr>
      </w:pPr>
    </w:p>
    <w:p w14:paraId="6D82A9AF">
      <w:pPr>
        <w:spacing w:line="500" w:lineRule="exact"/>
        <w:rPr>
          <w:rFonts w:ascii="宋体" w:hAnsi="宋体" w:cs="宋体"/>
          <w:sz w:val="24"/>
        </w:rPr>
      </w:pPr>
      <w:r>
        <w:rPr>
          <w:rFonts w:hint="eastAsia" w:ascii="宋体" w:hAnsi="宋体" w:cs="宋体"/>
          <w:sz w:val="24"/>
        </w:rPr>
        <w:t xml:space="preserve">                                供应商：（</w:t>
      </w:r>
      <w:r>
        <w:rPr>
          <w:rFonts w:hint="eastAsia" w:ascii="宋体" w:hAnsi="宋体" w:cs="宋体"/>
          <w:color w:val="000000"/>
          <w:kern w:val="0"/>
          <w:sz w:val="24"/>
        </w:rPr>
        <w:t>电子签章</w:t>
      </w:r>
      <w:r>
        <w:rPr>
          <w:rFonts w:hint="eastAsia" w:ascii="宋体" w:hAnsi="宋体" w:cs="宋体"/>
          <w:sz w:val="24"/>
        </w:rPr>
        <w:t>）</w:t>
      </w:r>
    </w:p>
    <w:p w14:paraId="7D383487">
      <w:pPr>
        <w:spacing w:line="500" w:lineRule="exact"/>
        <w:rPr>
          <w:rFonts w:ascii="宋体" w:hAnsi="宋体" w:cs="宋体"/>
          <w:sz w:val="24"/>
        </w:rPr>
      </w:pPr>
      <w:r>
        <w:rPr>
          <w:rFonts w:hint="eastAsia" w:ascii="宋体" w:hAnsi="宋体" w:cs="宋体"/>
          <w:sz w:val="24"/>
        </w:rPr>
        <w:t xml:space="preserve">                                法定代表人：（</w:t>
      </w:r>
      <w:r>
        <w:rPr>
          <w:rFonts w:hint="eastAsia" w:ascii="宋体" w:hAnsi="宋体" w:cs="宋体"/>
          <w:color w:val="000000"/>
          <w:kern w:val="0"/>
          <w:sz w:val="24"/>
        </w:rPr>
        <w:t>电子签章</w:t>
      </w:r>
      <w:r>
        <w:rPr>
          <w:rFonts w:hint="eastAsia" w:ascii="宋体" w:hAnsi="宋体" w:cs="宋体"/>
          <w:sz w:val="24"/>
        </w:rPr>
        <w:t>）</w:t>
      </w:r>
    </w:p>
    <w:p w14:paraId="1EDF8341">
      <w:pPr>
        <w:spacing w:line="500" w:lineRule="exact"/>
        <w:rPr>
          <w:rFonts w:ascii="宋体" w:hAnsi="宋体" w:cs="宋体"/>
          <w:sz w:val="24"/>
        </w:rPr>
      </w:pPr>
      <w:r>
        <w:rPr>
          <w:rFonts w:hint="eastAsia" w:ascii="宋体" w:hAnsi="宋体" w:cs="宋体"/>
          <w:sz w:val="24"/>
        </w:rPr>
        <w:t xml:space="preserve">                                身份证号码：</w:t>
      </w:r>
    </w:p>
    <w:p w14:paraId="7FEEF8F0">
      <w:pPr>
        <w:spacing w:line="500" w:lineRule="exact"/>
        <w:rPr>
          <w:rFonts w:ascii="宋体" w:hAnsi="宋体" w:cs="宋体"/>
          <w:sz w:val="24"/>
        </w:rPr>
      </w:pPr>
      <w:r>
        <w:rPr>
          <w:rFonts w:hint="eastAsia" w:ascii="宋体" w:hAnsi="宋体" w:cs="宋体"/>
          <w:sz w:val="24"/>
        </w:rPr>
        <w:t xml:space="preserve">                                委托代理人：（</w:t>
      </w:r>
      <w:r>
        <w:rPr>
          <w:rFonts w:hint="eastAsia" w:ascii="宋体" w:hAnsi="宋体" w:cs="宋体"/>
          <w:color w:val="000000"/>
          <w:kern w:val="0"/>
          <w:sz w:val="24"/>
        </w:rPr>
        <w:t>电子签章</w:t>
      </w:r>
      <w:r>
        <w:rPr>
          <w:rFonts w:hint="eastAsia" w:ascii="宋体" w:hAnsi="宋体" w:cs="宋体"/>
          <w:sz w:val="24"/>
        </w:rPr>
        <w:t>）</w:t>
      </w:r>
    </w:p>
    <w:p w14:paraId="75DD01F7">
      <w:pPr>
        <w:spacing w:line="500" w:lineRule="exact"/>
        <w:rPr>
          <w:rFonts w:ascii="宋体" w:hAnsi="宋体" w:cs="宋体"/>
          <w:sz w:val="24"/>
        </w:rPr>
      </w:pPr>
      <w:r>
        <w:rPr>
          <w:rFonts w:hint="eastAsia" w:ascii="宋体" w:hAnsi="宋体" w:cs="宋体"/>
          <w:sz w:val="24"/>
        </w:rPr>
        <w:t xml:space="preserve">                                身份证号码：</w:t>
      </w:r>
    </w:p>
    <w:p w14:paraId="7CDE1696">
      <w:pPr>
        <w:spacing w:line="500" w:lineRule="exact"/>
        <w:rPr>
          <w:rFonts w:ascii="宋体" w:hAnsi="宋体" w:cs="宋体"/>
          <w:sz w:val="24"/>
        </w:rPr>
      </w:pPr>
    </w:p>
    <w:p w14:paraId="0B40DC07">
      <w:pPr>
        <w:shd w:val="clear" w:color="auto" w:fill="FFFFFF"/>
        <w:tabs>
          <w:tab w:val="right" w:pos="6077"/>
        </w:tabs>
        <w:autoSpaceDE w:val="0"/>
        <w:autoSpaceDN w:val="0"/>
        <w:spacing w:line="560" w:lineRule="exact"/>
        <w:jc w:val="center"/>
        <w:rPr>
          <w:rFonts w:ascii="宋体" w:hAnsi="宋体" w:cs="宋体"/>
          <w:sz w:val="24"/>
        </w:rPr>
      </w:pPr>
      <w:r>
        <w:rPr>
          <w:rFonts w:hint="eastAsia" w:ascii="宋体" w:hAnsi="宋体" w:cs="宋体"/>
          <w:sz w:val="24"/>
        </w:rPr>
        <w:t>年月日</w:t>
      </w:r>
    </w:p>
    <w:p w14:paraId="478B1309">
      <w:pPr>
        <w:widowControl/>
        <w:jc w:val="left"/>
        <w:rPr>
          <w:rFonts w:ascii="宋体" w:hAnsi="宋体"/>
        </w:rPr>
      </w:pPr>
    </w:p>
    <w:p w14:paraId="295A7014">
      <w:pPr>
        <w:widowControl/>
        <w:jc w:val="left"/>
        <w:rPr>
          <w:rFonts w:ascii="宋体" w:hAnsi="宋体"/>
        </w:rPr>
      </w:pPr>
    </w:p>
    <w:p w14:paraId="369BB755">
      <w:pPr>
        <w:spacing w:line="360" w:lineRule="auto"/>
        <w:rPr>
          <w:rFonts w:ascii="宋体" w:hAnsi="宋体" w:cs="宋体"/>
          <w:sz w:val="24"/>
        </w:rPr>
      </w:pPr>
    </w:p>
    <w:p w14:paraId="1B3B0843">
      <w:pPr>
        <w:spacing w:line="360" w:lineRule="auto"/>
        <w:rPr>
          <w:rFonts w:ascii="宋体" w:hAnsi="宋体" w:cs="宋体"/>
          <w:sz w:val="24"/>
        </w:rPr>
      </w:pPr>
      <w:r>
        <w:rPr>
          <w:rFonts w:hint="eastAsia" w:ascii="宋体" w:hAnsi="宋体" w:cs="宋体"/>
          <w:sz w:val="24"/>
        </w:rPr>
        <w:t>备注：</w:t>
      </w:r>
    </w:p>
    <w:p w14:paraId="043C4674">
      <w:pPr>
        <w:spacing w:line="360" w:lineRule="auto"/>
        <w:ind w:firstLine="480" w:firstLineChars="200"/>
        <w:rPr>
          <w:rFonts w:ascii="宋体" w:hAnsi="宋体" w:cs="宋体"/>
          <w:sz w:val="24"/>
        </w:rPr>
      </w:pPr>
      <w:r>
        <w:rPr>
          <w:rFonts w:hint="eastAsia" w:ascii="宋体" w:hAnsi="宋体" w:cs="宋体"/>
          <w:sz w:val="24"/>
        </w:rPr>
        <w:t>1、在授权委托书后应附委托代理人的身份证复印件。</w:t>
      </w:r>
    </w:p>
    <w:p w14:paraId="2AF64208">
      <w:pPr>
        <w:spacing w:line="360" w:lineRule="auto"/>
        <w:ind w:firstLine="480" w:firstLineChars="200"/>
        <w:rPr>
          <w:rFonts w:ascii="宋体" w:hAnsi="宋体" w:cs="宋体"/>
          <w:sz w:val="24"/>
        </w:rPr>
      </w:pPr>
      <w:r>
        <w:rPr>
          <w:rFonts w:hint="eastAsia" w:ascii="宋体" w:hAnsi="宋体" w:cs="宋体"/>
          <w:sz w:val="24"/>
        </w:rPr>
        <w:t>2、如果由投标人的法定代表人签署投标文件的，则不需提交授权委托书。</w:t>
      </w:r>
    </w:p>
    <w:p w14:paraId="1825DAE7">
      <w:pPr>
        <w:spacing w:line="360" w:lineRule="auto"/>
        <w:ind w:firstLine="480" w:firstLineChars="200"/>
        <w:rPr>
          <w:rFonts w:ascii="宋体" w:hAnsi="宋体" w:cs="宋体"/>
          <w:sz w:val="24"/>
        </w:rPr>
      </w:pPr>
      <w:r>
        <w:rPr>
          <w:rFonts w:hint="eastAsia" w:ascii="宋体" w:hAnsi="宋体" w:cs="宋体"/>
          <w:sz w:val="24"/>
        </w:rPr>
        <w:t>3、因投标文件中授权委托书授权代理人无法手写签字及盖章，可以以印刷体代替（印刷体为电脑打出的字体）。</w:t>
      </w:r>
    </w:p>
    <w:p w14:paraId="1D751870">
      <w:pPr>
        <w:widowControl/>
        <w:jc w:val="left"/>
        <w:rPr>
          <w:rFonts w:ascii="宋体" w:hAnsi="宋体"/>
        </w:rPr>
      </w:pPr>
    </w:p>
    <w:p w14:paraId="02CD7E28">
      <w:pPr>
        <w:rPr>
          <w:rFonts w:ascii="宋体" w:hAnsi="宋体" w:cs="宋体"/>
          <w:b/>
          <w:bCs/>
          <w:color w:val="000000"/>
          <w:sz w:val="32"/>
          <w:szCs w:val="32"/>
        </w:rPr>
      </w:pPr>
      <w:bookmarkStart w:id="463" w:name="_Toc16520684"/>
      <w:bookmarkStart w:id="464" w:name="_Toc16520172"/>
      <w:bookmarkStart w:id="465" w:name="_Toc171014042"/>
      <w:r>
        <w:rPr>
          <w:rFonts w:hint="eastAsia" w:ascii="宋体" w:hAnsi="宋体" w:cs="宋体"/>
          <w:b/>
          <w:bCs/>
          <w:color w:val="000000"/>
          <w:sz w:val="32"/>
          <w:szCs w:val="32"/>
        </w:rPr>
        <w:br w:type="page"/>
      </w:r>
    </w:p>
    <w:p w14:paraId="6AAF7877">
      <w:pPr>
        <w:shd w:val="clear" w:color="auto" w:fill="FFFFFF"/>
        <w:tabs>
          <w:tab w:val="right" w:pos="6077"/>
        </w:tabs>
        <w:autoSpaceDE w:val="0"/>
        <w:autoSpaceDN w:val="0"/>
        <w:spacing w:beforeLines="50" w:afterLines="50" w:line="360" w:lineRule="auto"/>
        <w:jc w:val="center"/>
        <w:outlineLvl w:val="1"/>
        <w:rPr>
          <w:rFonts w:ascii="宋体" w:hAnsi="宋体" w:cs="宋体"/>
          <w:b/>
          <w:bCs/>
          <w:color w:val="000000"/>
          <w:sz w:val="32"/>
          <w:szCs w:val="32"/>
        </w:rPr>
      </w:pPr>
      <w:r>
        <w:rPr>
          <w:rFonts w:hint="eastAsia" w:ascii="宋体" w:hAnsi="宋体" w:cs="宋体"/>
          <w:b/>
          <w:bCs/>
          <w:color w:val="000000"/>
          <w:sz w:val="32"/>
          <w:szCs w:val="32"/>
        </w:rPr>
        <w:t>三、</w:t>
      </w:r>
      <w:bookmarkEnd w:id="463"/>
      <w:bookmarkEnd w:id="464"/>
      <w:r>
        <w:rPr>
          <w:rFonts w:hint="eastAsia" w:ascii="宋体" w:hAnsi="宋体" w:cs="宋体"/>
          <w:b/>
          <w:bCs/>
          <w:color w:val="000000"/>
          <w:sz w:val="32"/>
          <w:szCs w:val="32"/>
        </w:rPr>
        <w:t>已标价工程量清单</w:t>
      </w:r>
      <w:bookmarkEnd w:id="465"/>
    </w:p>
    <w:p w14:paraId="78E90399">
      <w:pPr>
        <w:widowControl/>
        <w:jc w:val="left"/>
        <w:rPr>
          <w:rFonts w:ascii="宋体" w:hAnsi="宋体"/>
        </w:rPr>
      </w:pPr>
    </w:p>
    <w:p w14:paraId="0045C564">
      <w:pPr>
        <w:widowControl/>
        <w:jc w:val="left"/>
        <w:rPr>
          <w:rFonts w:ascii="宋体" w:hAnsi="宋体"/>
        </w:rPr>
      </w:pPr>
    </w:p>
    <w:p w14:paraId="714B6A47">
      <w:pPr>
        <w:widowControl/>
        <w:jc w:val="left"/>
        <w:rPr>
          <w:rFonts w:ascii="宋体" w:hAnsi="宋体"/>
        </w:rPr>
      </w:pPr>
    </w:p>
    <w:p w14:paraId="42C204ED">
      <w:pPr>
        <w:widowControl/>
        <w:jc w:val="left"/>
        <w:rPr>
          <w:rFonts w:ascii="宋体" w:hAnsi="宋体"/>
        </w:rPr>
      </w:pPr>
    </w:p>
    <w:p w14:paraId="6DA8266E">
      <w:pPr>
        <w:widowControl/>
        <w:jc w:val="left"/>
        <w:rPr>
          <w:rFonts w:ascii="宋体" w:hAnsi="宋体"/>
        </w:rPr>
      </w:pPr>
    </w:p>
    <w:p w14:paraId="6EC0E592">
      <w:pPr>
        <w:widowControl/>
        <w:jc w:val="left"/>
        <w:rPr>
          <w:rFonts w:ascii="宋体" w:hAnsi="宋体"/>
        </w:rPr>
      </w:pPr>
    </w:p>
    <w:p w14:paraId="1D87146A">
      <w:pPr>
        <w:widowControl/>
        <w:jc w:val="left"/>
        <w:rPr>
          <w:rFonts w:ascii="宋体" w:hAnsi="宋体"/>
        </w:rPr>
      </w:pPr>
    </w:p>
    <w:p w14:paraId="11DDF304">
      <w:pPr>
        <w:widowControl/>
        <w:jc w:val="left"/>
        <w:rPr>
          <w:rFonts w:ascii="宋体" w:hAnsi="宋体"/>
        </w:rPr>
      </w:pPr>
    </w:p>
    <w:p w14:paraId="18A6456F">
      <w:pPr>
        <w:widowControl/>
        <w:jc w:val="left"/>
        <w:rPr>
          <w:rFonts w:ascii="宋体" w:hAnsi="宋体"/>
        </w:rPr>
      </w:pPr>
    </w:p>
    <w:p w14:paraId="2109C177">
      <w:pPr>
        <w:widowControl/>
        <w:jc w:val="left"/>
        <w:rPr>
          <w:rFonts w:ascii="宋体" w:hAnsi="宋体"/>
        </w:rPr>
      </w:pPr>
    </w:p>
    <w:p w14:paraId="697036D2">
      <w:pPr>
        <w:widowControl/>
        <w:jc w:val="left"/>
        <w:rPr>
          <w:rFonts w:ascii="宋体" w:hAnsi="宋体"/>
        </w:rPr>
      </w:pPr>
    </w:p>
    <w:p w14:paraId="67A0E5BE">
      <w:pPr>
        <w:widowControl/>
        <w:jc w:val="left"/>
        <w:rPr>
          <w:rFonts w:ascii="宋体" w:hAnsi="宋体"/>
        </w:rPr>
      </w:pPr>
    </w:p>
    <w:p w14:paraId="416257AF">
      <w:pPr>
        <w:widowControl/>
        <w:jc w:val="left"/>
        <w:rPr>
          <w:rFonts w:ascii="宋体" w:hAnsi="宋体"/>
        </w:rPr>
      </w:pPr>
    </w:p>
    <w:p w14:paraId="0E592302">
      <w:pPr>
        <w:widowControl/>
        <w:jc w:val="left"/>
        <w:rPr>
          <w:rFonts w:ascii="宋体" w:hAnsi="宋体"/>
        </w:rPr>
      </w:pPr>
    </w:p>
    <w:p w14:paraId="54F060EF">
      <w:pPr>
        <w:rPr>
          <w:rFonts w:ascii="宋体" w:hAnsi="宋体"/>
          <w:sz w:val="24"/>
        </w:rPr>
      </w:pPr>
    </w:p>
    <w:p w14:paraId="14EE242F">
      <w:pPr>
        <w:spacing w:line="480" w:lineRule="auto"/>
        <w:jc w:val="right"/>
        <w:rPr>
          <w:rFonts w:ascii="宋体" w:hAnsi="宋体" w:cs="宋体"/>
          <w:sz w:val="24"/>
        </w:rPr>
      </w:pPr>
    </w:p>
    <w:p w14:paraId="3260E910">
      <w:pPr>
        <w:spacing w:line="480" w:lineRule="auto"/>
        <w:jc w:val="right"/>
        <w:rPr>
          <w:rFonts w:ascii="宋体" w:hAnsi="宋体" w:cs="宋体"/>
          <w:sz w:val="24"/>
        </w:rPr>
      </w:pPr>
    </w:p>
    <w:p w14:paraId="1FF356A8">
      <w:pPr>
        <w:spacing w:line="480" w:lineRule="auto"/>
        <w:jc w:val="right"/>
        <w:rPr>
          <w:rFonts w:ascii="宋体" w:hAnsi="宋体" w:cs="宋体"/>
          <w:sz w:val="24"/>
        </w:rPr>
      </w:pPr>
    </w:p>
    <w:p w14:paraId="2DB6126A">
      <w:pPr>
        <w:widowControl/>
        <w:jc w:val="left"/>
        <w:rPr>
          <w:rFonts w:ascii="宋体" w:hAnsi="宋体"/>
        </w:rPr>
      </w:pPr>
    </w:p>
    <w:p w14:paraId="259BE94A">
      <w:pPr>
        <w:widowControl/>
        <w:jc w:val="left"/>
        <w:rPr>
          <w:rFonts w:ascii="宋体" w:hAnsi="宋体"/>
        </w:rPr>
      </w:pPr>
    </w:p>
    <w:p w14:paraId="29661756">
      <w:pPr>
        <w:widowControl/>
        <w:jc w:val="left"/>
        <w:rPr>
          <w:rFonts w:ascii="宋体" w:hAnsi="宋体"/>
        </w:rPr>
      </w:pPr>
    </w:p>
    <w:p w14:paraId="79B7C38C">
      <w:pPr>
        <w:widowControl/>
        <w:jc w:val="left"/>
        <w:rPr>
          <w:rFonts w:ascii="宋体" w:hAnsi="宋体"/>
        </w:rPr>
      </w:pPr>
    </w:p>
    <w:p w14:paraId="708FF157">
      <w:pPr>
        <w:widowControl/>
        <w:jc w:val="left"/>
        <w:rPr>
          <w:rFonts w:ascii="宋体" w:hAnsi="宋体"/>
        </w:rPr>
      </w:pPr>
    </w:p>
    <w:p w14:paraId="328A1C79">
      <w:pPr>
        <w:widowControl/>
        <w:jc w:val="left"/>
        <w:rPr>
          <w:rFonts w:ascii="宋体" w:hAnsi="宋体"/>
        </w:rPr>
      </w:pPr>
    </w:p>
    <w:p w14:paraId="10BBD021">
      <w:pPr>
        <w:widowControl/>
        <w:jc w:val="left"/>
        <w:rPr>
          <w:rFonts w:ascii="宋体" w:hAnsi="宋体"/>
        </w:rPr>
      </w:pPr>
    </w:p>
    <w:p w14:paraId="59325977">
      <w:pPr>
        <w:widowControl/>
        <w:jc w:val="left"/>
        <w:rPr>
          <w:rFonts w:ascii="宋体" w:hAnsi="宋体"/>
        </w:rPr>
      </w:pPr>
    </w:p>
    <w:p w14:paraId="5190EB11">
      <w:pPr>
        <w:widowControl/>
        <w:jc w:val="left"/>
        <w:rPr>
          <w:rFonts w:ascii="宋体" w:hAnsi="宋体"/>
        </w:rPr>
      </w:pPr>
    </w:p>
    <w:p w14:paraId="4876A392">
      <w:pPr>
        <w:widowControl/>
        <w:jc w:val="left"/>
        <w:rPr>
          <w:rFonts w:ascii="宋体" w:hAnsi="宋体"/>
        </w:rPr>
      </w:pPr>
    </w:p>
    <w:p w14:paraId="2E6814EB">
      <w:pPr>
        <w:widowControl/>
        <w:jc w:val="left"/>
        <w:rPr>
          <w:rFonts w:ascii="宋体" w:hAnsi="宋体"/>
        </w:rPr>
      </w:pPr>
    </w:p>
    <w:p w14:paraId="2DFA8ECE">
      <w:pPr>
        <w:widowControl/>
        <w:jc w:val="left"/>
        <w:rPr>
          <w:rFonts w:ascii="宋体" w:hAnsi="宋体"/>
        </w:rPr>
      </w:pPr>
    </w:p>
    <w:p w14:paraId="460268AE">
      <w:pPr>
        <w:widowControl/>
        <w:jc w:val="left"/>
        <w:rPr>
          <w:rFonts w:ascii="宋体" w:hAnsi="宋体"/>
        </w:rPr>
      </w:pPr>
    </w:p>
    <w:p w14:paraId="7B181B7D">
      <w:pPr>
        <w:widowControl/>
        <w:jc w:val="left"/>
        <w:rPr>
          <w:rFonts w:ascii="宋体" w:hAnsi="宋体"/>
        </w:rPr>
      </w:pPr>
    </w:p>
    <w:p w14:paraId="63E5A4C8">
      <w:pPr>
        <w:widowControl/>
        <w:jc w:val="left"/>
        <w:rPr>
          <w:rFonts w:ascii="宋体" w:hAnsi="宋体"/>
        </w:rPr>
      </w:pPr>
    </w:p>
    <w:p w14:paraId="2EAEE507">
      <w:pPr>
        <w:widowControl/>
        <w:jc w:val="left"/>
        <w:rPr>
          <w:rFonts w:ascii="宋体" w:hAnsi="宋体"/>
        </w:rPr>
      </w:pPr>
    </w:p>
    <w:p w14:paraId="0F2DF934">
      <w:pPr>
        <w:widowControl/>
        <w:jc w:val="left"/>
        <w:rPr>
          <w:rFonts w:ascii="宋体" w:hAnsi="宋体"/>
        </w:rPr>
      </w:pPr>
    </w:p>
    <w:p w14:paraId="65AD572B">
      <w:pPr>
        <w:widowControl/>
        <w:jc w:val="left"/>
        <w:rPr>
          <w:rFonts w:ascii="宋体" w:hAnsi="宋体"/>
        </w:rPr>
      </w:pPr>
    </w:p>
    <w:p w14:paraId="5F758B1D">
      <w:pPr>
        <w:widowControl/>
        <w:jc w:val="left"/>
        <w:rPr>
          <w:rFonts w:ascii="宋体" w:hAnsi="宋体"/>
        </w:rPr>
      </w:pPr>
    </w:p>
    <w:p w14:paraId="0E916F79">
      <w:pPr>
        <w:widowControl/>
        <w:jc w:val="left"/>
        <w:rPr>
          <w:rFonts w:ascii="宋体" w:hAnsi="宋体"/>
        </w:rPr>
      </w:pPr>
    </w:p>
    <w:p w14:paraId="2BAA1A65">
      <w:pPr>
        <w:widowControl/>
        <w:jc w:val="left"/>
        <w:rPr>
          <w:rFonts w:ascii="宋体" w:hAnsi="宋体"/>
        </w:rPr>
      </w:pPr>
    </w:p>
    <w:p w14:paraId="08731FFF">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bookmarkStart w:id="466" w:name="_Toc522117924"/>
      <w:bookmarkStart w:id="467" w:name="_Toc16520685"/>
      <w:bookmarkStart w:id="468" w:name="_Toc16520173"/>
      <w:bookmarkStart w:id="469" w:name="_Toc171014043"/>
      <w:r>
        <w:rPr>
          <w:rFonts w:hint="eastAsia" w:ascii="宋体" w:hAnsi="宋体" w:cs="宋体"/>
          <w:b/>
          <w:bCs/>
          <w:color w:val="000000"/>
          <w:sz w:val="32"/>
          <w:szCs w:val="32"/>
        </w:rPr>
        <w:t>四、</w:t>
      </w:r>
      <w:bookmarkEnd w:id="466"/>
      <w:bookmarkEnd w:id="467"/>
      <w:bookmarkEnd w:id="468"/>
      <w:r>
        <w:rPr>
          <w:rFonts w:hint="eastAsia" w:ascii="宋体" w:hAnsi="宋体" w:cs="宋体"/>
          <w:b/>
          <w:bCs/>
          <w:color w:val="000000"/>
          <w:sz w:val="32"/>
          <w:szCs w:val="32"/>
        </w:rPr>
        <w:t>供应商资格审查资料</w:t>
      </w:r>
      <w:bookmarkEnd w:id="469"/>
    </w:p>
    <w:p w14:paraId="7C2FF179">
      <w:pPr>
        <w:autoSpaceDE w:val="0"/>
        <w:autoSpaceDN w:val="0"/>
        <w:spacing w:line="360" w:lineRule="exact"/>
        <w:ind w:right="26"/>
        <w:rPr>
          <w:rFonts w:ascii="宋体" w:hAnsi="宋体"/>
          <w:color w:val="000000"/>
          <w:szCs w:val="21"/>
        </w:rPr>
      </w:pPr>
    </w:p>
    <w:p w14:paraId="20E2DAA1">
      <w:pPr>
        <w:spacing w:line="360" w:lineRule="auto"/>
        <w:ind w:firstLine="1200" w:firstLineChars="500"/>
        <w:rPr>
          <w:rFonts w:ascii="宋体" w:hAnsi="宋体"/>
          <w:color w:val="000000"/>
          <w:sz w:val="24"/>
        </w:rPr>
      </w:pPr>
    </w:p>
    <w:p w14:paraId="798AC7E6">
      <w:pPr>
        <w:spacing w:line="360" w:lineRule="auto"/>
        <w:rPr>
          <w:rFonts w:ascii="宋体" w:hAnsi="宋体" w:cs="宋体"/>
          <w:color w:val="000000"/>
          <w:kern w:val="10"/>
          <w:sz w:val="24"/>
        </w:rPr>
      </w:pPr>
    </w:p>
    <w:p w14:paraId="4A6201BC">
      <w:pPr>
        <w:spacing w:line="360" w:lineRule="auto"/>
        <w:rPr>
          <w:rFonts w:ascii="宋体" w:hAnsi="宋体" w:cs="宋体"/>
          <w:color w:val="000000"/>
          <w:kern w:val="10"/>
          <w:sz w:val="24"/>
        </w:rPr>
      </w:pPr>
    </w:p>
    <w:p w14:paraId="68DED2B7">
      <w:pPr>
        <w:spacing w:line="360" w:lineRule="auto"/>
        <w:rPr>
          <w:rFonts w:ascii="宋体" w:hAnsi="宋体" w:cs="宋体"/>
          <w:color w:val="000000"/>
          <w:kern w:val="10"/>
          <w:sz w:val="24"/>
        </w:rPr>
      </w:pPr>
    </w:p>
    <w:p w14:paraId="149C2BDC">
      <w:pPr>
        <w:spacing w:line="360" w:lineRule="auto"/>
        <w:rPr>
          <w:rFonts w:ascii="宋体" w:hAnsi="宋体" w:cs="宋体"/>
          <w:color w:val="000000"/>
          <w:kern w:val="10"/>
          <w:sz w:val="24"/>
        </w:rPr>
      </w:pPr>
    </w:p>
    <w:p w14:paraId="000251A6">
      <w:pPr>
        <w:spacing w:line="360" w:lineRule="auto"/>
        <w:rPr>
          <w:rFonts w:ascii="宋体" w:hAnsi="宋体" w:cs="宋体"/>
          <w:color w:val="000000"/>
          <w:kern w:val="10"/>
          <w:sz w:val="24"/>
        </w:rPr>
      </w:pPr>
    </w:p>
    <w:p w14:paraId="21FDF9FB">
      <w:pPr>
        <w:spacing w:line="360" w:lineRule="auto"/>
        <w:jc w:val="center"/>
        <w:rPr>
          <w:rFonts w:ascii="宋体" w:hAnsi="宋体" w:cs="宋体"/>
          <w:b/>
          <w:bCs/>
          <w:sz w:val="32"/>
          <w:szCs w:val="32"/>
        </w:rPr>
      </w:pPr>
      <w:r>
        <w:rPr>
          <w:rFonts w:ascii="宋体" w:hAnsi="宋体" w:cs="宋体"/>
          <w:b/>
          <w:bCs/>
          <w:color w:val="000000"/>
          <w:kern w:val="10"/>
          <w:sz w:val="28"/>
          <w:szCs w:val="28"/>
        </w:rPr>
        <w:br w:type="page"/>
      </w:r>
      <w:bookmarkStart w:id="470" w:name="_Toc171014044"/>
      <w:r>
        <w:rPr>
          <w:rFonts w:hint="eastAsia" w:ascii="宋体" w:hAnsi="宋体" w:cs="宋体"/>
          <w:b/>
          <w:bCs/>
          <w:sz w:val="32"/>
          <w:szCs w:val="32"/>
        </w:rPr>
        <w:t>五</w:t>
      </w:r>
      <w:r>
        <w:rPr>
          <w:rFonts w:ascii="宋体" w:hAnsi="宋体" w:cs="宋体"/>
          <w:b/>
          <w:bCs/>
          <w:sz w:val="32"/>
          <w:szCs w:val="32"/>
        </w:rPr>
        <w:t>、</w:t>
      </w:r>
      <w:r>
        <w:rPr>
          <w:rFonts w:hint="eastAsia" w:ascii="宋体" w:hAnsi="宋体" w:cs="宋体"/>
          <w:b/>
          <w:bCs/>
          <w:sz w:val="32"/>
          <w:szCs w:val="32"/>
        </w:rPr>
        <w:t>施工组织设计</w:t>
      </w:r>
      <w:bookmarkEnd w:id="470"/>
    </w:p>
    <w:p w14:paraId="44309D49">
      <w:pPr>
        <w:tabs>
          <w:tab w:val="left" w:pos="720"/>
        </w:tabs>
        <w:spacing w:line="440" w:lineRule="exact"/>
        <w:ind w:firstLine="480" w:firstLineChars="200"/>
        <w:rPr>
          <w:rFonts w:ascii="宋体" w:hAnsi="宋体"/>
          <w:sz w:val="24"/>
          <w:szCs w:val="21"/>
        </w:rPr>
      </w:pPr>
      <w:bookmarkStart w:id="471" w:name="_Toc20592"/>
      <w:bookmarkStart w:id="472" w:name="_Toc16520174"/>
      <w:bookmarkStart w:id="473" w:name="_Toc509306638"/>
      <w:bookmarkStart w:id="474" w:name="_Toc522117925"/>
      <w:bookmarkStart w:id="475" w:name="_Toc498866182"/>
      <w:bookmarkStart w:id="476" w:name="_Toc500665790"/>
      <w:bookmarkStart w:id="477" w:name="_Toc16520686"/>
      <w:r>
        <w:rPr>
          <w:rFonts w:ascii="宋体" w:hAnsi="宋体"/>
          <w:sz w:val="24"/>
          <w:szCs w:val="21"/>
        </w:rPr>
        <w:t>1.投标人编制施工组织设计的要求：</w:t>
      </w:r>
      <w:r>
        <w:rPr>
          <w:rFonts w:hint="eastAsia" w:ascii="宋体" w:hAnsi="宋体"/>
          <w:sz w:val="24"/>
          <w:szCs w:val="21"/>
        </w:rPr>
        <w:t>简明扼要地</w:t>
      </w:r>
      <w:r>
        <w:rPr>
          <w:rFonts w:ascii="宋体" w:hAnsi="宋体"/>
          <w:sz w:val="24"/>
          <w:szCs w:val="21"/>
        </w:rPr>
        <w:t>说明</w:t>
      </w:r>
      <w:r>
        <w:rPr>
          <w:rFonts w:hint="eastAsia" w:ascii="宋体" w:hAnsi="宋体"/>
          <w:sz w:val="24"/>
        </w:rPr>
        <w:t>施工方案与技术措施</w:t>
      </w:r>
      <w:r>
        <w:rPr>
          <w:rFonts w:hint="eastAsia" w:ascii="宋体" w:hAnsi="宋体"/>
          <w:sz w:val="24"/>
          <w:szCs w:val="21"/>
        </w:rPr>
        <w:t>，</w:t>
      </w:r>
      <w:r>
        <w:rPr>
          <w:rFonts w:ascii="宋体" w:hAnsi="宋体"/>
          <w:sz w:val="24"/>
          <w:szCs w:val="21"/>
        </w:rPr>
        <w:t>工程质量、安全生产、环境</w:t>
      </w:r>
      <w:r>
        <w:rPr>
          <w:rFonts w:hint="eastAsia" w:ascii="宋体" w:hAnsi="宋体"/>
          <w:sz w:val="24"/>
          <w:szCs w:val="21"/>
        </w:rPr>
        <w:t>保护、</w:t>
      </w:r>
      <w:r>
        <w:rPr>
          <w:rFonts w:ascii="宋体" w:hAnsi="宋体"/>
          <w:sz w:val="24"/>
          <w:szCs w:val="21"/>
        </w:rPr>
        <w:t>工程进度、</w:t>
      </w:r>
      <w:r>
        <w:rPr>
          <w:rFonts w:hint="eastAsia" w:ascii="宋体" w:hAnsi="宋体"/>
          <w:sz w:val="24"/>
          <w:szCs w:val="21"/>
        </w:rPr>
        <w:t>资源</w:t>
      </w:r>
      <w:r>
        <w:rPr>
          <w:rFonts w:ascii="宋体" w:hAnsi="宋体"/>
          <w:sz w:val="24"/>
          <w:szCs w:val="21"/>
        </w:rPr>
        <w:t>配备、施工网络图、节能减排工艺创新、新工艺技术设备材料的采购、信息化平台管理</w:t>
      </w:r>
      <w:r>
        <w:rPr>
          <w:rFonts w:hint="eastAsia" w:ascii="宋体" w:hAnsi="宋体"/>
          <w:sz w:val="24"/>
          <w:szCs w:val="21"/>
        </w:rPr>
        <w:t>等主要措施</w:t>
      </w:r>
      <w:r>
        <w:rPr>
          <w:rFonts w:ascii="宋体" w:hAnsi="宋体"/>
          <w:sz w:val="24"/>
          <w:szCs w:val="21"/>
        </w:rPr>
        <w:t>。</w:t>
      </w:r>
    </w:p>
    <w:p w14:paraId="33A072A0">
      <w:pPr>
        <w:tabs>
          <w:tab w:val="left" w:pos="720"/>
        </w:tabs>
        <w:spacing w:line="440" w:lineRule="exact"/>
        <w:ind w:firstLine="480" w:firstLineChars="200"/>
        <w:rPr>
          <w:rFonts w:ascii="宋体" w:hAnsi="宋体"/>
          <w:sz w:val="24"/>
          <w:szCs w:val="21"/>
        </w:rPr>
      </w:pPr>
      <w:r>
        <w:rPr>
          <w:rFonts w:ascii="宋体" w:hAnsi="宋体"/>
          <w:sz w:val="24"/>
          <w:szCs w:val="21"/>
        </w:rPr>
        <w:t>2.图表及格式要求</w:t>
      </w:r>
      <w:r>
        <w:rPr>
          <w:rFonts w:hint="eastAsia" w:ascii="宋体" w:hAnsi="宋体"/>
          <w:sz w:val="24"/>
          <w:szCs w:val="21"/>
        </w:rPr>
        <w:t>：</w:t>
      </w:r>
    </w:p>
    <w:p w14:paraId="27F7F0FB">
      <w:pPr>
        <w:tabs>
          <w:tab w:val="left" w:pos="720"/>
        </w:tabs>
        <w:spacing w:line="440" w:lineRule="exact"/>
        <w:ind w:firstLine="864" w:firstLineChars="360"/>
        <w:rPr>
          <w:rFonts w:ascii="宋体" w:hAnsi="宋体"/>
          <w:sz w:val="24"/>
          <w:szCs w:val="21"/>
        </w:rPr>
      </w:pPr>
      <w:r>
        <w:rPr>
          <w:rFonts w:ascii="宋体" w:hAnsi="宋体"/>
          <w:sz w:val="24"/>
          <w:szCs w:val="21"/>
        </w:rPr>
        <w:t>附表一  拟投入的主要施工设备表</w:t>
      </w:r>
    </w:p>
    <w:p w14:paraId="3AA90DEB">
      <w:pPr>
        <w:tabs>
          <w:tab w:val="left" w:pos="720"/>
        </w:tabs>
        <w:spacing w:line="440" w:lineRule="exact"/>
        <w:ind w:firstLine="864" w:firstLineChars="360"/>
        <w:rPr>
          <w:rFonts w:ascii="宋体" w:hAnsi="宋体"/>
          <w:sz w:val="24"/>
          <w:szCs w:val="21"/>
        </w:rPr>
      </w:pPr>
      <w:r>
        <w:rPr>
          <w:rFonts w:ascii="宋体" w:hAnsi="宋体"/>
          <w:sz w:val="24"/>
          <w:szCs w:val="21"/>
        </w:rPr>
        <w:t>附表</w:t>
      </w:r>
      <w:r>
        <w:rPr>
          <w:rFonts w:hint="eastAsia" w:ascii="宋体" w:hAnsi="宋体"/>
          <w:sz w:val="24"/>
          <w:szCs w:val="21"/>
        </w:rPr>
        <w:t>二</w:t>
      </w:r>
      <w:r>
        <w:rPr>
          <w:rFonts w:ascii="宋体" w:hAnsi="宋体"/>
          <w:sz w:val="24"/>
          <w:szCs w:val="21"/>
        </w:rPr>
        <w:t xml:space="preserve">  劳动力计划表</w:t>
      </w:r>
    </w:p>
    <w:p w14:paraId="4F0B2BF8">
      <w:pPr>
        <w:tabs>
          <w:tab w:val="left" w:pos="720"/>
        </w:tabs>
        <w:spacing w:line="440" w:lineRule="exact"/>
        <w:ind w:firstLine="864" w:firstLineChars="360"/>
        <w:rPr>
          <w:rFonts w:ascii="宋体" w:hAnsi="宋体"/>
          <w:sz w:val="24"/>
          <w:szCs w:val="21"/>
        </w:rPr>
      </w:pPr>
      <w:r>
        <w:rPr>
          <w:rFonts w:ascii="宋体" w:hAnsi="宋体"/>
          <w:sz w:val="24"/>
          <w:szCs w:val="21"/>
        </w:rPr>
        <w:t>附表</w:t>
      </w:r>
      <w:r>
        <w:rPr>
          <w:rFonts w:hint="eastAsia" w:ascii="宋体" w:hAnsi="宋体"/>
          <w:sz w:val="24"/>
          <w:szCs w:val="21"/>
        </w:rPr>
        <w:t>三</w:t>
      </w:r>
      <w:r>
        <w:rPr>
          <w:rFonts w:ascii="宋体" w:hAnsi="宋体"/>
          <w:sz w:val="24"/>
          <w:szCs w:val="21"/>
        </w:rPr>
        <w:t xml:space="preserve">  进度</w:t>
      </w:r>
      <w:r>
        <w:rPr>
          <w:rFonts w:hint="eastAsia" w:ascii="宋体" w:hAnsi="宋体"/>
          <w:sz w:val="24"/>
          <w:szCs w:val="21"/>
        </w:rPr>
        <w:t>计划</w:t>
      </w:r>
    </w:p>
    <w:p w14:paraId="0B9E6F05">
      <w:pPr>
        <w:spacing w:line="440" w:lineRule="exact"/>
        <w:rPr>
          <w:rFonts w:ascii="宋体" w:hAnsi="宋体"/>
          <w:sz w:val="20"/>
          <w:szCs w:val="20"/>
        </w:rPr>
      </w:pPr>
    </w:p>
    <w:p w14:paraId="13971807">
      <w:pPr>
        <w:spacing w:line="440" w:lineRule="exact"/>
        <w:rPr>
          <w:rFonts w:ascii="宋体" w:hAnsi="宋体"/>
          <w:sz w:val="20"/>
          <w:szCs w:val="20"/>
        </w:rPr>
      </w:pPr>
    </w:p>
    <w:p w14:paraId="7EBDCA19">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30C605DB">
      <w:pPr>
        <w:shd w:val="clear" w:color="auto" w:fill="FFFFFF"/>
        <w:tabs>
          <w:tab w:val="right" w:pos="6077"/>
        </w:tabs>
        <w:autoSpaceDE w:val="0"/>
        <w:autoSpaceDN w:val="0"/>
        <w:spacing w:line="560" w:lineRule="exact"/>
        <w:jc w:val="center"/>
        <w:outlineLvl w:val="1"/>
        <w:rPr>
          <w:rFonts w:ascii="宋体" w:hAnsi="宋体" w:cs="宋体"/>
          <w:bCs/>
          <w:color w:val="000000"/>
          <w:sz w:val="28"/>
          <w:szCs w:val="28"/>
        </w:rPr>
      </w:pPr>
    </w:p>
    <w:p w14:paraId="5B4A3DF4">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5C74DF0F">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726BEA81">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3B9F87C0">
      <w:pPr>
        <w:widowControl/>
        <w:jc w:val="left"/>
        <w:rPr>
          <w:rFonts w:ascii="宋体" w:hAnsi="宋体"/>
        </w:rPr>
      </w:pPr>
    </w:p>
    <w:p w14:paraId="32105ECC">
      <w:pPr>
        <w:widowControl/>
        <w:jc w:val="left"/>
        <w:rPr>
          <w:rFonts w:ascii="宋体" w:hAnsi="宋体"/>
        </w:rPr>
      </w:pPr>
    </w:p>
    <w:p w14:paraId="4F79841A">
      <w:pPr>
        <w:widowControl/>
        <w:jc w:val="left"/>
        <w:rPr>
          <w:rFonts w:ascii="宋体" w:hAnsi="宋体"/>
        </w:rPr>
      </w:pPr>
    </w:p>
    <w:p w14:paraId="78125DF1">
      <w:pPr>
        <w:widowControl/>
        <w:jc w:val="left"/>
        <w:rPr>
          <w:rFonts w:ascii="宋体" w:hAnsi="宋体"/>
        </w:rPr>
      </w:pPr>
    </w:p>
    <w:p w14:paraId="5B87A838">
      <w:pPr>
        <w:widowControl/>
        <w:jc w:val="left"/>
        <w:rPr>
          <w:rFonts w:ascii="宋体" w:hAnsi="宋体"/>
        </w:rPr>
      </w:pPr>
    </w:p>
    <w:p w14:paraId="7C54C204">
      <w:pPr>
        <w:widowControl/>
        <w:jc w:val="left"/>
        <w:rPr>
          <w:rFonts w:ascii="宋体" w:hAnsi="宋体"/>
        </w:rPr>
      </w:pPr>
    </w:p>
    <w:p w14:paraId="2681F88E">
      <w:pPr>
        <w:widowControl/>
        <w:jc w:val="left"/>
        <w:rPr>
          <w:rFonts w:ascii="宋体" w:hAnsi="宋体"/>
        </w:rPr>
      </w:pPr>
    </w:p>
    <w:p w14:paraId="6274BCD3">
      <w:pPr>
        <w:widowControl/>
        <w:jc w:val="left"/>
        <w:rPr>
          <w:rFonts w:ascii="宋体" w:hAnsi="宋体"/>
        </w:rPr>
      </w:pPr>
    </w:p>
    <w:p w14:paraId="57C36DEF">
      <w:pPr>
        <w:widowControl/>
        <w:jc w:val="left"/>
        <w:rPr>
          <w:rFonts w:ascii="宋体" w:hAnsi="宋体"/>
        </w:rPr>
      </w:pPr>
    </w:p>
    <w:p w14:paraId="501D3015">
      <w:pPr>
        <w:widowControl/>
        <w:jc w:val="left"/>
        <w:rPr>
          <w:rFonts w:ascii="宋体" w:hAnsi="宋体"/>
        </w:rPr>
      </w:pPr>
    </w:p>
    <w:p w14:paraId="5EA9D7E1">
      <w:pPr>
        <w:widowControl/>
        <w:jc w:val="left"/>
        <w:rPr>
          <w:rFonts w:ascii="宋体" w:hAnsi="宋体"/>
        </w:rPr>
      </w:pPr>
    </w:p>
    <w:p w14:paraId="6A52354F">
      <w:pPr>
        <w:widowControl/>
        <w:jc w:val="left"/>
        <w:rPr>
          <w:rFonts w:ascii="宋体" w:hAnsi="宋体"/>
        </w:rPr>
      </w:pPr>
    </w:p>
    <w:p w14:paraId="7BD4E4A3">
      <w:pPr>
        <w:widowControl/>
        <w:jc w:val="left"/>
        <w:rPr>
          <w:rFonts w:ascii="宋体" w:hAnsi="宋体"/>
        </w:rPr>
      </w:pPr>
    </w:p>
    <w:p w14:paraId="0E9F8D2B">
      <w:pPr>
        <w:widowControl/>
        <w:jc w:val="left"/>
        <w:rPr>
          <w:rFonts w:ascii="宋体" w:hAnsi="宋体"/>
        </w:rPr>
      </w:pPr>
    </w:p>
    <w:p w14:paraId="2887CC5F">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49ADBECB">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p w14:paraId="2F74A52B">
      <w:pPr>
        <w:keepNext/>
        <w:keepLines/>
        <w:spacing w:before="260" w:after="260" w:line="408" w:lineRule="auto"/>
        <w:outlineLvl w:val="2"/>
        <w:rPr>
          <w:rFonts w:ascii="宋体" w:hAnsi="宋体"/>
          <w:b/>
          <w:bCs/>
          <w:kern w:val="0"/>
          <w:sz w:val="32"/>
          <w:szCs w:val="32"/>
        </w:rPr>
      </w:pPr>
      <w:bookmarkStart w:id="478" w:name="_Toc77586875"/>
      <w:bookmarkStart w:id="479" w:name="_Toc179632817"/>
      <w:bookmarkStart w:id="480" w:name="_Toc152045797"/>
      <w:bookmarkStart w:id="481" w:name="_Toc246996365"/>
      <w:bookmarkStart w:id="482" w:name="_Toc246997108"/>
      <w:bookmarkStart w:id="483" w:name="_Toc247085883"/>
      <w:bookmarkStart w:id="484" w:name="_Toc296602610"/>
      <w:bookmarkStart w:id="485" w:name="_Toc171014046"/>
      <w:bookmarkStart w:id="486" w:name="_Toc144974865"/>
      <w:bookmarkStart w:id="487" w:name="_Toc152042586"/>
      <w:bookmarkStart w:id="488" w:name="_Toc29247"/>
      <w:bookmarkStart w:id="489" w:name="_Toc77586973"/>
      <w:r>
        <w:rPr>
          <w:rFonts w:ascii="宋体" w:hAnsi="宋体"/>
          <w:b/>
          <w:bCs/>
          <w:kern w:val="0"/>
          <w:sz w:val="32"/>
          <w:szCs w:val="32"/>
        </w:rPr>
        <w:t>附表一：拟投入的主要施工设备表</w:t>
      </w:r>
      <w:bookmarkEnd w:id="478"/>
      <w:bookmarkEnd w:id="479"/>
      <w:bookmarkEnd w:id="480"/>
      <w:bookmarkEnd w:id="481"/>
      <w:bookmarkEnd w:id="482"/>
      <w:bookmarkEnd w:id="483"/>
      <w:bookmarkEnd w:id="484"/>
      <w:bookmarkEnd w:id="485"/>
      <w:bookmarkEnd w:id="486"/>
      <w:bookmarkEnd w:id="487"/>
      <w:bookmarkEnd w:id="488"/>
      <w:bookmarkEnd w:id="489"/>
    </w:p>
    <w:tbl>
      <w:tblPr>
        <w:tblStyle w:val="11"/>
        <w:tblW w:w="8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780"/>
        <w:gridCol w:w="851"/>
        <w:gridCol w:w="850"/>
        <w:gridCol w:w="1028"/>
        <w:gridCol w:w="865"/>
        <w:gridCol w:w="1085"/>
        <w:gridCol w:w="874"/>
        <w:gridCol w:w="1055"/>
        <w:gridCol w:w="691"/>
      </w:tblGrid>
      <w:tr w14:paraId="274C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center"/>
          </w:tcPr>
          <w:p w14:paraId="351DB805">
            <w:pPr>
              <w:spacing w:line="440" w:lineRule="exact"/>
              <w:rPr>
                <w:rFonts w:ascii="宋体" w:hAnsi="宋体"/>
                <w:sz w:val="24"/>
              </w:rPr>
            </w:pPr>
            <w:r>
              <w:rPr>
                <w:rFonts w:ascii="宋体" w:hAnsi="宋体"/>
                <w:sz w:val="24"/>
              </w:rPr>
              <w:t>序号</w:t>
            </w:r>
          </w:p>
        </w:tc>
        <w:tc>
          <w:tcPr>
            <w:tcW w:w="780" w:type="dxa"/>
            <w:noWrap/>
            <w:vAlign w:val="center"/>
          </w:tcPr>
          <w:p w14:paraId="791CA05B">
            <w:pPr>
              <w:spacing w:line="440" w:lineRule="exact"/>
              <w:jc w:val="center"/>
              <w:rPr>
                <w:rFonts w:ascii="宋体" w:hAnsi="宋体"/>
                <w:sz w:val="24"/>
              </w:rPr>
            </w:pPr>
            <w:r>
              <w:rPr>
                <w:rFonts w:ascii="宋体" w:hAnsi="宋体"/>
                <w:sz w:val="24"/>
              </w:rPr>
              <w:t>设备名称</w:t>
            </w:r>
          </w:p>
        </w:tc>
        <w:tc>
          <w:tcPr>
            <w:tcW w:w="851" w:type="dxa"/>
            <w:noWrap/>
            <w:vAlign w:val="center"/>
          </w:tcPr>
          <w:p w14:paraId="43AF316B">
            <w:pPr>
              <w:spacing w:line="440" w:lineRule="exact"/>
              <w:jc w:val="center"/>
              <w:rPr>
                <w:rFonts w:ascii="宋体" w:hAnsi="宋体"/>
                <w:sz w:val="24"/>
              </w:rPr>
            </w:pPr>
            <w:r>
              <w:rPr>
                <w:rFonts w:ascii="宋体" w:hAnsi="宋体"/>
                <w:sz w:val="24"/>
              </w:rPr>
              <w:t>型号</w:t>
            </w:r>
          </w:p>
          <w:p w14:paraId="3A4D957E">
            <w:pPr>
              <w:spacing w:line="440" w:lineRule="exact"/>
              <w:jc w:val="center"/>
              <w:rPr>
                <w:rFonts w:ascii="宋体" w:hAnsi="宋体"/>
                <w:sz w:val="24"/>
              </w:rPr>
            </w:pPr>
            <w:r>
              <w:rPr>
                <w:rFonts w:ascii="宋体" w:hAnsi="宋体"/>
                <w:sz w:val="24"/>
              </w:rPr>
              <w:t>规格</w:t>
            </w:r>
          </w:p>
        </w:tc>
        <w:tc>
          <w:tcPr>
            <w:tcW w:w="850" w:type="dxa"/>
            <w:noWrap/>
            <w:vAlign w:val="center"/>
          </w:tcPr>
          <w:p w14:paraId="125C297C">
            <w:pPr>
              <w:spacing w:line="440" w:lineRule="exact"/>
              <w:jc w:val="center"/>
              <w:rPr>
                <w:rFonts w:ascii="宋体" w:hAnsi="宋体"/>
                <w:sz w:val="24"/>
              </w:rPr>
            </w:pPr>
            <w:r>
              <w:rPr>
                <w:rFonts w:ascii="宋体" w:hAnsi="宋体"/>
                <w:sz w:val="24"/>
              </w:rPr>
              <w:t>数量</w:t>
            </w:r>
          </w:p>
        </w:tc>
        <w:tc>
          <w:tcPr>
            <w:tcW w:w="1028" w:type="dxa"/>
            <w:noWrap/>
            <w:vAlign w:val="center"/>
          </w:tcPr>
          <w:p w14:paraId="246A8E69">
            <w:pPr>
              <w:spacing w:line="440" w:lineRule="exact"/>
              <w:jc w:val="center"/>
              <w:rPr>
                <w:rFonts w:ascii="宋体" w:hAnsi="宋体"/>
                <w:sz w:val="24"/>
              </w:rPr>
            </w:pPr>
            <w:r>
              <w:rPr>
                <w:rFonts w:ascii="宋体" w:hAnsi="宋体"/>
                <w:sz w:val="24"/>
              </w:rPr>
              <w:t>国别</w:t>
            </w:r>
          </w:p>
          <w:p w14:paraId="008CA237">
            <w:pPr>
              <w:spacing w:line="440" w:lineRule="exact"/>
              <w:jc w:val="center"/>
              <w:rPr>
                <w:rFonts w:ascii="宋体" w:hAnsi="宋体"/>
                <w:sz w:val="24"/>
              </w:rPr>
            </w:pPr>
            <w:r>
              <w:rPr>
                <w:rFonts w:ascii="宋体" w:hAnsi="宋体"/>
                <w:sz w:val="24"/>
              </w:rPr>
              <w:t>产地</w:t>
            </w:r>
          </w:p>
        </w:tc>
        <w:tc>
          <w:tcPr>
            <w:tcW w:w="865" w:type="dxa"/>
            <w:noWrap/>
            <w:vAlign w:val="center"/>
          </w:tcPr>
          <w:p w14:paraId="669990A3">
            <w:pPr>
              <w:spacing w:line="440" w:lineRule="exact"/>
              <w:jc w:val="center"/>
              <w:rPr>
                <w:rFonts w:ascii="宋体" w:hAnsi="宋体"/>
                <w:sz w:val="24"/>
              </w:rPr>
            </w:pPr>
            <w:r>
              <w:rPr>
                <w:rFonts w:ascii="宋体" w:hAnsi="宋体"/>
                <w:sz w:val="24"/>
              </w:rPr>
              <w:t>制造</w:t>
            </w:r>
          </w:p>
          <w:p w14:paraId="5BA05F68">
            <w:pPr>
              <w:spacing w:line="440" w:lineRule="exact"/>
              <w:jc w:val="center"/>
              <w:rPr>
                <w:rFonts w:ascii="宋体" w:hAnsi="宋体"/>
                <w:sz w:val="24"/>
              </w:rPr>
            </w:pPr>
            <w:r>
              <w:rPr>
                <w:rFonts w:ascii="宋体" w:hAnsi="宋体"/>
                <w:sz w:val="24"/>
              </w:rPr>
              <w:t>年份</w:t>
            </w:r>
          </w:p>
        </w:tc>
        <w:tc>
          <w:tcPr>
            <w:tcW w:w="1085" w:type="dxa"/>
            <w:noWrap/>
            <w:vAlign w:val="center"/>
          </w:tcPr>
          <w:p w14:paraId="11204C70">
            <w:pPr>
              <w:spacing w:line="440" w:lineRule="exact"/>
              <w:jc w:val="center"/>
              <w:rPr>
                <w:rFonts w:ascii="宋体" w:hAnsi="宋体"/>
                <w:sz w:val="24"/>
              </w:rPr>
            </w:pPr>
            <w:r>
              <w:rPr>
                <w:rFonts w:ascii="宋体" w:hAnsi="宋体"/>
                <w:sz w:val="24"/>
              </w:rPr>
              <w:t>额定功率（</w:t>
            </w:r>
            <w:r>
              <w:rPr>
                <w:rFonts w:hint="eastAsia" w:ascii="宋体" w:hAnsi="宋体"/>
                <w:sz w:val="24"/>
              </w:rPr>
              <w:t>k</w:t>
            </w:r>
            <w:r>
              <w:rPr>
                <w:rFonts w:ascii="宋体" w:hAnsi="宋体"/>
                <w:sz w:val="24"/>
              </w:rPr>
              <w:t>W）</w:t>
            </w:r>
          </w:p>
        </w:tc>
        <w:tc>
          <w:tcPr>
            <w:tcW w:w="874" w:type="dxa"/>
            <w:noWrap/>
            <w:vAlign w:val="center"/>
          </w:tcPr>
          <w:p w14:paraId="101A70D7">
            <w:pPr>
              <w:spacing w:line="440" w:lineRule="exact"/>
              <w:jc w:val="center"/>
              <w:rPr>
                <w:rFonts w:ascii="宋体" w:hAnsi="宋体"/>
                <w:sz w:val="24"/>
              </w:rPr>
            </w:pPr>
            <w:r>
              <w:rPr>
                <w:rFonts w:ascii="宋体" w:hAnsi="宋体"/>
                <w:sz w:val="24"/>
              </w:rPr>
              <w:t>生产</w:t>
            </w:r>
          </w:p>
          <w:p w14:paraId="131DD976">
            <w:pPr>
              <w:spacing w:line="440" w:lineRule="exact"/>
              <w:jc w:val="center"/>
              <w:rPr>
                <w:rFonts w:ascii="宋体" w:hAnsi="宋体"/>
                <w:sz w:val="24"/>
              </w:rPr>
            </w:pPr>
            <w:r>
              <w:rPr>
                <w:rFonts w:ascii="宋体" w:hAnsi="宋体"/>
                <w:sz w:val="24"/>
              </w:rPr>
              <w:t>能力</w:t>
            </w:r>
          </w:p>
        </w:tc>
        <w:tc>
          <w:tcPr>
            <w:tcW w:w="1055" w:type="dxa"/>
            <w:noWrap/>
            <w:vAlign w:val="center"/>
          </w:tcPr>
          <w:p w14:paraId="610C9C70">
            <w:pPr>
              <w:spacing w:line="440" w:lineRule="exact"/>
              <w:jc w:val="center"/>
              <w:rPr>
                <w:rFonts w:ascii="宋体" w:hAnsi="宋体"/>
                <w:sz w:val="24"/>
              </w:rPr>
            </w:pPr>
            <w:r>
              <w:rPr>
                <w:rFonts w:ascii="宋体" w:hAnsi="宋体"/>
                <w:sz w:val="24"/>
              </w:rPr>
              <w:t>用于施工部位</w:t>
            </w:r>
          </w:p>
        </w:tc>
        <w:tc>
          <w:tcPr>
            <w:tcW w:w="691" w:type="dxa"/>
            <w:noWrap/>
            <w:vAlign w:val="center"/>
          </w:tcPr>
          <w:p w14:paraId="6E3F22E8">
            <w:pPr>
              <w:spacing w:line="440" w:lineRule="exact"/>
              <w:jc w:val="center"/>
              <w:rPr>
                <w:rFonts w:ascii="宋体" w:hAnsi="宋体"/>
                <w:sz w:val="24"/>
              </w:rPr>
            </w:pPr>
            <w:r>
              <w:rPr>
                <w:rFonts w:ascii="宋体" w:hAnsi="宋体"/>
                <w:sz w:val="24"/>
              </w:rPr>
              <w:t>备注</w:t>
            </w:r>
          </w:p>
        </w:tc>
      </w:tr>
      <w:tr w14:paraId="2265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center"/>
          </w:tcPr>
          <w:p w14:paraId="0AA40B24">
            <w:pPr>
              <w:spacing w:line="440" w:lineRule="exact"/>
              <w:jc w:val="center"/>
              <w:rPr>
                <w:rFonts w:ascii="宋体" w:hAnsi="宋体"/>
                <w:sz w:val="24"/>
              </w:rPr>
            </w:pPr>
          </w:p>
        </w:tc>
        <w:tc>
          <w:tcPr>
            <w:tcW w:w="780" w:type="dxa"/>
            <w:noWrap/>
            <w:vAlign w:val="center"/>
          </w:tcPr>
          <w:p w14:paraId="0699D0B7">
            <w:pPr>
              <w:spacing w:line="440" w:lineRule="exact"/>
              <w:jc w:val="center"/>
              <w:rPr>
                <w:rFonts w:ascii="宋体" w:hAnsi="宋体"/>
                <w:sz w:val="24"/>
              </w:rPr>
            </w:pPr>
          </w:p>
        </w:tc>
        <w:tc>
          <w:tcPr>
            <w:tcW w:w="851" w:type="dxa"/>
            <w:noWrap/>
            <w:vAlign w:val="center"/>
          </w:tcPr>
          <w:p w14:paraId="3A0F2DEC">
            <w:pPr>
              <w:spacing w:line="440" w:lineRule="exact"/>
              <w:jc w:val="center"/>
              <w:rPr>
                <w:rFonts w:ascii="宋体" w:hAnsi="宋体"/>
                <w:sz w:val="24"/>
              </w:rPr>
            </w:pPr>
          </w:p>
        </w:tc>
        <w:tc>
          <w:tcPr>
            <w:tcW w:w="850" w:type="dxa"/>
            <w:noWrap/>
            <w:vAlign w:val="center"/>
          </w:tcPr>
          <w:p w14:paraId="303545E5">
            <w:pPr>
              <w:spacing w:line="440" w:lineRule="exact"/>
              <w:jc w:val="center"/>
              <w:rPr>
                <w:rFonts w:ascii="宋体" w:hAnsi="宋体"/>
                <w:sz w:val="24"/>
              </w:rPr>
            </w:pPr>
          </w:p>
        </w:tc>
        <w:tc>
          <w:tcPr>
            <w:tcW w:w="1028" w:type="dxa"/>
            <w:noWrap/>
            <w:vAlign w:val="center"/>
          </w:tcPr>
          <w:p w14:paraId="1ADEFA64">
            <w:pPr>
              <w:spacing w:line="440" w:lineRule="exact"/>
              <w:jc w:val="center"/>
              <w:rPr>
                <w:rFonts w:ascii="宋体" w:hAnsi="宋体"/>
                <w:sz w:val="24"/>
              </w:rPr>
            </w:pPr>
          </w:p>
        </w:tc>
        <w:tc>
          <w:tcPr>
            <w:tcW w:w="865" w:type="dxa"/>
            <w:noWrap/>
            <w:vAlign w:val="center"/>
          </w:tcPr>
          <w:p w14:paraId="2D18B0DB">
            <w:pPr>
              <w:spacing w:line="440" w:lineRule="exact"/>
              <w:jc w:val="center"/>
              <w:rPr>
                <w:rFonts w:ascii="宋体" w:hAnsi="宋体"/>
                <w:sz w:val="24"/>
              </w:rPr>
            </w:pPr>
          </w:p>
        </w:tc>
        <w:tc>
          <w:tcPr>
            <w:tcW w:w="1085" w:type="dxa"/>
            <w:noWrap/>
            <w:vAlign w:val="center"/>
          </w:tcPr>
          <w:p w14:paraId="2EF25A71">
            <w:pPr>
              <w:spacing w:line="440" w:lineRule="exact"/>
              <w:jc w:val="center"/>
              <w:rPr>
                <w:rFonts w:ascii="宋体" w:hAnsi="宋体"/>
                <w:sz w:val="24"/>
              </w:rPr>
            </w:pPr>
          </w:p>
        </w:tc>
        <w:tc>
          <w:tcPr>
            <w:tcW w:w="874" w:type="dxa"/>
            <w:noWrap/>
            <w:vAlign w:val="center"/>
          </w:tcPr>
          <w:p w14:paraId="3F488F8A">
            <w:pPr>
              <w:spacing w:line="440" w:lineRule="exact"/>
              <w:jc w:val="center"/>
              <w:rPr>
                <w:rFonts w:ascii="宋体" w:hAnsi="宋体"/>
                <w:sz w:val="24"/>
              </w:rPr>
            </w:pPr>
          </w:p>
        </w:tc>
        <w:tc>
          <w:tcPr>
            <w:tcW w:w="1055" w:type="dxa"/>
            <w:noWrap/>
            <w:vAlign w:val="center"/>
          </w:tcPr>
          <w:p w14:paraId="07650929">
            <w:pPr>
              <w:spacing w:line="440" w:lineRule="exact"/>
              <w:jc w:val="center"/>
              <w:rPr>
                <w:rFonts w:ascii="宋体" w:hAnsi="宋体"/>
                <w:sz w:val="24"/>
              </w:rPr>
            </w:pPr>
          </w:p>
        </w:tc>
        <w:tc>
          <w:tcPr>
            <w:tcW w:w="691" w:type="dxa"/>
            <w:noWrap/>
            <w:vAlign w:val="center"/>
          </w:tcPr>
          <w:p w14:paraId="4BE88E18">
            <w:pPr>
              <w:spacing w:line="440" w:lineRule="exact"/>
              <w:jc w:val="center"/>
              <w:rPr>
                <w:rFonts w:ascii="宋体" w:hAnsi="宋体"/>
                <w:sz w:val="24"/>
              </w:rPr>
            </w:pPr>
          </w:p>
        </w:tc>
      </w:tr>
      <w:tr w14:paraId="3681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vAlign w:val="center"/>
          </w:tcPr>
          <w:p w14:paraId="47808592">
            <w:pPr>
              <w:spacing w:line="440" w:lineRule="exact"/>
              <w:jc w:val="center"/>
              <w:rPr>
                <w:rFonts w:ascii="宋体" w:hAnsi="宋体"/>
                <w:sz w:val="24"/>
              </w:rPr>
            </w:pPr>
          </w:p>
        </w:tc>
        <w:tc>
          <w:tcPr>
            <w:tcW w:w="780" w:type="dxa"/>
            <w:noWrap/>
            <w:vAlign w:val="center"/>
          </w:tcPr>
          <w:p w14:paraId="682FA29D">
            <w:pPr>
              <w:spacing w:line="440" w:lineRule="exact"/>
              <w:jc w:val="center"/>
              <w:rPr>
                <w:rFonts w:ascii="宋体" w:hAnsi="宋体"/>
                <w:sz w:val="24"/>
              </w:rPr>
            </w:pPr>
          </w:p>
        </w:tc>
        <w:tc>
          <w:tcPr>
            <w:tcW w:w="851" w:type="dxa"/>
            <w:noWrap/>
            <w:vAlign w:val="center"/>
          </w:tcPr>
          <w:p w14:paraId="0105D45E">
            <w:pPr>
              <w:spacing w:line="440" w:lineRule="exact"/>
              <w:jc w:val="center"/>
              <w:rPr>
                <w:rFonts w:ascii="宋体" w:hAnsi="宋体"/>
                <w:sz w:val="24"/>
              </w:rPr>
            </w:pPr>
          </w:p>
        </w:tc>
        <w:tc>
          <w:tcPr>
            <w:tcW w:w="850" w:type="dxa"/>
            <w:noWrap/>
            <w:vAlign w:val="center"/>
          </w:tcPr>
          <w:p w14:paraId="4B9753BB">
            <w:pPr>
              <w:spacing w:line="440" w:lineRule="exact"/>
              <w:jc w:val="center"/>
              <w:rPr>
                <w:rFonts w:ascii="宋体" w:hAnsi="宋体"/>
                <w:sz w:val="24"/>
              </w:rPr>
            </w:pPr>
          </w:p>
        </w:tc>
        <w:tc>
          <w:tcPr>
            <w:tcW w:w="1028" w:type="dxa"/>
            <w:noWrap/>
            <w:vAlign w:val="center"/>
          </w:tcPr>
          <w:p w14:paraId="749B234C">
            <w:pPr>
              <w:spacing w:line="440" w:lineRule="exact"/>
              <w:jc w:val="center"/>
              <w:rPr>
                <w:rFonts w:ascii="宋体" w:hAnsi="宋体"/>
                <w:sz w:val="24"/>
              </w:rPr>
            </w:pPr>
          </w:p>
        </w:tc>
        <w:tc>
          <w:tcPr>
            <w:tcW w:w="865" w:type="dxa"/>
            <w:noWrap/>
            <w:vAlign w:val="center"/>
          </w:tcPr>
          <w:p w14:paraId="7F498C4A">
            <w:pPr>
              <w:spacing w:line="440" w:lineRule="exact"/>
              <w:jc w:val="center"/>
              <w:rPr>
                <w:rFonts w:ascii="宋体" w:hAnsi="宋体"/>
                <w:sz w:val="24"/>
              </w:rPr>
            </w:pPr>
          </w:p>
        </w:tc>
        <w:tc>
          <w:tcPr>
            <w:tcW w:w="1085" w:type="dxa"/>
            <w:noWrap/>
            <w:vAlign w:val="center"/>
          </w:tcPr>
          <w:p w14:paraId="5890F2FA">
            <w:pPr>
              <w:spacing w:line="440" w:lineRule="exact"/>
              <w:jc w:val="center"/>
              <w:rPr>
                <w:rFonts w:ascii="宋体" w:hAnsi="宋体"/>
                <w:sz w:val="24"/>
              </w:rPr>
            </w:pPr>
          </w:p>
        </w:tc>
        <w:tc>
          <w:tcPr>
            <w:tcW w:w="874" w:type="dxa"/>
            <w:noWrap/>
            <w:vAlign w:val="center"/>
          </w:tcPr>
          <w:p w14:paraId="1B4059F0">
            <w:pPr>
              <w:spacing w:line="440" w:lineRule="exact"/>
              <w:jc w:val="center"/>
              <w:rPr>
                <w:rFonts w:ascii="宋体" w:hAnsi="宋体"/>
                <w:sz w:val="24"/>
              </w:rPr>
            </w:pPr>
          </w:p>
        </w:tc>
        <w:tc>
          <w:tcPr>
            <w:tcW w:w="1055" w:type="dxa"/>
            <w:noWrap/>
            <w:vAlign w:val="center"/>
          </w:tcPr>
          <w:p w14:paraId="141D7BEB">
            <w:pPr>
              <w:spacing w:line="440" w:lineRule="exact"/>
              <w:jc w:val="center"/>
              <w:rPr>
                <w:rFonts w:ascii="宋体" w:hAnsi="宋体"/>
                <w:sz w:val="24"/>
              </w:rPr>
            </w:pPr>
          </w:p>
        </w:tc>
        <w:tc>
          <w:tcPr>
            <w:tcW w:w="691" w:type="dxa"/>
            <w:noWrap/>
            <w:vAlign w:val="center"/>
          </w:tcPr>
          <w:p w14:paraId="045F74B3">
            <w:pPr>
              <w:spacing w:line="440" w:lineRule="exact"/>
              <w:jc w:val="center"/>
              <w:rPr>
                <w:rFonts w:ascii="宋体" w:hAnsi="宋体"/>
                <w:sz w:val="24"/>
              </w:rPr>
            </w:pPr>
          </w:p>
        </w:tc>
      </w:tr>
      <w:tr w14:paraId="4E25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65168907">
            <w:pPr>
              <w:spacing w:line="440" w:lineRule="exact"/>
              <w:jc w:val="center"/>
              <w:rPr>
                <w:rFonts w:ascii="宋体" w:hAnsi="宋体"/>
                <w:sz w:val="24"/>
              </w:rPr>
            </w:pPr>
          </w:p>
        </w:tc>
        <w:tc>
          <w:tcPr>
            <w:tcW w:w="780" w:type="dxa"/>
            <w:noWrap/>
          </w:tcPr>
          <w:p w14:paraId="671545F9">
            <w:pPr>
              <w:spacing w:line="440" w:lineRule="exact"/>
              <w:jc w:val="center"/>
              <w:rPr>
                <w:rFonts w:ascii="宋体" w:hAnsi="宋体"/>
                <w:sz w:val="24"/>
              </w:rPr>
            </w:pPr>
          </w:p>
        </w:tc>
        <w:tc>
          <w:tcPr>
            <w:tcW w:w="851" w:type="dxa"/>
            <w:noWrap/>
          </w:tcPr>
          <w:p w14:paraId="154C871A">
            <w:pPr>
              <w:spacing w:line="440" w:lineRule="exact"/>
              <w:jc w:val="center"/>
              <w:rPr>
                <w:rFonts w:ascii="宋体" w:hAnsi="宋体"/>
                <w:sz w:val="24"/>
              </w:rPr>
            </w:pPr>
          </w:p>
        </w:tc>
        <w:tc>
          <w:tcPr>
            <w:tcW w:w="850" w:type="dxa"/>
            <w:noWrap/>
          </w:tcPr>
          <w:p w14:paraId="60E634B2">
            <w:pPr>
              <w:spacing w:line="440" w:lineRule="exact"/>
              <w:jc w:val="center"/>
              <w:rPr>
                <w:rFonts w:ascii="宋体" w:hAnsi="宋体"/>
                <w:sz w:val="24"/>
              </w:rPr>
            </w:pPr>
          </w:p>
        </w:tc>
        <w:tc>
          <w:tcPr>
            <w:tcW w:w="1028" w:type="dxa"/>
            <w:noWrap/>
          </w:tcPr>
          <w:p w14:paraId="64DAA1C7">
            <w:pPr>
              <w:spacing w:line="440" w:lineRule="exact"/>
              <w:jc w:val="center"/>
              <w:rPr>
                <w:rFonts w:ascii="宋体" w:hAnsi="宋体"/>
                <w:sz w:val="24"/>
              </w:rPr>
            </w:pPr>
          </w:p>
        </w:tc>
        <w:tc>
          <w:tcPr>
            <w:tcW w:w="865" w:type="dxa"/>
            <w:noWrap/>
          </w:tcPr>
          <w:p w14:paraId="2B391615">
            <w:pPr>
              <w:spacing w:line="440" w:lineRule="exact"/>
              <w:jc w:val="center"/>
              <w:rPr>
                <w:rFonts w:ascii="宋体" w:hAnsi="宋体"/>
                <w:sz w:val="24"/>
              </w:rPr>
            </w:pPr>
          </w:p>
        </w:tc>
        <w:tc>
          <w:tcPr>
            <w:tcW w:w="1085" w:type="dxa"/>
            <w:noWrap/>
          </w:tcPr>
          <w:p w14:paraId="00855C92">
            <w:pPr>
              <w:spacing w:line="440" w:lineRule="exact"/>
              <w:jc w:val="center"/>
              <w:rPr>
                <w:rFonts w:ascii="宋体" w:hAnsi="宋体"/>
                <w:sz w:val="24"/>
              </w:rPr>
            </w:pPr>
          </w:p>
        </w:tc>
        <w:tc>
          <w:tcPr>
            <w:tcW w:w="874" w:type="dxa"/>
            <w:noWrap/>
          </w:tcPr>
          <w:p w14:paraId="0A1F4D68">
            <w:pPr>
              <w:spacing w:line="440" w:lineRule="exact"/>
              <w:jc w:val="center"/>
              <w:rPr>
                <w:rFonts w:ascii="宋体" w:hAnsi="宋体"/>
                <w:sz w:val="24"/>
              </w:rPr>
            </w:pPr>
          </w:p>
        </w:tc>
        <w:tc>
          <w:tcPr>
            <w:tcW w:w="1055" w:type="dxa"/>
            <w:noWrap/>
          </w:tcPr>
          <w:p w14:paraId="7566885E">
            <w:pPr>
              <w:spacing w:line="440" w:lineRule="exact"/>
              <w:jc w:val="center"/>
              <w:rPr>
                <w:rFonts w:ascii="宋体" w:hAnsi="宋体"/>
                <w:sz w:val="24"/>
              </w:rPr>
            </w:pPr>
          </w:p>
        </w:tc>
        <w:tc>
          <w:tcPr>
            <w:tcW w:w="691" w:type="dxa"/>
            <w:noWrap/>
          </w:tcPr>
          <w:p w14:paraId="1B9320FB">
            <w:pPr>
              <w:spacing w:line="440" w:lineRule="exact"/>
              <w:jc w:val="center"/>
              <w:rPr>
                <w:rFonts w:ascii="宋体" w:hAnsi="宋体"/>
                <w:sz w:val="24"/>
              </w:rPr>
            </w:pPr>
          </w:p>
        </w:tc>
      </w:tr>
      <w:tr w14:paraId="0F7D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2A755C56">
            <w:pPr>
              <w:spacing w:line="440" w:lineRule="exact"/>
              <w:jc w:val="center"/>
              <w:rPr>
                <w:rFonts w:ascii="宋体" w:hAnsi="宋体"/>
                <w:sz w:val="24"/>
              </w:rPr>
            </w:pPr>
          </w:p>
        </w:tc>
        <w:tc>
          <w:tcPr>
            <w:tcW w:w="780" w:type="dxa"/>
            <w:noWrap/>
          </w:tcPr>
          <w:p w14:paraId="49C5A3B3">
            <w:pPr>
              <w:spacing w:line="440" w:lineRule="exact"/>
              <w:jc w:val="center"/>
              <w:rPr>
                <w:rFonts w:ascii="宋体" w:hAnsi="宋体"/>
                <w:sz w:val="24"/>
              </w:rPr>
            </w:pPr>
          </w:p>
        </w:tc>
        <w:tc>
          <w:tcPr>
            <w:tcW w:w="851" w:type="dxa"/>
            <w:noWrap/>
          </w:tcPr>
          <w:p w14:paraId="06EEDD8A">
            <w:pPr>
              <w:spacing w:line="440" w:lineRule="exact"/>
              <w:jc w:val="center"/>
              <w:rPr>
                <w:rFonts w:ascii="宋体" w:hAnsi="宋体"/>
                <w:sz w:val="24"/>
              </w:rPr>
            </w:pPr>
          </w:p>
        </w:tc>
        <w:tc>
          <w:tcPr>
            <w:tcW w:w="850" w:type="dxa"/>
            <w:noWrap/>
          </w:tcPr>
          <w:p w14:paraId="2AE1CBB2">
            <w:pPr>
              <w:spacing w:line="440" w:lineRule="exact"/>
              <w:jc w:val="center"/>
              <w:rPr>
                <w:rFonts w:ascii="宋体" w:hAnsi="宋体"/>
                <w:sz w:val="24"/>
              </w:rPr>
            </w:pPr>
          </w:p>
        </w:tc>
        <w:tc>
          <w:tcPr>
            <w:tcW w:w="1028" w:type="dxa"/>
            <w:noWrap/>
          </w:tcPr>
          <w:p w14:paraId="6F19F21A">
            <w:pPr>
              <w:spacing w:line="440" w:lineRule="exact"/>
              <w:jc w:val="center"/>
              <w:rPr>
                <w:rFonts w:ascii="宋体" w:hAnsi="宋体"/>
                <w:sz w:val="24"/>
              </w:rPr>
            </w:pPr>
          </w:p>
        </w:tc>
        <w:tc>
          <w:tcPr>
            <w:tcW w:w="865" w:type="dxa"/>
            <w:noWrap/>
          </w:tcPr>
          <w:p w14:paraId="1E36F869">
            <w:pPr>
              <w:spacing w:line="440" w:lineRule="exact"/>
              <w:jc w:val="center"/>
              <w:rPr>
                <w:rFonts w:ascii="宋体" w:hAnsi="宋体"/>
                <w:sz w:val="24"/>
              </w:rPr>
            </w:pPr>
          </w:p>
        </w:tc>
        <w:tc>
          <w:tcPr>
            <w:tcW w:w="1085" w:type="dxa"/>
            <w:noWrap/>
          </w:tcPr>
          <w:p w14:paraId="70563197">
            <w:pPr>
              <w:spacing w:line="440" w:lineRule="exact"/>
              <w:jc w:val="center"/>
              <w:rPr>
                <w:rFonts w:ascii="宋体" w:hAnsi="宋体"/>
                <w:sz w:val="24"/>
              </w:rPr>
            </w:pPr>
          </w:p>
        </w:tc>
        <w:tc>
          <w:tcPr>
            <w:tcW w:w="874" w:type="dxa"/>
            <w:noWrap/>
          </w:tcPr>
          <w:p w14:paraId="5D25AA13">
            <w:pPr>
              <w:spacing w:line="440" w:lineRule="exact"/>
              <w:jc w:val="center"/>
              <w:rPr>
                <w:rFonts w:ascii="宋体" w:hAnsi="宋体"/>
                <w:sz w:val="24"/>
              </w:rPr>
            </w:pPr>
          </w:p>
        </w:tc>
        <w:tc>
          <w:tcPr>
            <w:tcW w:w="1055" w:type="dxa"/>
            <w:noWrap/>
          </w:tcPr>
          <w:p w14:paraId="7D3491AA">
            <w:pPr>
              <w:spacing w:line="440" w:lineRule="exact"/>
              <w:jc w:val="center"/>
              <w:rPr>
                <w:rFonts w:ascii="宋体" w:hAnsi="宋体"/>
                <w:sz w:val="24"/>
              </w:rPr>
            </w:pPr>
          </w:p>
        </w:tc>
        <w:tc>
          <w:tcPr>
            <w:tcW w:w="691" w:type="dxa"/>
            <w:noWrap/>
          </w:tcPr>
          <w:p w14:paraId="3C75CFA3">
            <w:pPr>
              <w:spacing w:line="440" w:lineRule="exact"/>
              <w:jc w:val="center"/>
              <w:rPr>
                <w:rFonts w:ascii="宋体" w:hAnsi="宋体"/>
                <w:sz w:val="24"/>
              </w:rPr>
            </w:pPr>
          </w:p>
        </w:tc>
      </w:tr>
      <w:tr w14:paraId="3039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5AC78EA3">
            <w:pPr>
              <w:spacing w:line="440" w:lineRule="exact"/>
              <w:jc w:val="center"/>
              <w:rPr>
                <w:rFonts w:ascii="宋体" w:hAnsi="宋体"/>
                <w:sz w:val="24"/>
              </w:rPr>
            </w:pPr>
          </w:p>
        </w:tc>
        <w:tc>
          <w:tcPr>
            <w:tcW w:w="780" w:type="dxa"/>
            <w:noWrap/>
          </w:tcPr>
          <w:p w14:paraId="46A4477D">
            <w:pPr>
              <w:spacing w:line="440" w:lineRule="exact"/>
              <w:jc w:val="center"/>
              <w:rPr>
                <w:rFonts w:ascii="宋体" w:hAnsi="宋体"/>
                <w:sz w:val="24"/>
              </w:rPr>
            </w:pPr>
          </w:p>
        </w:tc>
        <w:tc>
          <w:tcPr>
            <w:tcW w:w="851" w:type="dxa"/>
            <w:noWrap/>
          </w:tcPr>
          <w:p w14:paraId="59B6538C">
            <w:pPr>
              <w:spacing w:line="440" w:lineRule="exact"/>
              <w:jc w:val="center"/>
              <w:rPr>
                <w:rFonts w:ascii="宋体" w:hAnsi="宋体"/>
                <w:sz w:val="24"/>
              </w:rPr>
            </w:pPr>
          </w:p>
        </w:tc>
        <w:tc>
          <w:tcPr>
            <w:tcW w:w="850" w:type="dxa"/>
            <w:noWrap/>
          </w:tcPr>
          <w:p w14:paraId="34CC2D86">
            <w:pPr>
              <w:spacing w:line="440" w:lineRule="exact"/>
              <w:jc w:val="center"/>
              <w:rPr>
                <w:rFonts w:ascii="宋体" w:hAnsi="宋体"/>
                <w:sz w:val="24"/>
              </w:rPr>
            </w:pPr>
          </w:p>
        </w:tc>
        <w:tc>
          <w:tcPr>
            <w:tcW w:w="1028" w:type="dxa"/>
            <w:noWrap/>
          </w:tcPr>
          <w:p w14:paraId="0929B66D">
            <w:pPr>
              <w:spacing w:line="440" w:lineRule="exact"/>
              <w:jc w:val="center"/>
              <w:rPr>
                <w:rFonts w:ascii="宋体" w:hAnsi="宋体"/>
                <w:sz w:val="24"/>
              </w:rPr>
            </w:pPr>
          </w:p>
        </w:tc>
        <w:tc>
          <w:tcPr>
            <w:tcW w:w="865" w:type="dxa"/>
            <w:noWrap/>
          </w:tcPr>
          <w:p w14:paraId="2477E76B">
            <w:pPr>
              <w:spacing w:line="440" w:lineRule="exact"/>
              <w:jc w:val="center"/>
              <w:rPr>
                <w:rFonts w:ascii="宋体" w:hAnsi="宋体"/>
                <w:sz w:val="24"/>
              </w:rPr>
            </w:pPr>
          </w:p>
        </w:tc>
        <w:tc>
          <w:tcPr>
            <w:tcW w:w="1085" w:type="dxa"/>
            <w:noWrap/>
          </w:tcPr>
          <w:p w14:paraId="072C7A6C">
            <w:pPr>
              <w:spacing w:line="440" w:lineRule="exact"/>
              <w:jc w:val="center"/>
              <w:rPr>
                <w:rFonts w:ascii="宋体" w:hAnsi="宋体"/>
                <w:sz w:val="24"/>
              </w:rPr>
            </w:pPr>
          </w:p>
        </w:tc>
        <w:tc>
          <w:tcPr>
            <w:tcW w:w="874" w:type="dxa"/>
            <w:noWrap/>
          </w:tcPr>
          <w:p w14:paraId="4D390DF7">
            <w:pPr>
              <w:spacing w:line="440" w:lineRule="exact"/>
              <w:jc w:val="center"/>
              <w:rPr>
                <w:rFonts w:ascii="宋体" w:hAnsi="宋体"/>
                <w:sz w:val="24"/>
              </w:rPr>
            </w:pPr>
          </w:p>
        </w:tc>
        <w:tc>
          <w:tcPr>
            <w:tcW w:w="1055" w:type="dxa"/>
            <w:noWrap/>
          </w:tcPr>
          <w:p w14:paraId="12B9F8CE">
            <w:pPr>
              <w:spacing w:line="440" w:lineRule="exact"/>
              <w:jc w:val="center"/>
              <w:rPr>
                <w:rFonts w:ascii="宋体" w:hAnsi="宋体"/>
                <w:sz w:val="24"/>
              </w:rPr>
            </w:pPr>
          </w:p>
        </w:tc>
        <w:tc>
          <w:tcPr>
            <w:tcW w:w="691" w:type="dxa"/>
            <w:noWrap/>
          </w:tcPr>
          <w:p w14:paraId="15CE1AEA">
            <w:pPr>
              <w:spacing w:line="440" w:lineRule="exact"/>
              <w:jc w:val="center"/>
              <w:rPr>
                <w:rFonts w:ascii="宋体" w:hAnsi="宋体"/>
                <w:sz w:val="24"/>
              </w:rPr>
            </w:pPr>
          </w:p>
        </w:tc>
      </w:tr>
      <w:tr w14:paraId="20BA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3C02F723">
            <w:pPr>
              <w:spacing w:line="440" w:lineRule="exact"/>
              <w:jc w:val="center"/>
              <w:rPr>
                <w:rFonts w:ascii="宋体" w:hAnsi="宋体"/>
                <w:sz w:val="24"/>
              </w:rPr>
            </w:pPr>
          </w:p>
        </w:tc>
        <w:tc>
          <w:tcPr>
            <w:tcW w:w="780" w:type="dxa"/>
            <w:noWrap/>
          </w:tcPr>
          <w:p w14:paraId="0C652E59">
            <w:pPr>
              <w:spacing w:line="440" w:lineRule="exact"/>
              <w:jc w:val="center"/>
              <w:rPr>
                <w:rFonts w:ascii="宋体" w:hAnsi="宋体"/>
                <w:sz w:val="24"/>
              </w:rPr>
            </w:pPr>
          </w:p>
        </w:tc>
        <w:tc>
          <w:tcPr>
            <w:tcW w:w="851" w:type="dxa"/>
            <w:noWrap/>
          </w:tcPr>
          <w:p w14:paraId="493F08EC">
            <w:pPr>
              <w:spacing w:line="440" w:lineRule="exact"/>
              <w:jc w:val="center"/>
              <w:rPr>
                <w:rFonts w:ascii="宋体" w:hAnsi="宋体"/>
                <w:sz w:val="24"/>
              </w:rPr>
            </w:pPr>
          </w:p>
        </w:tc>
        <w:tc>
          <w:tcPr>
            <w:tcW w:w="850" w:type="dxa"/>
            <w:noWrap/>
          </w:tcPr>
          <w:p w14:paraId="5A7B1E16">
            <w:pPr>
              <w:spacing w:line="440" w:lineRule="exact"/>
              <w:jc w:val="center"/>
              <w:rPr>
                <w:rFonts w:ascii="宋体" w:hAnsi="宋体"/>
                <w:sz w:val="24"/>
              </w:rPr>
            </w:pPr>
          </w:p>
        </w:tc>
        <w:tc>
          <w:tcPr>
            <w:tcW w:w="1028" w:type="dxa"/>
            <w:noWrap/>
          </w:tcPr>
          <w:p w14:paraId="16DEABB0">
            <w:pPr>
              <w:spacing w:line="440" w:lineRule="exact"/>
              <w:jc w:val="center"/>
              <w:rPr>
                <w:rFonts w:ascii="宋体" w:hAnsi="宋体"/>
                <w:sz w:val="24"/>
              </w:rPr>
            </w:pPr>
          </w:p>
        </w:tc>
        <w:tc>
          <w:tcPr>
            <w:tcW w:w="865" w:type="dxa"/>
            <w:noWrap/>
          </w:tcPr>
          <w:p w14:paraId="0B36F519">
            <w:pPr>
              <w:spacing w:line="440" w:lineRule="exact"/>
              <w:jc w:val="center"/>
              <w:rPr>
                <w:rFonts w:ascii="宋体" w:hAnsi="宋体"/>
                <w:sz w:val="24"/>
              </w:rPr>
            </w:pPr>
          </w:p>
        </w:tc>
        <w:tc>
          <w:tcPr>
            <w:tcW w:w="1085" w:type="dxa"/>
            <w:noWrap/>
          </w:tcPr>
          <w:p w14:paraId="331331A5">
            <w:pPr>
              <w:spacing w:line="440" w:lineRule="exact"/>
              <w:jc w:val="center"/>
              <w:rPr>
                <w:rFonts w:ascii="宋体" w:hAnsi="宋体"/>
                <w:sz w:val="24"/>
              </w:rPr>
            </w:pPr>
          </w:p>
        </w:tc>
        <w:tc>
          <w:tcPr>
            <w:tcW w:w="874" w:type="dxa"/>
            <w:noWrap/>
          </w:tcPr>
          <w:p w14:paraId="39594588">
            <w:pPr>
              <w:spacing w:line="440" w:lineRule="exact"/>
              <w:jc w:val="center"/>
              <w:rPr>
                <w:rFonts w:ascii="宋体" w:hAnsi="宋体"/>
                <w:sz w:val="24"/>
              </w:rPr>
            </w:pPr>
          </w:p>
        </w:tc>
        <w:tc>
          <w:tcPr>
            <w:tcW w:w="1055" w:type="dxa"/>
            <w:noWrap/>
          </w:tcPr>
          <w:p w14:paraId="33B8F829">
            <w:pPr>
              <w:spacing w:line="440" w:lineRule="exact"/>
              <w:jc w:val="center"/>
              <w:rPr>
                <w:rFonts w:ascii="宋体" w:hAnsi="宋体"/>
                <w:sz w:val="24"/>
              </w:rPr>
            </w:pPr>
          </w:p>
        </w:tc>
        <w:tc>
          <w:tcPr>
            <w:tcW w:w="691" w:type="dxa"/>
            <w:noWrap/>
          </w:tcPr>
          <w:p w14:paraId="7D13F136">
            <w:pPr>
              <w:spacing w:line="440" w:lineRule="exact"/>
              <w:jc w:val="center"/>
              <w:rPr>
                <w:rFonts w:ascii="宋体" w:hAnsi="宋体"/>
                <w:sz w:val="24"/>
              </w:rPr>
            </w:pPr>
          </w:p>
        </w:tc>
      </w:tr>
      <w:tr w14:paraId="526E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32E291FD">
            <w:pPr>
              <w:spacing w:line="440" w:lineRule="exact"/>
              <w:jc w:val="center"/>
              <w:rPr>
                <w:rFonts w:ascii="宋体" w:hAnsi="宋体"/>
                <w:sz w:val="24"/>
              </w:rPr>
            </w:pPr>
          </w:p>
        </w:tc>
        <w:tc>
          <w:tcPr>
            <w:tcW w:w="780" w:type="dxa"/>
            <w:noWrap/>
          </w:tcPr>
          <w:p w14:paraId="7E022ED0">
            <w:pPr>
              <w:spacing w:line="440" w:lineRule="exact"/>
              <w:jc w:val="center"/>
              <w:rPr>
                <w:rFonts w:ascii="宋体" w:hAnsi="宋体"/>
                <w:sz w:val="24"/>
              </w:rPr>
            </w:pPr>
          </w:p>
        </w:tc>
        <w:tc>
          <w:tcPr>
            <w:tcW w:w="851" w:type="dxa"/>
            <w:noWrap/>
          </w:tcPr>
          <w:p w14:paraId="097D134E">
            <w:pPr>
              <w:spacing w:line="440" w:lineRule="exact"/>
              <w:jc w:val="center"/>
              <w:rPr>
                <w:rFonts w:ascii="宋体" w:hAnsi="宋体"/>
                <w:sz w:val="24"/>
              </w:rPr>
            </w:pPr>
          </w:p>
        </w:tc>
        <w:tc>
          <w:tcPr>
            <w:tcW w:w="850" w:type="dxa"/>
            <w:noWrap/>
          </w:tcPr>
          <w:p w14:paraId="07301A17">
            <w:pPr>
              <w:spacing w:line="440" w:lineRule="exact"/>
              <w:jc w:val="center"/>
              <w:rPr>
                <w:rFonts w:ascii="宋体" w:hAnsi="宋体"/>
                <w:sz w:val="24"/>
              </w:rPr>
            </w:pPr>
          </w:p>
        </w:tc>
        <w:tc>
          <w:tcPr>
            <w:tcW w:w="1028" w:type="dxa"/>
            <w:noWrap/>
          </w:tcPr>
          <w:p w14:paraId="68B20241">
            <w:pPr>
              <w:spacing w:line="440" w:lineRule="exact"/>
              <w:jc w:val="center"/>
              <w:rPr>
                <w:rFonts w:ascii="宋体" w:hAnsi="宋体"/>
                <w:sz w:val="24"/>
              </w:rPr>
            </w:pPr>
          </w:p>
        </w:tc>
        <w:tc>
          <w:tcPr>
            <w:tcW w:w="865" w:type="dxa"/>
            <w:noWrap/>
          </w:tcPr>
          <w:p w14:paraId="36713CB3">
            <w:pPr>
              <w:spacing w:line="440" w:lineRule="exact"/>
              <w:jc w:val="center"/>
              <w:rPr>
                <w:rFonts w:ascii="宋体" w:hAnsi="宋体"/>
                <w:sz w:val="24"/>
              </w:rPr>
            </w:pPr>
          </w:p>
        </w:tc>
        <w:tc>
          <w:tcPr>
            <w:tcW w:w="1085" w:type="dxa"/>
            <w:noWrap/>
          </w:tcPr>
          <w:p w14:paraId="54A5A3DB">
            <w:pPr>
              <w:spacing w:line="440" w:lineRule="exact"/>
              <w:jc w:val="center"/>
              <w:rPr>
                <w:rFonts w:ascii="宋体" w:hAnsi="宋体"/>
                <w:sz w:val="24"/>
              </w:rPr>
            </w:pPr>
          </w:p>
        </w:tc>
        <w:tc>
          <w:tcPr>
            <w:tcW w:w="874" w:type="dxa"/>
            <w:noWrap/>
          </w:tcPr>
          <w:p w14:paraId="588D628F">
            <w:pPr>
              <w:spacing w:line="440" w:lineRule="exact"/>
              <w:jc w:val="center"/>
              <w:rPr>
                <w:rFonts w:ascii="宋体" w:hAnsi="宋体"/>
                <w:sz w:val="24"/>
              </w:rPr>
            </w:pPr>
          </w:p>
        </w:tc>
        <w:tc>
          <w:tcPr>
            <w:tcW w:w="1055" w:type="dxa"/>
            <w:noWrap/>
          </w:tcPr>
          <w:p w14:paraId="34F38E81">
            <w:pPr>
              <w:spacing w:line="440" w:lineRule="exact"/>
              <w:jc w:val="center"/>
              <w:rPr>
                <w:rFonts w:ascii="宋体" w:hAnsi="宋体"/>
                <w:sz w:val="24"/>
              </w:rPr>
            </w:pPr>
          </w:p>
        </w:tc>
        <w:tc>
          <w:tcPr>
            <w:tcW w:w="691" w:type="dxa"/>
            <w:noWrap/>
          </w:tcPr>
          <w:p w14:paraId="74B36B24">
            <w:pPr>
              <w:spacing w:line="440" w:lineRule="exact"/>
              <w:jc w:val="center"/>
              <w:rPr>
                <w:rFonts w:ascii="宋体" w:hAnsi="宋体"/>
                <w:sz w:val="24"/>
              </w:rPr>
            </w:pPr>
          </w:p>
        </w:tc>
      </w:tr>
      <w:tr w14:paraId="1530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3BCEDFD5">
            <w:pPr>
              <w:spacing w:line="440" w:lineRule="exact"/>
              <w:jc w:val="center"/>
              <w:rPr>
                <w:rFonts w:ascii="宋体" w:hAnsi="宋体"/>
                <w:sz w:val="24"/>
              </w:rPr>
            </w:pPr>
          </w:p>
        </w:tc>
        <w:tc>
          <w:tcPr>
            <w:tcW w:w="780" w:type="dxa"/>
            <w:noWrap/>
          </w:tcPr>
          <w:p w14:paraId="632BBEF3">
            <w:pPr>
              <w:spacing w:line="440" w:lineRule="exact"/>
              <w:jc w:val="center"/>
              <w:rPr>
                <w:rFonts w:ascii="宋体" w:hAnsi="宋体"/>
                <w:sz w:val="24"/>
              </w:rPr>
            </w:pPr>
          </w:p>
        </w:tc>
        <w:tc>
          <w:tcPr>
            <w:tcW w:w="851" w:type="dxa"/>
            <w:noWrap/>
          </w:tcPr>
          <w:p w14:paraId="19DA6CB6">
            <w:pPr>
              <w:spacing w:line="440" w:lineRule="exact"/>
              <w:jc w:val="center"/>
              <w:rPr>
                <w:rFonts w:ascii="宋体" w:hAnsi="宋体"/>
                <w:sz w:val="24"/>
              </w:rPr>
            </w:pPr>
          </w:p>
        </w:tc>
        <w:tc>
          <w:tcPr>
            <w:tcW w:w="850" w:type="dxa"/>
            <w:noWrap/>
          </w:tcPr>
          <w:p w14:paraId="3DDF05EA">
            <w:pPr>
              <w:spacing w:line="440" w:lineRule="exact"/>
              <w:jc w:val="center"/>
              <w:rPr>
                <w:rFonts w:ascii="宋体" w:hAnsi="宋体"/>
                <w:sz w:val="24"/>
              </w:rPr>
            </w:pPr>
          </w:p>
        </w:tc>
        <w:tc>
          <w:tcPr>
            <w:tcW w:w="1028" w:type="dxa"/>
            <w:noWrap/>
          </w:tcPr>
          <w:p w14:paraId="6AB7EA75">
            <w:pPr>
              <w:spacing w:line="440" w:lineRule="exact"/>
              <w:jc w:val="center"/>
              <w:rPr>
                <w:rFonts w:ascii="宋体" w:hAnsi="宋体"/>
                <w:sz w:val="24"/>
              </w:rPr>
            </w:pPr>
          </w:p>
        </w:tc>
        <w:tc>
          <w:tcPr>
            <w:tcW w:w="865" w:type="dxa"/>
            <w:noWrap/>
          </w:tcPr>
          <w:p w14:paraId="4161929F">
            <w:pPr>
              <w:spacing w:line="440" w:lineRule="exact"/>
              <w:jc w:val="center"/>
              <w:rPr>
                <w:rFonts w:ascii="宋体" w:hAnsi="宋体"/>
                <w:sz w:val="24"/>
              </w:rPr>
            </w:pPr>
          </w:p>
        </w:tc>
        <w:tc>
          <w:tcPr>
            <w:tcW w:w="1085" w:type="dxa"/>
            <w:noWrap/>
          </w:tcPr>
          <w:p w14:paraId="60FDCBD7">
            <w:pPr>
              <w:spacing w:line="440" w:lineRule="exact"/>
              <w:jc w:val="center"/>
              <w:rPr>
                <w:rFonts w:ascii="宋体" w:hAnsi="宋体"/>
                <w:sz w:val="24"/>
              </w:rPr>
            </w:pPr>
          </w:p>
        </w:tc>
        <w:tc>
          <w:tcPr>
            <w:tcW w:w="874" w:type="dxa"/>
            <w:noWrap/>
          </w:tcPr>
          <w:p w14:paraId="4F005C37">
            <w:pPr>
              <w:spacing w:line="440" w:lineRule="exact"/>
              <w:jc w:val="center"/>
              <w:rPr>
                <w:rFonts w:ascii="宋体" w:hAnsi="宋体"/>
                <w:sz w:val="24"/>
              </w:rPr>
            </w:pPr>
          </w:p>
        </w:tc>
        <w:tc>
          <w:tcPr>
            <w:tcW w:w="1055" w:type="dxa"/>
            <w:noWrap/>
          </w:tcPr>
          <w:p w14:paraId="50AB8CA6">
            <w:pPr>
              <w:spacing w:line="440" w:lineRule="exact"/>
              <w:jc w:val="center"/>
              <w:rPr>
                <w:rFonts w:ascii="宋体" w:hAnsi="宋体"/>
                <w:sz w:val="24"/>
              </w:rPr>
            </w:pPr>
          </w:p>
        </w:tc>
        <w:tc>
          <w:tcPr>
            <w:tcW w:w="691" w:type="dxa"/>
            <w:noWrap/>
          </w:tcPr>
          <w:p w14:paraId="487B0BD2">
            <w:pPr>
              <w:spacing w:line="440" w:lineRule="exact"/>
              <w:jc w:val="center"/>
              <w:rPr>
                <w:rFonts w:ascii="宋体" w:hAnsi="宋体"/>
                <w:sz w:val="24"/>
              </w:rPr>
            </w:pPr>
          </w:p>
        </w:tc>
      </w:tr>
      <w:tr w14:paraId="7E8A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6711DA26">
            <w:pPr>
              <w:spacing w:line="440" w:lineRule="exact"/>
              <w:jc w:val="center"/>
              <w:rPr>
                <w:rFonts w:ascii="宋体" w:hAnsi="宋体"/>
                <w:sz w:val="24"/>
              </w:rPr>
            </w:pPr>
          </w:p>
        </w:tc>
        <w:tc>
          <w:tcPr>
            <w:tcW w:w="780" w:type="dxa"/>
            <w:noWrap/>
          </w:tcPr>
          <w:p w14:paraId="630C8E62">
            <w:pPr>
              <w:spacing w:line="440" w:lineRule="exact"/>
              <w:jc w:val="center"/>
              <w:rPr>
                <w:rFonts w:ascii="宋体" w:hAnsi="宋体"/>
                <w:sz w:val="24"/>
              </w:rPr>
            </w:pPr>
          </w:p>
        </w:tc>
        <w:tc>
          <w:tcPr>
            <w:tcW w:w="851" w:type="dxa"/>
            <w:noWrap/>
          </w:tcPr>
          <w:p w14:paraId="1989012D">
            <w:pPr>
              <w:spacing w:line="440" w:lineRule="exact"/>
              <w:jc w:val="center"/>
              <w:rPr>
                <w:rFonts w:ascii="宋体" w:hAnsi="宋体"/>
                <w:sz w:val="24"/>
              </w:rPr>
            </w:pPr>
          </w:p>
        </w:tc>
        <w:tc>
          <w:tcPr>
            <w:tcW w:w="850" w:type="dxa"/>
            <w:noWrap/>
          </w:tcPr>
          <w:p w14:paraId="4E5070A8">
            <w:pPr>
              <w:spacing w:line="440" w:lineRule="exact"/>
              <w:jc w:val="center"/>
              <w:rPr>
                <w:rFonts w:ascii="宋体" w:hAnsi="宋体"/>
                <w:sz w:val="24"/>
              </w:rPr>
            </w:pPr>
          </w:p>
        </w:tc>
        <w:tc>
          <w:tcPr>
            <w:tcW w:w="1028" w:type="dxa"/>
            <w:noWrap/>
          </w:tcPr>
          <w:p w14:paraId="223CCE42">
            <w:pPr>
              <w:spacing w:line="440" w:lineRule="exact"/>
              <w:jc w:val="center"/>
              <w:rPr>
                <w:rFonts w:ascii="宋体" w:hAnsi="宋体"/>
                <w:sz w:val="24"/>
              </w:rPr>
            </w:pPr>
          </w:p>
        </w:tc>
        <w:tc>
          <w:tcPr>
            <w:tcW w:w="865" w:type="dxa"/>
            <w:noWrap/>
          </w:tcPr>
          <w:p w14:paraId="06F0FA3D">
            <w:pPr>
              <w:spacing w:line="440" w:lineRule="exact"/>
              <w:jc w:val="center"/>
              <w:rPr>
                <w:rFonts w:ascii="宋体" w:hAnsi="宋体"/>
                <w:sz w:val="24"/>
              </w:rPr>
            </w:pPr>
          </w:p>
        </w:tc>
        <w:tc>
          <w:tcPr>
            <w:tcW w:w="1085" w:type="dxa"/>
            <w:noWrap/>
          </w:tcPr>
          <w:p w14:paraId="3FD64667">
            <w:pPr>
              <w:spacing w:line="440" w:lineRule="exact"/>
              <w:jc w:val="center"/>
              <w:rPr>
                <w:rFonts w:ascii="宋体" w:hAnsi="宋体"/>
                <w:sz w:val="24"/>
              </w:rPr>
            </w:pPr>
          </w:p>
        </w:tc>
        <w:tc>
          <w:tcPr>
            <w:tcW w:w="874" w:type="dxa"/>
            <w:noWrap/>
          </w:tcPr>
          <w:p w14:paraId="5003D416">
            <w:pPr>
              <w:spacing w:line="440" w:lineRule="exact"/>
              <w:jc w:val="center"/>
              <w:rPr>
                <w:rFonts w:ascii="宋体" w:hAnsi="宋体"/>
                <w:sz w:val="24"/>
              </w:rPr>
            </w:pPr>
          </w:p>
        </w:tc>
        <w:tc>
          <w:tcPr>
            <w:tcW w:w="1055" w:type="dxa"/>
            <w:noWrap/>
          </w:tcPr>
          <w:p w14:paraId="2B526CC4">
            <w:pPr>
              <w:spacing w:line="440" w:lineRule="exact"/>
              <w:jc w:val="center"/>
              <w:rPr>
                <w:rFonts w:ascii="宋体" w:hAnsi="宋体"/>
                <w:sz w:val="24"/>
              </w:rPr>
            </w:pPr>
          </w:p>
        </w:tc>
        <w:tc>
          <w:tcPr>
            <w:tcW w:w="691" w:type="dxa"/>
            <w:noWrap/>
          </w:tcPr>
          <w:p w14:paraId="5BA764AD">
            <w:pPr>
              <w:spacing w:line="440" w:lineRule="exact"/>
              <w:jc w:val="center"/>
              <w:rPr>
                <w:rFonts w:ascii="宋体" w:hAnsi="宋体"/>
                <w:sz w:val="24"/>
              </w:rPr>
            </w:pPr>
          </w:p>
        </w:tc>
      </w:tr>
      <w:tr w14:paraId="69CED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04CB50B3">
            <w:pPr>
              <w:spacing w:line="440" w:lineRule="exact"/>
              <w:jc w:val="center"/>
              <w:rPr>
                <w:rFonts w:ascii="宋体" w:hAnsi="宋体"/>
                <w:sz w:val="24"/>
              </w:rPr>
            </w:pPr>
          </w:p>
        </w:tc>
        <w:tc>
          <w:tcPr>
            <w:tcW w:w="780" w:type="dxa"/>
            <w:noWrap/>
          </w:tcPr>
          <w:p w14:paraId="5A30CA9E">
            <w:pPr>
              <w:spacing w:line="440" w:lineRule="exact"/>
              <w:jc w:val="center"/>
              <w:rPr>
                <w:rFonts w:ascii="宋体" w:hAnsi="宋体"/>
                <w:sz w:val="24"/>
              </w:rPr>
            </w:pPr>
          </w:p>
        </w:tc>
        <w:tc>
          <w:tcPr>
            <w:tcW w:w="851" w:type="dxa"/>
            <w:noWrap/>
          </w:tcPr>
          <w:p w14:paraId="50F19E72">
            <w:pPr>
              <w:spacing w:line="440" w:lineRule="exact"/>
              <w:jc w:val="center"/>
              <w:rPr>
                <w:rFonts w:ascii="宋体" w:hAnsi="宋体"/>
                <w:sz w:val="24"/>
              </w:rPr>
            </w:pPr>
          </w:p>
        </w:tc>
        <w:tc>
          <w:tcPr>
            <w:tcW w:w="850" w:type="dxa"/>
            <w:noWrap/>
          </w:tcPr>
          <w:p w14:paraId="0E2753BB">
            <w:pPr>
              <w:spacing w:line="440" w:lineRule="exact"/>
              <w:jc w:val="center"/>
              <w:rPr>
                <w:rFonts w:ascii="宋体" w:hAnsi="宋体"/>
                <w:sz w:val="24"/>
              </w:rPr>
            </w:pPr>
          </w:p>
        </w:tc>
        <w:tc>
          <w:tcPr>
            <w:tcW w:w="1028" w:type="dxa"/>
            <w:noWrap/>
          </w:tcPr>
          <w:p w14:paraId="3429EF01">
            <w:pPr>
              <w:spacing w:line="440" w:lineRule="exact"/>
              <w:jc w:val="center"/>
              <w:rPr>
                <w:rFonts w:ascii="宋体" w:hAnsi="宋体"/>
                <w:sz w:val="24"/>
              </w:rPr>
            </w:pPr>
          </w:p>
        </w:tc>
        <w:tc>
          <w:tcPr>
            <w:tcW w:w="865" w:type="dxa"/>
            <w:noWrap/>
          </w:tcPr>
          <w:p w14:paraId="2A1788EB">
            <w:pPr>
              <w:spacing w:line="440" w:lineRule="exact"/>
              <w:jc w:val="center"/>
              <w:rPr>
                <w:rFonts w:ascii="宋体" w:hAnsi="宋体"/>
                <w:sz w:val="24"/>
              </w:rPr>
            </w:pPr>
          </w:p>
        </w:tc>
        <w:tc>
          <w:tcPr>
            <w:tcW w:w="1085" w:type="dxa"/>
            <w:noWrap/>
          </w:tcPr>
          <w:p w14:paraId="4275375F">
            <w:pPr>
              <w:spacing w:line="440" w:lineRule="exact"/>
              <w:jc w:val="center"/>
              <w:rPr>
                <w:rFonts w:ascii="宋体" w:hAnsi="宋体"/>
                <w:sz w:val="24"/>
              </w:rPr>
            </w:pPr>
          </w:p>
        </w:tc>
        <w:tc>
          <w:tcPr>
            <w:tcW w:w="874" w:type="dxa"/>
            <w:noWrap/>
          </w:tcPr>
          <w:p w14:paraId="51733D30">
            <w:pPr>
              <w:spacing w:line="440" w:lineRule="exact"/>
              <w:jc w:val="center"/>
              <w:rPr>
                <w:rFonts w:ascii="宋体" w:hAnsi="宋体"/>
                <w:sz w:val="24"/>
              </w:rPr>
            </w:pPr>
          </w:p>
        </w:tc>
        <w:tc>
          <w:tcPr>
            <w:tcW w:w="1055" w:type="dxa"/>
            <w:noWrap/>
          </w:tcPr>
          <w:p w14:paraId="64DD0703">
            <w:pPr>
              <w:spacing w:line="440" w:lineRule="exact"/>
              <w:jc w:val="center"/>
              <w:rPr>
                <w:rFonts w:ascii="宋体" w:hAnsi="宋体"/>
                <w:sz w:val="24"/>
              </w:rPr>
            </w:pPr>
          </w:p>
        </w:tc>
        <w:tc>
          <w:tcPr>
            <w:tcW w:w="691" w:type="dxa"/>
            <w:noWrap/>
          </w:tcPr>
          <w:p w14:paraId="12AC0591">
            <w:pPr>
              <w:spacing w:line="440" w:lineRule="exact"/>
              <w:jc w:val="center"/>
              <w:rPr>
                <w:rFonts w:ascii="宋体" w:hAnsi="宋体"/>
                <w:sz w:val="24"/>
              </w:rPr>
            </w:pPr>
          </w:p>
        </w:tc>
      </w:tr>
      <w:tr w14:paraId="62E8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32FBE948">
            <w:pPr>
              <w:spacing w:line="440" w:lineRule="exact"/>
              <w:jc w:val="center"/>
              <w:rPr>
                <w:rFonts w:ascii="宋体" w:hAnsi="宋体"/>
                <w:sz w:val="24"/>
              </w:rPr>
            </w:pPr>
          </w:p>
        </w:tc>
        <w:tc>
          <w:tcPr>
            <w:tcW w:w="780" w:type="dxa"/>
            <w:noWrap/>
          </w:tcPr>
          <w:p w14:paraId="0559D0AA">
            <w:pPr>
              <w:spacing w:line="440" w:lineRule="exact"/>
              <w:jc w:val="center"/>
              <w:rPr>
                <w:rFonts w:ascii="宋体" w:hAnsi="宋体"/>
                <w:sz w:val="24"/>
              </w:rPr>
            </w:pPr>
          </w:p>
        </w:tc>
        <w:tc>
          <w:tcPr>
            <w:tcW w:w="851" w:type="dxa"/>
            <w:noWrap/>
          </w:tcPr>
          <w:p w14:paraId="3BE15333">
            <w:pPr>
              <w:spacing w:line="440" w:lineRule="exact"/>
              <w:jc w:val="center"/>
              <w:rPr>
                <w:rFonts w:ascii="宋体" w:hAnsi="宋体"/>
                <w:sz w:val="24"/>
              </w:rPr>
            </w:pPr>
          </w:p>
        </w:tc>
        <w:tc>
          <w:tcPr>
            <w:tcW w:w="850" w:type="dxa"/>
            <w:noWrap/>
          </w:tcPr>
          <w:p w14:paraId="75268512">
            <w:pPr>
              <w:spacing w:line="440" w:lineRule="exact"/>
              <w:jc w:val="center"/>
              <w:rPr>
                <w:rFonts w:ascii="宋体" w:hAnsi="宋体"/>
                <w:sz w:val="24"/>
              </w:rPr>
            </w:pPr>
          </w:p>
        </w:tc>
        <w:tc>
          <w:tcPr>
            <w:tcW w:w="1028" w:type="dxa"/>
            <w:noWrap/>
          </w:tcPr>
          <w:p w14:paraId="02AC3247">
            <w:pPr>
              <w:spacing w:line="440" w:lineRule="exact"/>
              <w:jc w:val="center"/>
              <w:rPr>
                <w:rFonts w:ascii="宋体" w:hAnsi="宋体"/>
                <w:sz w:val="24"/>
              </w:rPr>
            </w:pPr>
          </w:p>
        </w:tc>
        <w:tc>
          <w:tcPr>
            <w:tcW w:w="865" w:type="dxa"/>
            <w:noWrap/>
          </w:tcPr>
          <w:p w14:paraId="0DFCA21C">
            <w:pPr>
              <w:spacing w:line="440" w:lineRule="exact"/>
              <w:jc w:val="center"/>
              <w:rPr>
                <w:rFonts w:ascii="宋体" w:hAnsi="宋体"/>
                <w:sz w:val="24"/>
              </w:rPr>
            </w:pPr>
          </w:p>
        </w:tc>
        <w:tc>
          <w:tcPr>
            <w:tcW w:w="1085" w:type="dxa"/>
            <w:noWrap/>
          </w:tcPr>
          <w:p w14:paraId="3E2E214E">
            <w:pPr>
              <w:spacing w:line="440" w:lineRule="exact"/>
              <w:jc w:val="center"/>
              <w:rPr>
                <w:rFonts w:ascii="宋体" w:hAnsi="宋体"/>
                <w:sz w:val="24"/>
              </w:rPr>
            </w:pPr>
          </w:p>
        </w:tc>
        <w:tc>
          <w:tcPr>
            <w:tcW w:w="874" w:type="dxa"/>
            <w:noWrap/>
          </w:tcPr>
          <w:p w14:paraId="7AA6F5E5">
            <w:pPr>
              <w:spacing w:line="440" w:lineRule="exact"/>
              <w:jc w:val="center"/>
              <w:rPr>
                <w:rFonts w:ascii="宋体" w:hAnsi="宋体"/>
                <w:sz w:val="24"/>
              </w:rPr>
            </w:pPr>
          </w:p>
        </w:tc>
        <w:tc>
          <w:tcPr>
            <w:tcW w:w="1055" w:type="dxa"/>
            <w:noWrap/>
          </w:tcPr>
          <w:p w14:paraId="19D87286">
            <w:pPr>
              <w:spacing w:line="440" w:lineRule="exact"/>
              <w:jc w:val="center"/>
              <w:rPr>
                <w:rFonts w:ascii="宋体" w:hAnsi="宋体"/>
                <w:sz w:val="24"/>
              </w:rPr>
            </w:pPr>
          </w:p>
        </w:tc>
        <w:tc>
          <w:tcPr>
            <w:tcW w:w="691" w:type="dxa"/>
            <w:noWrap/>
          </w:tcPr>
          <w:p w14:paraId="4EFFC0DA">
            <w:pPr>
              <w:spacing w:line="440" w:lineRule="exact"/>
              <w:jc w:val="center"/>
              <w:rPr>
                <w:rFonts w:ascii="宋体" w:hAnsi="宋体"/>
                <w:sz w:val="24"/>
              </w:rPr>
            </w:pPr>
          </w:p>
        </w:tc>
      </w:tr>
      <w:tr w14:paraId="726F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5F3375BF">
            <w:pPr>
              <w:spacing w:line="440" w:lineRule="exact"/>
              <w:jc w:val="center"/>
              <w:rPr>
                <w:rFonts w:ascii="宋体" w:hAnsi="宋体"/>
                <w:sz w:val="24"/>
              </w:rPr>
            </w:pPr>
          </w:p>
        </w:tc>
        <w:tc>
          <w:tcPr>
            <w:tcW w:w="780" w:type="dxa"/>
            <w:noWrap/>
          </w:tcPr>
          <w:p w14:paraId="48904665">
            <w:pPr>
              <w:spacing w:line="440" w:lineRule="exact"/>
              <w:jc w:val="center"/>
              <w:rPr>
                <w:rFonts w:ascii="宋体" w:hAnsi="宋体"/>
                <w:sz w:val="24"/>
              </w:rPr>
            </w:pPr>
          </w:p>
        </w:tc>
        <w:tc>
          <w:tcPr>
            <w:tcW w:w="851" w:type="dxa"/>
            <w:noWrap/>
          </w:tcPr>
          <w:p w14:paraId="4BB2C3FC">
            <w:pPr>
              <w:spacing w:line="440" w:lineRule="exact"/>
              <w:jc w:val="center"/>
              <w:rPr>
                <w:rFonts w:ascii="宋体" w:hAnsi="宋体"/>
                <w:sz w:val="24"/>
              </w:rPr>
            </w:pPr>
          </w:p>
        </w:tc>
        <w:tc>
          <w:tcPr>
            <w:tcW w:w="850" w:type="dxa"/>
            <w:noWrap/>
          </w:tcPr>
          <w:p w14:paraId="0997C426">
            <w:pPr>
              <w:spacing w:line="440" w:lineRule="exact"/>
              <w:jc w:val="center"/>
              <w:rPr>
                <w:rFonts w:ascii="宋体" w:hAnsi="宋体"/>
                <w:sz w:val="24"/>
              </w:rPr>
            </w:pPr>
          </w:p>
        </w:tc>
        <w:tc>
          <w:tcPr>
            <w:tcW w:w="1028" w:type="dxa"/>
            <w:noWrap/>
          </w:tcPr>
          <w:p w14:paraId="414A9AB9">
            <w:pPr>
              <w:spacing w:line="440" w:lineRule="exact"/>
              <w:jc w:val="center"/>
              <w:rPr>
                <w:rFonts w:ascii="宋体" w:hAnsi="宋体"/>
                <w:sz w:val="24"/>
              </w:rPr>
            </w:pPr>
          </w:p>
        </w:tc>
        <w:tc>
          <w:tcPr>
            <w:tcW w:w="865" w:type="dxa"/>
            <w:noWrap/>
          </w:tcPr>
          <w:p w14:paraId="2EA9CFA6">
            <w:pPr>
              <w:spacing w:line="440" w:lineRule="exact"/>
              <w:jc w:val="center"/>
              <w:rPr>
                <w:rFonts w:ascii="宋体" w:hAnsi="宋体"/>
                <w:sz w:val="24"/>
              </w:rPr>
            </w:pPr>
          </w:p>
        </w:tc>
        <w:tc>
          <w:tcPr>
            <w:tcW w:w="1085" w:type="dxa"/>
            <w:noWrap/>
          </w:tcPr>
          <w:p w14:paraId="729B68D2">
            <w:pPr>
              <w:spacing w:line="440" w:lineRule="exact"/>
              <w:jc w:val="center"/>
              <w:rPr>
                <w:rFonts w:ascii="宋体" w:hAnsi="宋体"/>
                <w:sz w:val="24"/>
              </w:rPr>
            </w:pPr>
          </w:p>
        </w:tc>
        <w:tc>
          <w:tcPr>
            <w:tcW w:w="874" w:type="dxa"/>
            <w:noWrap/>
          </w:tcPr>
          <w:p w14:paraId="5F43525A">
            <w:pPr>
              <w:spacing w:line="440" w:lineRule="exact"/>
              <w:jc w:val="center"/>
              <w:rPr>
                <w:rFonts w:ascii="宋体" w:hAnsi="宋体"/>
                <w:sz w:val="24"/>
              </w:rPr>
            </w:pPr>
          </w:p>
        </w:tc>
        <w:tc>
          <w:tcPr>
            <w:tcW w:w="1055" w:type="dxa"/>
            <w:noWrap/>
          </w:tcPr>
          <w:p w14:paraId="3BE6811F">
            <w:pPr>
              <w:spacing w:line="440" w:lineRule="exact"/>
              <w:jc w:val="center"/>
              <w:rPr>
                <w:rFonts w:ascii="宋体" w:hAnsi="宋体"/>
                <w:sz w:val="24"/>
              </w:rPr>
            </w:pPr>
          </w:p>
        </w:tc>
        <w:tc>
          <w:tcPr>
            <w:tcW w:w="691" w:type="dxa"/>
            <w:noWrap/>
          </w:tcPr>
          <w:p w14:paraId="603636B1">
            <w:pPr>
              <w:spacing w:line="440" w:lineRule="exact"/>
              <w:jc w:val="center"/>
              <w:rPr>
                <w:rFonts w:ascii="宋体" w:hAnsi="宋体"/>
                <w:sz w:val="24"/>
              </w:rPr>
            </w:pPr>
          </w:p>
        </w:tc>
      </w:tr>
      <w:tr w14:paraId="4DBF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4B447710">
            <w:pPr>
              <w:spacing w:line="440" w:lineRule="exact"/>
              <w:jc w:val="center"/>
              <w:rPr>
                <w:rFonts w:ascii="宋体" w:hAnsi="宋体"/>
                <w:sz w:val="24"/>
              </w:rPr>
            </w:pPr>
          </w:p>
        </w:tc>
        <w:tc>
          <w:tcPr>
            <w:tcW w:w="780" w:type="dxa"/>
            <w:noWrap/>
          </w:tcPr>
          <w:p w14:paraId="576ABD5A">
            <w:pPr>
              <w:spacing w:line="440" w:lineRule="exact"/>
              <w:jc w:val="center"/>
              <w:rPr>
                <w:rFonts w:ascii="宋体" w:hAnsi="宋体"/>
                <w:sz w:val="24"/>
              </w:rPr>
            </w:pPr>
          </w:p>
        </w:tc>
        <w:tc>
          <w:tcPr>
            <w:tcW w:w="851" w:type="dxa"/>
            <w:noWrap/>
          </w:tcPr>
          <w:p w14:paraId="64BFE15A">
            <w:pPr>
              <w:spacing w:line="440" w:lineRule="exact"/>
              <w:jc w:val="center"/>
              <w:rPr>
                <w:rFonts w:ascii="宋体" w:hAnsi="宋体"/>
                <w:sz w:val="24"/>
              </w:rPr>
            </w:pPr>
          </w:p>
        </w:tc>
        <w:tc>
          <w:tcPr>
            <w:tcW w:w="850" w:type="dxa"/>
            <w:noWrap/>
          </w:tcPr>
          <w:p w14:paraId="71B7CBDE">
            <w:pPr>
              <w:spacing w:line="440" w:lineRule="exact"/>
              <w:jc w:val="center"/>
              <w:rPr>
                <w:rFonts w:ascii="宋体" w:hAnsi="宋体"/>
                <w:sz w:val="24"/>
              </w:rPr>
            </w:pPr>
          </w:p>
        </w:tc>
        <w:tc>
          <w:tcPr>
            <w:tcW w:w="1028" w:type="dxa"/>
            <w:noWrap/>
          </w:tcPr>
          <w:p w14:paraId="533BED6B">
            <w:pPr>
              <w:spacing w:line="440" w:lineRule="exact"/>
              <w:jc w:val="center"/>
              <w:rPr>
                <w:rFonts w:ascii="宋体" w:hAnsi="宋体"/>
                <w:sz w:val="24"/>
              </w:rPr>
            </w:pPr>
          </w:p>
        </w:tc>
        <w:tc>
          <w:tcPr>
            <w:tcW w:w="865" w:type="dxa"/>
            <w:noWrap/>
          </w:tcPr>
          <w:p w14:paraId="1740D6A7">
            <w:pPr>
              <w:spacing w:line="440" w:lineRule="exact"/>
              <w:jc w:val="center"/>
              <w:rPr>
                <w:rFonts w:ascii="宋体" w:hAnsi="宋体"/>
                <w:sz w:val="24"/>
              </w:rPr>
            </w:pPr>
          </w:p>
        </w:tc>
        <w:tc>
          <w:tcPr>
            <w:tcW w:w="1085" w:type="dxa"/>
            <w:noWrap/>
          </w:tcPr>
          <w:p w14:paraId="262F44BB">
            <w:pPr>
              <w:spacing w:line="440" w:lineRule="exact"/>
              <w:jc w:val="center"/>
              <w:rPr>
                <w:rFonts w:ascii="宋体" w:hAnsi="宋体"/>
                <w:sz w:val="24"/>
              </w:rPr>
            </w:pPr>
          </w:p>
        </w:tc>
        <w:tc>
          <w:tcPr>
            <w:tcW w:w="874" w:type="dxa"/>
            <w:noWrap/>
          </w:tcPr>
          <w:p w14:paraId="7651E2EB">
            <w:pPr>
              <w:spacing w:line="440" w:lineRule="exact"/>
              <w:jc w:val="center"/>
              <w:rPr>
                <w:rFonts w:ascii="宋体" w:hAnsi="宋体"/>
                <w:sz w:val="24"/>
              </w:rPr>
            </w:pPr>
          </w:p>
        </w:tc>
        <w:tc>
          <w:tcPr>
            <w:tcW w:w="1055" w:type="dxa"/>
            <w:noWrap/>
          </w:tcPr>
          <w:p w14:paraId="13AEC27C">
            <w:pPr>
              <w:spacing w:line="440" w:lineRule="exact"/>
              <w:jc w:val="center"/>
              <w:rPr>
                <w:rFonts w:ascii="宋体" w:hAnsi="宋体"/>
                <w:sz w:val="24"/>
              </w:rPr>
            </w:pPr>
          </w:p>
        </w:tc>
        <w:tc>
          <w:tcPr>
            <w:tcW w:w="691" w:type="dxa"/>
            <w:noWrap/>
          </w:tcPr>
          <w:p w14:paraId="1BABF68D">
            <w:pPr>
              <w:spacing w:line="440" w:lineRule="exact"/>
              <w:jc w:val="center"/>
              <w:rPr>
                <w:rFonts w:ascii="宋体" w:hAnsi="宋体"/>
                <w:sz w:val="24"/>
              </w:rPr>
            </w:pPr>
          </w:p>
        </w:tc>
      </w:tr>
      <w:tr w14:paraId="59CD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4C882DE5">
            <w:pPr>
              <w:spacing w:line="440" w:lineRule="exact"/>
              <w:jc w:val="center"/>
              <w:rPr>
                <w:rFonts w:ascii="宋体" w:hAnsi="宋体"/>
                <w:sz w:val="24"/>
              </w:rPr>
            </w:pPr>
          </w:p>
        </w:tc>
        <w:tc>
          <w:tcPr>
            <w:tcW w:w="780" w:type="dxa"/>
            <w:noWrap/>
          </w:tcPr>
          <w:p w14:paraId="60A32335">
            <w:pPr>
              <w:spacing w:line="440" w:lineRule="exact"/>
              <w:jc w:val="center"/>
              <w:rPr>
                <w:rFonts w:ascii="宋体" w:hAnsi="宋体"/>
                <w:sz w:val="24"/>
              </w:rPr>
            </w:pPr>
          </w:p>
        </w:tc>
        <w:tc>
          <w:tcPr>
            <w:tcW w:w="851" w:type="dxa"/>
            <w:noWrap/>
          </w:tcPr>
          <w:p w14:paraId="75BCA796">
            <w:pPr>
              <w:spacing w:line="440" w:lineRule="exact"/>
              <w:jc w:val="center"/>
              <w:rPr>
                <w:rFonts w:ascii="宋体" w:hAnsi="宋体"/>
                <w:sz w:val="24"/>
              </w:rPr>
            </w:pPr>
          </w:p>
        </w:tc>
        <w:tc>
          <w:tcPr>
            <w:tcW w:w="850" w:type="dxa"/>
            <w:noWrap/>
          </w:tcPr>
          <w:p w14:paraId="3151A059">
            <w:pPr>
              <w:spacing w:line="440" w:lineRule="exact"/>
              <w:jc w:val="center"/>
              <w:rPr>
                <w:rFonts w:ascii="宋体" w:hAnsi="宋体"/>
                <w:sz w:val="24"/>
              </w:rPr>
            </w:pPr>
          </w:p>
        </w:tc>
        <w:tc>
          <w:tcPr>
            <w:tcW w:w="1028" w:type="dxa"/>
            <w:noWrap/>
          </w:tcPr>
          <w:p w14:paraId="0A2B26AE">
            <w:pPr>
              <w:spacing w:line="440" w:lineRule="exact"/>
              <w:jc w:val="center"/>
              <w:rPr>
                <w:rFonts w:ascii="宋体" w:hAnsi="宋体"/>
                <w:sz w:val="24"/>
              </w:rPr>
            </w:pPr>
          </w:p>
        </w:tc>
        <w:tc>
          <w:tcPr>
            <w:tcW w:w="865" w:type="dxa"/>
            <w:noWrap/>
          </w:tcPr>
          <w:p w14:paraId="61AFBD01">
            <w:pPr>
              <w:spacing w:line="440" w:lineRule="exact"/>
              <w:jc w:val="center"/>
              <w:rPr>
                <w:rFonts w:ascii="宋体" w:hAnsi="宋体"/>
                <w:sz w:val="24"/>
              </w:rPr>
            </w:pPr>
          </w:p>
        </w:tc>
        <w:tc>
          <w:tcPr>
            <w:tcW w:w="1085" w:type="dxa"/>
            <w:noWrap/>
          </w:tcPr>
          <w:p w14:paraId="622F6DE3">
            <w:pPr>
              <w:spacing w:line="440" w:lineRule="exact"/>
              <w:jc w:val="center"/>
              <w:rPr>
                <w:rFonts w:ascii="宋体" w:hAnsi="宋体"/>
                <w:sz w:val="24"/>
              </w:rPr>
            </w:pPr>
          </w:p>
        </w:tc>
        <w:tc>
          <w:tcPr>
            <w:tcW w:w="874" w:type="dxa"/>
            <w:noWrap/>
          </w:tcPr>
          <w:p w14:paraId="635A60B0">
            <w:pPr>
              <w:spacing w:line="440" w:lineRule="exact"/>
              <w:jc w:val="center"/>
              <w:rPr>
                <w:rFonts w:ascii="宋体" w:hAnsi="宋体"/>
                <w:sz w:val="24"/>
              </w:rPr>
            </w:pPr>
          </w:p>
        </w:tc>
        <w:tc>
          <w:tcPr>
            <w:tcW w:w="1055" w:type="dxa"/>
            <w:noWrap/>
          </w:tcPr>
          <w:p w14:paraId="5DB7E8DA">
            <w:pPr>
              <w:spacing w:line="440" w:lineRule="exact"/>
              <w:jc w:val="center"/>
              <w:rPr>
                <w:rFonts w:ascii="宋体" w:hAnsi="宋体"/>
                <w:sz w:val="24"/>
              </w:rPr>
            </w:pPr>
          </w:p>
        </w:tc>
        <w:tc>
          <w:tcPr>
            <w:tcW w:w="691" w:type="dxa"/>
            <w:noWrap/>
          </w:tcPr>
          <w:p w14:paraId="45063A5F">
            <w:pPr>
              <w:spacing w:line="440" w:lineRule="exact"/>
              <w:jc w:val="center"/>
              <w:rPr>
                <w:rFonts w:ascii="宋体" w:hAnsi="宋体"/>
                <w:sz w:val="24"/>
              </w:rPr>
            </w:pPr>
          </w:p>
        </w:tc>
      </w:tr>
      <w:tr w14:paraId="01D8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0CA5BBC6">
            <w:pPr>
              <w:spacing w:line="440" w:lineRule="exact"/>
              <w:jc w:val="center"/>
              <w:rPr>
                <w:rFonts w:ascii="宋体" w:hAnsi="宋体"/>
                <w:sz w:val="24"/>
              </w:rPr>
            </w:pPr>
          </w:p>
        </w:tc>
        <w:tc>
          <w:tcPr>
            <w:tcW w:w="780" w:type="dxa"/>
            <w:noWrap/>
          </w:tcPr>
          <w:p w14:paraId="6489289D">
            <w:pPr>
              <w:spacing w:line="440" w:lineRule="exact"/>
              <w:jc w:val="center"/>
              <w:rPr>
                <w:rFonts w:ascii="宋体" w:hAnsi="宋体"/>
                <w:sz w:val="24"/>
              </w:rPr>
            </w:pPr>
          </w:p>
        </w:tc>
        <w:tc>
          <w:tcPr>
            <w:tcW w:w="851" w:type="dxa"/>
            <w:noWrap/>
          </w:tcPr>
          <w:p w14:paraId="3DB13861">
            <w:pPr>
              <w:spacing w:line="440" w:lineRule="exact"/>
              <w:jc w:val="center"/>
              <w:rPr>
                <w:rFonts w:ascii="宋体" w:hAnsi="宋体"/>
                <w:sz w:val="24"/>
              </w:rPr>
            </w:pPr>
          </w:p>
        </w:tc>
        <w:tc>
          <w:tcPr>
            <w:tcW w:w="850" w:type="dxa"/>
            <w:noWrap/>
          </w:tcPr>
          <w:p w14:paraId="4C0A3597">
            <w:pPr>
              <w:spacing w:line="440" w:lineRule="exact"/>
              <w:jc w:val="center"/>
              <w:rPr>
                <w:rFonts w:ascii="宋体" w:hAnsi="宋体"/>
                <w:sz w:val="24"/>
              </w:rPr>
            </w:pPr>
          </w:p>
        </w:tc>
        <w:tc>
          <w:tcPr>
            <w:tcW w:w="1028" w:type="dxa"/>
            <w:noWrap/>
          </w:tcPr>
          <w:p w14:paraId="1363EE2E">
            <w:pPr>
              <w:spacing w:line="440" w:lineRule="exact"/>
              <w:jc w:val="center"/>
              <w:rPr>
                <w:rFonts w:ascii="宋体" w:hAnsi="宋体"/>
                <w:sz w:val="24"/>
              </w:rPr>
            </w:pPr>
          </w:p>
        </w:tc>
        <w:tc>
          <w:tcPr>
            <w:tcW w:w="865" w:type="dxa"/>
            <w:noWrap/>
          </w:tcPr>
          <w:p w14:paraId="6A0E9D97">
            <w:pPr>
              <w:spacing w:line="440" w:lineRule="exact"/>
              <w:jc w:val="center"/>
              <w:rPr>
                <w:rFonts w:ascii="宋体" w:hAnsi="宋体"/>
                <w:sz w:val="24"/>
              </w:rPr>
            </w:pPr>
          </w:p>
        </w:tc>
        <w:tc>
          <w:tcPr>
            <w:tcW w:w="1085" w:type="dxa"/>
            <w:noWrap/>
          </w:tcPr>
          <w:p w14:paraId="29A9B3C3">
            <w:pPr>
              <w:spacing w:line="440" w:lineRule="exact"/>
              <w:jc w:val="center"/>
              <w:rPr>
                <w:rFonts w:ascii="宋体" w:hAnsi="宋体"/>
                <w:sz w:val="24"/>
              </w:rPr>
            </w:pPr>
          </w:p>
        </w:tc>
        <w:tc>
          <w:tcPr>
            <w:tcW w:w="874" w:type="dxa"/>
            <w:noWrap/>
          </w:tcPr>
          <w:p w14:paraId="2215688C">
            <w:pPr>
              <w:spacing w:line="440" w:lineRule="exact"/>
              <w:jc w:val="center"/>
              <w:rPr>
                <w:rFonts w:ascii="宋体" w:hAnsi="宋体"/>
                <w:sz w:val="24"/>
              </w:rPr>
            </w:pPr>
          </w:p>
        </w:tc>
        <w:tc>
          <w:tcPr>
            <w:tcW w:w="1055" w:type="dxa"/>
            <w:noWrap/>
          </w:tcPr>
          <w:p w14:paraId="04412C23">
            <w:pPr>
              <w:spacing w:line="440" w:lineRule="exact"/>
              <w:jc w:val="center"/>
              <w:rPr>
                <w:rFonts w:ascii="宋体" w:hAnsi="宋体"/>
                <w:sz w:val="24"/>
              </w:rPr>
            </w:pPr>
          </w:p>
        </w:tc>
        <w:tc>
          <w:tcPr>
            <w:tcW w:w="691" w:type="dxa"/>
            <w:noWrap/>
          </w:tcPr>
          <w:p w14:paraId="02A6338E">
            <w:pPr>
              <w:spacing w:line="440" w:lineRule="exact"/>
              <w:jc w:val="center"/>
              <w:rPr>
                <w:rFonts w:ascii="宋体" w:hAnsi="宋体"/>
                <w:sz w:val="24"/>
              </w:rPr>
            </w:pPr>
          </w:p>
        </w:tc>
      </w:tr>
      <w:tr w14:paraId="3EBA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479A5D6C">
            <w:pPr>
              <w:spacing w:line="440" w:lineRule="exact"/>
              <w:jc w:val="center"/>
              <w:rPr>
                <w:rFonts w:ascii="宋体" w:hAnsi="宋体"/>
                <w:sz w:val="24"/>
              </w:rPr>
            </w:pPr>
          </w:p>
        </w:tc>
        <w:tc>
          <w:tcPr>
            <w:tcW w:w="780" w:type="dxa"/>
            <w:noWrap/>
          </w:tcPr>
          <w:p w14:paraId="3700759C">
            <w:pPr>
              <w:spacing w:line="440" w:lineRule="exact"/>
              <w:jc w:val="center"/>
              <w:rPr>
                <w:rFonts w:ascii="宋体" w:hAnsi="宋体"/>
                <w:sz w:val="24"/>
              </w:rPr>
            </w:pPr>
          </w:p>
        </w:tc>
        <w:tc>
          <w:tcPr>
            <w:tcW w:w="851" w:type="dxa"/>
            <w:noWrap/>
          </w:tcPr>
          <w:p w14:paraId="1B4121BA">
            <w:pPr>
              <w:spacing w:line="440" w:lineRule="exact"/>
              <w:jc w:val="center"/>
              <w:rPr>
                <w:rFonts w:ascii="宋体" w:hAnsi="宋体"/>
                <w:sz w:val="24"/>
              </w:rPr>
            </w:pPr>
          </w:p>
        </w:tc>
        <w:tc>
          <w:tcPr>
            <w:tcW w:w="850" w:type="dxa"/>
            <w:noWrap/>
          </w:tcPr>
          <w:p w14:paraId="5BE5E401">
            <w:pPr>
              <w:spacing w:line="440" w:lineRule="exact"/>
              <w:jc w:val="center"/>
              <w:rPr>
                <w:rFonts w:ascii="宋体" w:hAnsi="宋体"/>
                <w:sz w:val="24"/>
              </w:rPr>
            </w:pPr>
          </w:p>
        </w:tc>
        <w:tc>
          <w:tcPr>
            <w:tcW w:w="1028" w:type="dxa"/>
            <w:noWrap/>
          </w:tcPr>
          <w:p w14:paraId="641F6A24">
            <w:pPr>
              <w:spacing w:line="440" w:lineRule="exact"/>
              <w:jc w:val="center"/>
              <w:rPr>
                <w:rFonts w:ascii="宋体" w:hAnsi="宋体"/>
                <w:sz w:val="24"/>
              </w:rPr>
            </w:pPr>
          </w:p>
        </w:tc>
        <w:tc>
          <w:tcPr>
            <w:tcW w:w="865" w:type="dxa"/>
            <w:noWrap/>
          </w:tcPr>
          <w:p w14:paraId="00A150F6">
            <w:pPr>
              <w:spacing w:line="440" w:lineRule="exact"/>
              <w:jc w:val="center"/>
              <w:rPr>
                <w:rFonts w:ascii="宋体" w:hAnsi="宋体"/>
                <w:sz w:val="24"/>
              </w:rPr>
            </w:pPr>
          </w:p>
        </w:tc>
        <w:tc>
          <w:tcPr>
            <w:tcW w:w="1085" w:type="dxa"/>
            <w:noWrap/>
          </w:tcPr>
          <w:p w14:paraId="115E00A4">
            <w:pPr>
              <w:spacing w:line="440" w:lineRule="exact"/>
              <w:jc w:val="center"/>
              <w:rPr>
                <w:rFonts w:ascii="宋体" w:hAnsi="宋体"/>
                <w:sz w:val="24"/>
              </w:rPr>
            </w:pPr>
          </w:p>
        </w:tc>
        <w:tc>
          <w:tcPr>
            <w:tcW w:w="874" w:type="dxa"/>
            <w:noWrap/>
          </w:tcPr>
          <w:p w14:paraId="76D555C0">
            <w:pPr>
              <w:spacing w:line="440" w:lineRule="exact"/>
              <w:jc w:val="center"/>
              <w:rPr>
                <w:rFonts w:ascii="宋体" w:hAnsi="宋体"/>
                <w:sz w:val="24"/>
              </w:rPr>
            </w:pPr>
          </w:p>
        </w:tc>
        <w:tc>
          <w:tcPr>
            <w:tcW w:w="1055" w:type="dxa"/>
            <w:noWrap/>
          </w:tcPr>
          <w:p w14:paraId="578A851D">
            <w:pPr>
              <w:spacing w:line="440" w:lineRule="exact"/>
              <w:jc w:val="center"/>
              <w:rPr>
                <w:rFonts w:ascii="宋体" w:hAnsi="宋体"/>
                <w:sz w:val="24"/>
              </w:rPr>
            </w:pPr>
          </w:p>
        </w:tc>
        <w:tc>
          <w:tcPr>
            <w:tcW w:w="691" w:type="dxa"/>
            <w:noWrap/>
          </w:tcPr>
          <w:p w14:paraId="0B2415DD">
            <w:pPr>
              <w:spacing w:line="440" w:lineRule="exact"/>
              <w:jc w:val="center"/>
              <w:rPr>
                <w:rFonts w:ascii="宋体" w:hAnsi="宋体"/>
                <w:sz w:val="24"/>
              </w:rPr>
            </w:pPr>
          </w:p>
        </w:tc>
      </w:tr>
      <w:tr w14:paraId="195E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0BAD2B91">
            <w:pPr>
              <w:spacing w:line="440" w:lineRule="exact"/>
              <w:jc w:val="center"/>
              <w:rPr>
                <w:rFonts w:ascii="宋体" w:hAnsi="宋体"/>
                <w:sz w:val="24"/>
              </w:rPr>
            </w:pPr>
          </w:p>
        </w:tc>
        <w:tc>
          <w:tcPr>
            <w:tcW w:w="780" w:type="dxa"/>
            <w:noWrap/>
          </w:tcPr>
          <w:p w14:paraId="6CFF7C94">
            <w:pPr>
              <w:spacing w:line="440" w:lineRule="exact"/>
              <w:jc w:val="center"/>
              <w:rPr>
                <w:rFonts w:ascii="宋体" w:hAnsi="宋体"/>
                <w:sz w:val="24"/>
              </w:rPr>
            </w:pPr>
          </w:p>
        </w:tc>
        <w:tc>
          <w:tcPr>
            <w:tcW w:w="851" w:type="dxa"/>
            <w:noWrap/>
          </w:tcPr>
          <w:p w14:paraId="25E37A55">
            <w:pPr>
              <w:spacing w:line="440" w:lineRule="exact"/>
              <w:jc w:val="center"/>
              <w:rPr>
                <w:rFonts w:ascii="宋体" w:hAnsi="宋体"/>
                <w:sz w:val="24"/>
              </w:rPr>
            </w:pPr>
          </w:p>
        </w:tc>
        <w:tc>
          <w:tcPr>
            <w:tcW w:w="850" w:type="dxa"/>
            <w:noWrap/>
          </w:tcPr>
          <w:p w14:paraId="5A16B2E8">
            <w:pPr>
              <w:spacing w:line="440" w:lineRule="exact"/>
              <w:jc w:val="center"/>
              <w:rPr>
                <w:rFonts w:ascii="宋体" w:hAnsi="宋体"/>
                <w:sz w:val="24"/>
              </w:rPr>
            </w:pPr>
          </w:p>
        </w:tc>
        <w:tc>
          <w:tcPr>
            <w:tcW w:w="1028" w:type="dxa"/>
            <w:noWrap/>
          </w:tcPr>
          <w:p w14:paraId="51463F39">
            <w:pPr>
              <w:spacing w:line="440" w:lineRule="exact"/>
              <w:jc w:val="center"/>
              <w:rPr>
                <w:rFonts w:ascii="宋体" w:hAnsi="宋体"/>
                <w:sz w:val="24"/>
              </w:rPr>
            </w:pPr>
          </w:p>
        </w:tc>
        <w:tc>
          <w:tcPr>
            <w:tcW w:w="865" w:type="dxa"/>
            <w:noWrap/>
          </w:tcPr>
          <w:p w14:paraId="1E12B78A">
            <w:pPr>
              <w:spacing w:line="440" w:lineRule="exact"/>
              <w:jc w:val="center"/>
              <w:rPr>
                <w:rFonts w:ascii="宋体" w:hAnsi="宋体"/>
                <w:sz w:val="24"/>
              </w:rPr>
            </w:pPr>
          </w:p>
        </w:tc>
        <w:tc>
          <w:tcPr>
            <w:tcW w:w="1085" w:type="dxa"/>
            <w:noWrap/>
          </w:tcPr>
          <w:p w14:paraId="4AFA7D43">
            <w:pPr>
              <w:spacing w:line="440" w:lineRule="exact"/>
              <w:jc w:val="center"/>
              <w:rPr>
                <w:rFonts w:ascii="宋体" w:hAnsi="宋体"/>
                <w:sz w:val="24"/>
              </w:rPr>
            </w:pPr>
          </w:p>
        </w:tc>
        <w:tc>
          <w:tcPr>
            <w:tcW w:w="874" w:type="dxa"/>
            <w:noWrap/>
          </w:tcPr>
          <w:p w14:paraId="1C001E62">
            <w:pPr>
              <w:spacing w:line="440" w:lineRule="exact"/>
              <w:jc w:val="center"/>
              <w:rPr>
                <w:rFonts w:ascii="宋体" w:hAnsi="宋体"/>
                <w:sz w:val="24"/>
              </w:rPr>
            </w:pPr>
          </w:p>
        </w:tc>
        <w:tc>
          <w:tcPr>
            <w:tcW w:w="1055" w:type="dxa"/>
            <w:noWrap/>
          </w:tcPr>
          <w:p w14:paraId="281C3969">
            <w:pPr>
              <w:spacing w:line="440" w:lineRule="exact"/>
              <w:jc w:val="center"/>
              <w:rPr>
                <w:rFonts w:ascii="宋体" w:hAnsi="宋体"/>
                <w:sz w:val="24"/>
              </w:rPr>
            </w:pPr>
          </w:p>
        </w:tc>
        <w:tc>
          <w:tcPr>
            <w:tcW w:w="691" w:type="dxa"/>
            <w:noWrap/>
          </w:tcPr>
          <w:p w14:paraId="0EDEC94C">
            <w:pPr>
              <w:spacing w:line="440" w:lineRule="exact"/>
              <w:jc w:val="center"/>
              <w:rPr>
                <w:rFonts w:ascii="宋体" w:hAnsi="宋体"/>
                <w:sz w:val="24"/>
              </w:rPr>
            </w:pPr>
          </w:p>
        </w:tc>
      </w:tr>
      <w:tr w14:paraId="3D04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12F5193D">
            <w:pPr>
              <w:spacing w:line="440" w:lineRule="exact"/>
              <w:jc w:val="center"/>
              <w:rPr>
                <w:rFonts w:ascii="宋体" w:hAnsi="宋体"/>
                <w:sz w:val="24"/>
              </w:rPr>
            </w:pPr>
          </w:p>
        </w:tc>
        <w:tc>
          <w:tcPr>
            <w:tcW w:w="780" w:type="dxa"/>
            <w:noWrap/>
          </w:tcPr>
          <w:p w14:paraId="02C5447E">
            <w:pPr>
              <w:spacing w:line="440" w:lineRule="exact"/>
              <w:jc w:val="center"/>
              <w:rPr>
                <w:rFonts w:ascii="宋体" w:hAnsi="宋体"/>
                <w:sz w:val="24"/>
              </w:rPr>
            </w:pPr>
          </w:p>
        </w:tc>
        <w:tc>
          <w:tcPr>
            <w:tcW w:w="851" w:type="dxa"/>
            <w:noWrap/>
          </w:tcPr>
          <w:p w14:paraId="32E5C6A3">
            <w:pPr>
              <w:spacing w:line="440" w:lineRule="exact"/>
              <w:jc w:val="center"/>
              <w:rPr>
                <w:rFonts w:ascii="宋体" w:hAnsi="宋体"/>
                <w:sz w:val="24"/>
              </w:rPr>
            </w:pPr>
          </w:p>
        </w:tc>
        <w:tc>
          <w:tcPr>
            <w:tcW w:w="850" w:type="dxa"/>
            <w:noWrap/>
          </w:tcPr>
          <w:p w14:paraId="5907A8C8">
            <w:pPr>
              <w:spacing w:line="440" w:lineRule="exact"/>
              <w:jc w:val="center"/>
              <w:rPr>
                <w:rFonts w:ascii="宋体" w:hAnsi="宋体"/>
                <w:sz w:val="24"/>
              </w:rPr>
            </w:pPr>
          </w:p>
        </w:tc>
        <w:tc>
          <w:tcPr>
            <w:tcW w:w="1028" w:type="dxa"/>
            <w:noWrap/>
          </w:tcPr>
          <w:p w14:paraId="57C1816D">
            <w:pPr>
              <w:spacing w:line="440" w:lineRule="exact"/>
              <w:jc w:val="center"/>
              <w:rPr>
                <w:rFonts w:ascii="宋体" w:hAnsi="宋体"/>
                <w:sz w:val="24"/>
              </w:rPr>
            </w:pPr>
          </w:p>
        </w:tc>
        <w:tc>
          <w:tcPr>
            <w:tcW w:w="865" w:type="dxa"/>
            <w:noWrap/>
          </w:tcPr>
          <w:p w14:paraId="2320F98B">
            <w:pPr>
              <w:spacing w:line="440" w:lineRule="exact"/>
              <w:jc w:val="center"/>
              <w:rPr>
                <w:rFonts w:ascii="宋体" w:hAnsi="宋体"/>
                <w:sz w:val="24"/>
              </w:rPr>
            </w:pPr>
          </w:p>
        </w:tc>
        <w:tc>
          <w:tcPr>
            <w:tcW w:w="1085" w:type="dxa"/>
            <w:noWrap/>
          </w:tcPr>
          <w:p w14:paraId="6E26BD78">
            <w:pPr>
              <w:spacing w:line="440" w:lineRule="exact"/>
              <w:jc w:val="center"/>
              <w:rPr>
                <w:rFonts w:ascii="宋体" w:hAnsi="宋体"/>
                <w:sz w:val="24"/>
              </w:rPr>
            </w:pPr>
          </w:p>
        </w:tc>
        <w:tc>
          <w:tcPr>
            <w:tcW w:w="874" w:type="dxa"/>
            <w:noWrap/>
          </w:tcPr>
          <w:p w14:paraId="63293D6C">
            <w:pPr>
              <w:spacing w:line="440" w:lineRule="exact"/>
              <w:jc w:val="center"/>
              <w:rPr>
                <w:rFonts w:ascii="宋体" w:hAnsi="宋体"/>
                <w:sz w:val="24"/>
              </w:rPr>
            </w:pPr>
          </w:p>
        </w:tc>
        <w:tc>
          <w:tcPr>
            <w:tcW w:w="1055" w:type="dxa"/>
            <w:noWrap/>
          </w:tcPr>
          <w:p w14:paraId="68A43BDC">
            <w:pPr>
              <w:spacing w:line="440" w:lineRule="exact"/>
              <w:jc w:val="center"/>
              <w:rPr>
                <w:rFonts w:ascii="宋体" w:hAnsi="宋体"/>
                <w:sz w:val="24"/>
              </w:rPr>
            </w:pPr>
          </w:p>
        </w:tc>
        <w:tc>
          <w:tcPr>
            <w:tcW w:w="691" w:type="dxa"/>
            <w:noWrap/>
          </w:tcPr>
          <w:p w14:paraId="02B04EE8">
            <w:pPr>
              <w:spacing w:line="440" w:lineRule="exact"/>
              <w:jc w:val="center"/>
              <w:rPr>
                <w:rFonts w:ascii="宋体" w:hAnsi="宋体"/>
                <w:sz w:val="24"/>
              </w:rPr>
            </w:pPr>
          </w:p>
        </w:tc>
      </w:tr>
      <w:tr w14:paraId="37120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03A80615">
            <w:pPr>
              <w:spacing w:line="440" w:lineRule="exact"/>
              <w:jc w:val="center"/>
              <w:rPr>
                <w:rFonts w:ascii="宋体" w:hAnsi="宋体"/>
                <w:sz w:val="24"/>
              </w:rPr>
            </w:pPr>
          </w:p>
        </w:tc>
        <w:tc>
          <w:tcPr>
            <w:tcW w:w="780" w:type="dxa"/>
            <w:noWrap/>
          </w:tcPr>
          <w:p w14:paraId="22A93639">
            <w:pPr>
              <w:spacing w:line="440" w:lineRule="exact"/>
              <w:jc w:val="center"/>
              <w:rPr>
                <w:rFonts w:ascii="宋体" w:hAnsi="宋体"/>
                <w:sz w:val="24"/>
              </w:rPr>
            </w:pPr>
          </w:p>
        </w:tc>
        <w:tc>
          <w:tcPr>
            <w:tcW w:w="851" w:type="dxa"/>
            <w:noWrap/>
          </w:tcPr>
          <w:p w14:paraId="3ECEF77F">
            <w:pPr>
              <w:spacing w:line="440" w:lineRule="exact"/>
              <w:jc w:val="center"/>
              <w:rPr>
                <w:rFonts w:ascii="宋体" w:hAnsi="宋体"/>
                <w:sz w:val="24"/>
              </w:rPr>
            </w:pPr>
          </w:p>
        </w:tc>
        <w:tc>
          <w:tcPr>
            <w:tcW w:w="850" w:type="dxa"/>
            <w:noWrap/>
          </w:tcPr>
          <w:p w14:paraId="1EBDD834">
            <w:pPr>
              <w:spacing w:line="440" w:lineRule="exact"/>
              <w:jc w:val="center"/>
              <w:rPr>
                <w:rFonts w:ascii="宋体" w:hAnsi="宋体"/>
                <w:sz w:val="24"/>
              </w:rPr>
            </w:pPr>
          </w:p>
        </w:tc>
        <w:tc>
          <w:tcPr>
            <w:tcW w:w="1028" w:type="dxa"/>
            <w:noWrap/>
          </w:tcPr>
          <w:p w14:paraId="70349757">
            <w:pPr>
              <w:spacing w:line="440" w:lineRule="exact"/>
              <w:jc w:val="center"/>
              <w:rPr>
                <w:rFonts w:ascii="宋体" w:hAnsi="宋体"/>
                <w:sz w:val="24"/>
              </w:rPr>
            </w:pPr>
          </w:p>
        </w:tc>
        <w:tc>
          <w:tcPr>
            <w:tcW w:w="865" w:type="dxa"/>
            <w:noWrap/>
          </w:tcPr>
          <w:p w14:paraId="7A07795F">
            <w:pPr>
              <w:spacing w:line="440" w:lineRule="exact"/>
              <w:jc w:val="center"/>
              <w:rPr>
                <w:rFonts w:ascii="宋体" w:hAnsi="宋体"/>
                <w:sz w:val="24"/>
              </w:rPr>
            </w:pPr>
          </w:p>
        </w:tc>
        <w:tc>
          <w:tcPr>
            <w:tcW w:w="1085" w:type="dxa"/>
            <w:noWrap/>
          </w:tcPr>
          <w:p w14:paraId="15E9DC7A">
            <w:pPr>
              <w:spacing w:line="440" w:lineRule="exact"/>
              <w:jc w:val="center"/>
              <w:rPr>
                <w:rFonts w:ascii="宋体" w:hAnsi="宋体"/>
                <w:sz w:val="24"/>
              </w:rPr>
            </w:pPr>
          </w:p>
        </w:tc>
        <w:tc>
          <w:tcPr>
            <w:tcW w:w="874" w:type="dxa"/>
            <w:noWrap/>
          </w:tcPr>
          <w:p w14:paraId="1F30DEC9">
            <w:pPr>
              <w:spacing w:line="440" w:lineRule="exact"/>
              <w:jc w:val="center"/>
              <w:rPr>
                <w:rFonts w:ascii="宋体" w:hAnsi="宋体"/>
                <w:sz w:val="24"/>
              </w:rPr>
            </w:pPr>
          </w:p>
        </w:tc>
        <w:tc>
          <w:tcPr>
            <w:tcW w:w="1055" w:type="dxa"/>
            <w:noWrap/>
          </w:tcPr>
          <w:p w14:paraId="33EC7A74">
            <w:pPr>
              <w:spacing w:line="440" w:lineRule="exact"/>
              <w:jc w:val="center"/>
              <w:rPr>
                <w:rFonts w:ascii="宋体" w:hAnsi="宋体"/>
                <w:sz w:val="24"/>
              </w:rPr>
            </w:pPr>
          </w:p>
        </w:tc>
        <w:tc>
          <w:tcPr>
            <w:tcW w:w="691" w:type="dxa"/>
            <w:noWrap/>
          </w:tcPr>
          <w:p w14:paraId="11AB4CDE">
            <w:pPr>
              <w:spacing w:line="440" w:lineRule="exact"/>
              <w:jc w:val="center"/>
              <w:rPr>
                <w:rFonts w:ascii="宋体" w:hAnsi="宋体"/>
                <w:sz w:val="24"/>
              </w:rPr>
            </w:pPr>
          </w:p>
        </w:tc>
      </w:tr>
      <w:tr w14:paraId="7716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3F6F6FC3">
            <w:pPr>
              <w:spacing w:line="440" w:lineRule="exact"/>
              <w:jc w:val="center"/>
              <w:rPr>
                <w:rFonts w:ascii="宋体" w:hAnsi="宋体"/>
                <w:sz w:val="24"/>
              </w:rPr>
            </w:pPr>
          </w:p>
        </w:tc>
        <w:tc>
          <w:tcPr>
            <w:tcW w:w="780" w:type="dxa"/>
            <w:noWrap/>
          </w:tcPr>
          <w:p w14:paraId="39652907">
            <w:pPr>
              <w:spacing w:line="440" w:lineRule="exact"/>
              <w:jc w:val="center"/>
              <w:rPr>
                <w:rFonts w:ascii="宋体" w:hAnsi="宋体"/>
                <w:sz w:val="24"/>
              </w:rPr>
            </w:pPr>
          </w:p>
        </w:tc>
        <w:tc>
          <w:tcPr>
            <w:tcW w:w="851" w:type="dxa"/>
            <w:noWrap/>
          </w:tcPr>
          <w:p w14:paraId="0DC5B087">
            <w:pPr>
              <w:spacing w:line="440" w:lineRule="exact"/>
              <w:jc w:val="center"/>
              <w:rPr>
                <w:rFonts w:ascii="宋体" w:hAnsi="宋体"/>
                <w:sz w:val="24"/>
              </w:rPr>
            </w:pPr>
          </w:p>
        </w:tc>
        <w:tc>
          <w:tcPr>
            <w:tcW w:w="850" w:type="dxa"/>
            <w:noWrap/>
          </w:tcPr>
          <w:p w14:paraId="674C95CE">
            <w:pPr>
              <w:spacing w:line="440" w:lineRule="exact"/>
              <w:jc w:val="center"/>
              <w:rPr>
                <w:rFonts w:ascii="宋体" w:hAnsi="宋体"/>
                <w:sz w:val="24"/>
              </w:rPr>
            </w:pPr>
          </w:p>
        </w:tc>
        <w:tc>
          <w:tcPr>
            <w:tcW w:w="1028" w:type="dxa"/>
            <w:noWrap/>
          </w:tcPr>
          <w:p w14:paraId="5301C953">
            <w:pPr>
              <w:spacing w:line="440" w:lineRule="exact"/>
              <w:jc w:val="center"/>
              <w:rPr>
                <w:rFonts w:ascii="宋体" w:hAnsi="宋体"/>
                <w:sz w:val="24"/>
              </w:rPr>
            </w:pPr>
          </w:p>
        </w:tc>
        <w:tc>
          <w:tcPr>
            <w:tcW w:w="865" w:type="dxa"/>
            <w:noWrap/>
          </w:tcPr>
          <w:p w14:paraId="70940A1D">
            <w:pPr>
              <w:spacing w:line="440" w:lineRule="exact"/>
              <w:jc w:val="center"/>
              <w:rPr>
                <w:rFonts w:ascii="宋体" w:hAnsi="宋体"/>
                <w:sz w:val="24"/>
              </w:rPr>
            </w:pPr>
          </w:p>
        </w:tc>
        <w:tc>
          <w:tcPr>
            <w:tcW w:w="1085" w:type="dxa"/>
            <w:noWrap/>
          </w:tcPr>
          <w:p w14:paraId="2072F58B">
            <w:pPr>
              <w:spacing w:line="440" w:lineRule="exact"/>
              <w:jc w:val="center"/>
              <w:rPr>
                <w:rFonts w:ascii="宋体" w:hAnsi="宋体"/>
                <w:sz w:val="24"/>
              </w:rPr>
            </w:pPr>
          </w:p>
        </w:tc>
        <w:tc>
          <w:tcPr>
            <w:tcW w:w="874" w:type="dxa"/>
            <w:noWrap/>
          </w:tcPr>
          <w:p w14:paraId="1E2CB1D1">
            <w:pPr>
              <w:spacing w:line="440" w:lineRule="exact"/>
              <w:jc w:val="center"/>
              <w:rPr>
                <w:rFonts w:ascii="宋体" w:hAnsi="宋体"/>
                <w:sz w:val="24"/>
              </w:rPr>
            </w:pPr>
          </w:p>
        </w:tc>
        <w:tc>
          <w:tcPr>
            <w:tcW w:w="1055" w:type="dxa"/>
            <w:noWrap/>
          </w:tcPr>
          <w:p w14:paraId="1E2BBE47">
            <w:pPr>
              <w:spacing w:line="440" w:lineRule="exact"/>
              <w:jc w:val="center"/>
              <w:rPr>
                <w:rFonts w:ascii="宋体" w:hAnsi="宋体"/>
                <w:sz w:val="24"/>
              </w:rPr>
            </w:pPr>
          </w:p>
        </w:tc>
        <w:tc>
          <w:tcPr>
            <w:tcW w:w="691" w:type="dxa"/>
            <w:noWrap/>
          </w:tcPr>
          <w:p w14:paraId="4A70D407">
            <w:pPr>
              <w:spacing w:line="440" w:lineRule="exact"/>
              <w:jc w:val="center"/>
              <w:rPr>
                <w:rFonts w:ascii="宋体" w:hAnsi="宋体"/>
                <w:sz w:val="24"/>
              </w:rPr>
            </w:pPr>
          </w:p>
        </w:tc>
      </w:tr>
      <w:tr w14:paraId="081B3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5F9A04DA">
            <w:pPr>
              <w:spacing w:line="440" w:lineRule="exact"/>
              <w:jc w:val="center"/>
              <w:rPr>
                <w:rFonts w:ascii="宋体" w:hAnsi="宋体"/>
                <w:sz w:val="24"/>
              </w:rPr>
            </w:pPr>
          </w:p>
        </w:tc>
        <w:tc>
          <w:tcPr>
            <w:tcW w:w="780" w:type="dxa"/>
            <w:noWrap/>
          </w:tcPr>
          <w:p w14:paraId="52E5F504">
            <w:pPr>
              <w:spacing w:line="440" w:lineRule="exact"/>
              <w:jc w:val="center"/>
              <w:rPr>
                <w:rFonts w:ascii="宋体" w:hAnsi="宋体"/>
                <w:sz w:val="24"/>
              </w:rPr>
            </w:pPr>
          </w:p>
        </w:tc>
        <w:tc>
          <w:tcPr>
            <w:tcW w:w="851" w:type="dxa"/>
            <w:noWrap/>
          </w:tcPr>
          <w:p w14:paraId="131E470C">
            <w:pPr>
              <w:spacing w:line="440" w:lineRule="exact"/>
              <w:jc w:val="center"/>
              <w:rPr>
                <w:rFonts w:ascii="宋体" w:hAnsi="宋体"/>
                <w:sz w:val="24"/>
              </w:rPr>
            </w:pPr>
          </w:p>
        </w:tc>
        <w:tc>
          <w:tcPr>
            <w:tcW w:w="850" w:type="dxa"/>
            <w:noWrap/>
          </w:tcPr>
          <w:p w14:paraId="019AD1BB">
            <w:pPr>
              <w:spacing w:line="440" w:lineRule="exact"/>
              <w:jc w:val="center"/>
              <w:rPr>
                <w:rFonts w:ascii="宋体" w:hAnsi="宋体"/>
                <w:sz w:val="24"/>
              </w:rPr>
            </w:pPr>
          </w:p>
        </w:tc>
        <w:tc>
          <w:tcPr>
            <w:tcW w:w="1028" w:type="dxa"/>
            <w:noWrap/>
          </w:tcPr>
          <w:p w14:paraId="28148247">
            <w:pPr>
              <w:spacing w:line="440" w:lineRule="exact"/>
              <w:jc w:val="center"/>
              <w:rPr>
                <w:rFonts w:ascii="宋体" w:hAnsi="宋体"/>
                <w:sz w:val="24"/>
              </w:rPr>
            </w:pPr>
          </w:p>
        </w:tc>
        <w:tc>
          <w:tcPr>
            <w:tcW w:w="865" w:type="dxa"/>
            <w:noWrap/>
          </w:tcPr>
          <w:p w14:paraId="2A08E5D9">
            <w:pPr>
              <w:spacing w:line="440" w:lineRule="exact"/>
              <w:jc w:val="center"/>
              <w:rPr>
                <w:rFonts w:ascii="宋体" w:hAnsi="宋体"/>
                <w:sz w:val="24"/>
              </w:rPr>
            </w:pPr>
          </w:p>
        </w:tc>
        <w:tc>
          <w:tcPr>
            <w:tcW w:w="1085" w:type="dxa"/>
            <w:noWrap/>
          </w:tcPr>
          <w:p w14:paraId="37D7ABD4">
            <w:pPr>
              <w:spacing w:line="440" w:lineRule="exact"/>
              <w:jc w:val="center"/>
              <w:rPr>
                <w:rFonts w:ascii="宋体" w:hAnsi="宋体"/>
                <w:sz w:val="24"/>
              </w:rPr>
            </w:pPr>
          </w:p>
        </w:tc>
        <w:tc>
          <w:tcPr>
            <w:tcW w:w="874" w:type="dxa"/>
            <w:noWrap/>
          </w:tcPr>
          <w:p w14:paraId="35234EF5">
            <w:pPr>
              <w:spacing w:line="440" w:lineRule="exact"/>
              <w:jc w:val="center"/>
              <w:rPr>
                <w:rFonts w:ascii="宋体" w:hAnsi="宋体"/>
                <w:sz w:val="24"/>
              </w:rPr>
            </w:pPr>
          </w:p>
        </w:tc>
        <w:tc>
          <w:tcPr>
            <w:tcW w:w="1055" w:type="dxa"/>
            <w:noWrap/>
          </w:tcPr>
          <w:p w14:paraId="721A27EE">
            <w:pPr>
              <w:spacing w:line="440" w:lineRule="exact"/>
              <w:jc w:val="center"/>
              <w:rPr>
                <w:rFonts w:ascii="宋体" w:hAnsi="宋体"/>
                <w:sz w:val="24"/>
              </w:rPr>
            </w:pPr>
          </w:p>
        </w:tc>
        <w:tc>
          <w:tcPr>
            <w:tcW w:w="691" w:type="dxa"/>
            <w:noWrap/>
          </w:tcPr>
          <w:p w14:paraId="60B7FD02">
            <w:pPr>
              <w:spacing w:line="440" w:lineRule="exact"/>
              <w:jc w:val="center"/>
              <w:rPr>
                <w:rFonts w:ascii="宋体" w:hAnsi="宋体"/>
                <w:sz w:val="24"/>
              </w:rPr>
            </w:pPr>
          </w:p>
        </w:tc>
      </w:tr>
      <w:tr w14:paraId="3FD2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1681A834">
            <w:pPr>
              <w:spacing w:line="440" w:lineRule="exact"/>
              <w:jc w:val="center"/>
              <w:rPr>
                <w:rFonts w:ascii="宋体" w:hAnsi="宋体"/>
                <w:sz w:val="24"/>
              </w:rPr>
            </w:pPr>
          </w:p>
        </w:tc>
        <w:tc>
          <w:tcPr>
            <w:tcW w:w="780" w:type="dxa"/>
            <w:noWrap/>
          </w:tcPr>
          <w:p w14:paraId="207CC38A">
            <w:pPr>
              <w:spacing w:line="440" w:lineRule="exact"/>
              <w:jc w:val="center"/>
              <w:rPr>
                <w:rFonts w:ascii="宋体" w:hAnsi="宋体"/>
                <w:sz w:val="24"/>
              </w:rPr>
            </w:pPr>
          </w:p>
        </w:tc>
        <w:tc>
          <w:tcPr>
            <w:tcW w:w="851" w:type="dxa"/>
            <w:noWrap/>
          </w:tcPr>
          <w:p w14:paraId="0A63FD44">
            <w:pPr>
              <w:spacing w:line="440" w:lineRule="exact"/>
              <w:jc w:val="center"/>
              <w:rPr>
                <w:rFonts w:ascii="宋体" w:hAnsi="宋体"/>
                <w:sz w:val="24"/>
              </w:rPr>
            </w:pPr>
          </w:p>
        </w:tc>
        <w:tc>
          <w:tcPr>
            <w:tcW w:w="850" w:type="dxa"/>
            <w:noWrap/>
          </w:tcPr>
          <w:p w14:paraId="39285F0B">
            <w:pPr>
              <w:spacing w:line="440" w:lineRule="exact"/>
              <w:jc w:val="center"/>
              <w:rPr>
                <w:rFonts w:ascii="宋体" w:hAnsi="宋体"/>
                <w:sz w:val="24"/>
              </w:rPr>
            </w:pPr>
          </w:p>
        </w:tc>
        <w:tc>
          <w:tcPr>
            <w:tcW w:w="1028" w:type="dxa"/>
            <w:noWrap/>
          </w:tcPr>
          <w:p w14:paraId="6F10E5F7">
            <w:pPr>
              <w:spacing w:line="440" w:lineRule="exact"/>
              <w:jc w:val="center"/>
              <w:rPr>
                <w:rFonts w:ascii="宋体" w:hAnsi="宋体"/>
                <w:sz w:val="24"/>
              </w:rPr>
            </w:pPr>
          </w:p>
        </w:tc>
        <w:tc>
          <w:tcPr>
            <w:tcW w:w="865" w:type="dxa"/>
            <w:noWrap/>
          </w:tcPr>
          <w:p w14:paraId="4A29D52D">
            <w:pPr>
              <w:spacing w:line="440" w:lineRule="exact"/>
              <w:jc w:val="center"/>
              <w:rPr>
                <w:rFonts w:ascii="宋体" w:hAnsi="宋体"/>
                <w:sz w:val="24"/>
              </w:rPr>
            </w:pPr>
          </w:p>
        </w:tc>
        <w:tc>
          <w:tcPr>
            <w:tcW w:w="1085" w:type="dxa"/>
            <w:noWrap/>
          </w:tcPr>
          <w:p w14:paraId="0ADBE96A">
            <w:pPr>
              <w:spacing w:line="440" w:lineRule="exact"/>
              <w:jc w:val="center"/>
              <w:rPr>
                <w:rFonts w:ascii="宋体" w:hAnsi="宋体"/>
                <w:sz w:val="24"/>
              </w:rPr>
            </w:pPr>
          </w:p>
        </w:tc>
        <w:tc>
          <w:tcPr>
            <w:tcW w:w="874" w:type="dxa"/>
            <w:noWrap/>
          </w:tcPr>
          <w:p w14:paraId="477A41A4">
            <w:pPr>
              <w:spacing w:line="440" w:lineRule="exact"/>
              <w:jc w:val="center"/>
              <w:rPr>
                <w:rFonts w:ascii="宋体" w:hAnsi="宋体"/>
                <w:sz w:val="24"/>
              </w:rPr>
            </w:pPr>
          </w:p>
        </w:tc>
        <w:tc>
          <w:tcPr>
            <w:tcW w:w="1055" w:type="dxa"/>
            <w:noWrap/>
          </w:tcPr>
          <w:p w14:paraId="4D6875E3">
            <w:pPr>
              <w:spacing w:line="440" w:lineRule="exact"/>
              <w:jc w:val="center"/>
              <w:rPr>
                <w:rFonts w:ascii="宋体" w:hAnsi="宋体"/>
                <w:sz w:val="24"/>
              </w:rPr>
            </w:pPr>
          </w:p>
        </w:tc>
        <w:tc>
          <w:tcPr>
            <w:tcW w:w="691" w:type="dxa"/>
            <w:noWrap/>
          </w:tcPr>
          <w:p w14:paraId="45827CFE">
            <w:pPr>
              <w:spacing w:line="440" w:lineRule="exact"/>
              <w:jc w:val="center"/>
              <w:rPr>
                <w:rFonts w:ascii="宋体" w:hAnsi="宋体"/>
                <w:sz w:val="24"/>
              </w:rPr>
            </w:pPr>
          </w:p>
        </w:tc>
      </w:tr>
      <w:tr w14:paraId="6EE4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7DE56CAC">
            <w:pPr>
              <w:spacing w:line="440" w:lineRule="exact"/>
              <w:jc w:val="center"/>
              <w:rPr>
                <w:rFonts w:ascii="宋体" w:hAnsi="宋体"/>
                <w:sz w:val="24"/>
              </w:rPr>
            </w:pPr>
          </w:p>
        </w:tc>
        <w:tc>
          <w:tcPr>
            <w:tcW w:w="780" w:type="dxa"/>
            <w:noWrap/>
          </w:tcPr>
          <w:p w14:paraId="24757D68">
            <w:pPr>
              <w:spacing w:line="440" w:lineRule="exact"/>
              <w:jc w:val="center"/>
              <w:rPr>
                <w:rFonts w:ascii="宋体" w:hAnsi="宋体"/>
                <w:sz w:val="24"/>
              </w:rPr>
            </w:pPr>
          </w:p>
        </w:tc>
        <w:tc>
          <w:tcPr>
            <w:tcW w:w="851" w:type="dxa"/>
            <w:noWrap/>
          </w:tcPr>
          <w:p w14:paraId="5E5E04EA">
            <w:pPr>
              <w:spacing w:line="440" w:lineRule="exact"/>
              <w:jc w:val="center"/>
              <w:rPr>
                <w:rFonts w:ascii="宋体" w:hAnsi="宋体"/>
                <w:sz w:val="24"/>
              </w:rPr>
            </w:pPr>
          </w:p>
        </w:tc>
        <w:tc>
          <w:tcPr>
            <w:tcW w:w="850" w:type="dxa"/>
            <w:noWrap/>
          </w:tcPr>
          <w:p w14:paraId="5BFC3848">
            <w:pPr>
              <w:spacing w:line="440" w:lineRule="exact"/>
              <w:jc w:val="center"/>
              <w:rPr>
                <w:rFonts w:ascii="宋体" w:hAnsi="宋体"/>
                <w:sz w:val="24"/>
              </w:rPr>
            </w:pPr>
          </w:p>
        </w:tc>
        <w:tc>
          <w:tcPr>
            <w:tcW w:w="1028" w:type="dxa"/>
            <w:noWrap/>
          </w:tcPr>
          <w:p w14:paraId="2200CADE">
            <w:pPr>
              <w:spacing w:line="440" w:lineRule="exact"/>
              <w:jc w:val="center"/>
              <w:rPr>
                <w:rFonts w:ascii="宋体" w:hAnsi="宋体"/>
                <w:sz w:val="24"/>
              </w:rPr>
            </w:pPr>
          </w:p>
        </w:tc>
        <w:tc>
          <w:tcPr>
            <w:tcW w:w="865" w:type="dxa"/>
            <w:noWrap/>
          </w:tcPr>
          <w:p w14:paraId="30A496EC">
            <w:pPr>
              <w:spacing w:line="440" w:lineRule="exact"/>
              <w:jc w:val="center"/>
              <w:rPr>
                <w:rFonts w:ascii="宋体" w:hAnsi="宋体"/>
                <w:sz w:val="24"/>
              </w:rPr>
            </w:pPr>
          </w:p>
        </w:tc>
        <w:tc>
          <w:tcPr>
            <w:tcW w:w="1085" w:type="dxa"/>
            <w:noWrap/>
          </w:tcPr>
          <w:p w14:paraId="1B33A29A">
            <w:pPr>
              <w:spacing w:line="440" w:lineRule="exact"/>
              <w:jc w:val="center"/>
              <w:rPr>
                <w:rFonts w:ascii="宋体" w:hAnsi="宋体"/>
                <w:sz w:val="24"/>
              </w:rPr>
            </w:pPr>
          </w:p>
        </w:tc>
        <w:tc>
          <w:tcPr>
            <w:tcW w:w="874" w:type="dxa"/>
            <w:noWrap/>
          </w:tcPr>
          <w:p w14:paraId="1E29FA3E">
            <w:pPr>
              <w:spacing w:line="440" w:lineRule="exact"/>
              <w:jc w:val="center"/>
              <w:rPr>
                <w:rFonts w:ascii="宋体" w:hAnsi="宋体"/>
                <w:sz w:val="24"/>
              </w:rPr>
            </w:pPr>
          </w:p>
        </w:tc>
        <w:tc>
          <w:tcPr>
            <w:tcW w:w="1055" w:type="dxa"/>
            <w:noWrap/>
          </w:tcPr>
          <w:p w14:paraId="6D3D0C45">
            <w:pPr>
              <w:spacing w:line="440" w:lineRule="exact"/>
              <w:jc w:val="center"/>
              <w:rPr>
                <w:rFonts w:ascii="宋体" w:hAnsi="宋体"/>
                <w:sz w:val="24"/>
              </w:rPr>
            </w:pPr>
          </w:p>
        </w:tc>
        <w:tc>
          <w:tcPr>
            <w:tcW w:w="691" w:type="dxa"/>
            <w:noWrap/>
          </w:tcPr>
          <w:p w14:paraId="1D5080DC">
            <w:pPr>
              <w:spacing w:line="440" w:lineRule="exact"/>
              <w:jc w:val="center"/>
              <w:rPr>
                <w:rFonts w:ascii="宋体" w:hAnsi="宋体"/>
                <w:sz w:val="24"/>
              </w:rPr>
            </w:pPr>
          </w:p>
        </w:tc>
      </w:tr>
      <w:tr w14:paraId="0F2A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dxa"/>
            <w:noWrap/>
          </w:tcPr>
          <w:p w14:paraId="00AEAAAB">
            <w:pPr>
              <w:spacing w:line="440" w:lineRule="exact"/>
              <w:jc w:val="center"/>
              <w:rPr>
                <w:rFonts w:ascii="宋体" w:hAnsi="宋体"/>
                <w:sz w:val="24"/>
              </w:rPr>
            </w:pPr>
          </w:p>
        </w:tc>
        <w:tc>
          <w:tcPr>
            <w:tcW w:w="780" w:type="dxa"/>
            <w:noWrap/>
          </w:tcPr>
          <w:p w14:paraId="2E6464CC">
            <w:pPr>
              <w:spacing w:line="440" w:lineRule="exact"/>
              <w:jc w:val="center"/>
              <w:rPr>
                <w:rFonts w:ascii="宋体" w:hAnsi="宋体"/>
                <w:sz w:val="24"/>
              </w:rPr>
            </w:pPr>
          </w:p>
        </w:tc>
        <w:tc>
          <w:tcPr>
            <w:tcW w:w="851" w:type="dxa"/>
            <w:noWrap/>
          </w:tcPr>
          <w:p w14:paraId="05C6E405">
            <w:pPr>
              <w:spacing w:line="440" w:lineRule="exact"/>
              <w:jc w:val="center"/>
              <w:rPr>
                <w:rFonts w:ascii="宋体" w:hAnsi="宋体"/>
                <w:sz w:val="24"/>
              </w:rPr>
            </w:pPr>
          </w:p>
        </w:tc>
        <w:tc>
          <w:tcPr>
            <w:tcW w:w="850" w:type="dxa"/>
            <w:noWrap/>
          </w:tcPr>
          <w:p w14:paraId="464C07F0">
            <w:pPr>
              <w:spacing w:line="440" w:lineRule="exact"/>
              <w:jc w:val="center"/>
              <w:rPr>
                <w:rFonts w:ascii="宋体" w:hAnsi="宋体"/>
                <w:sz w:val="24"/>
              </w:rPr>
            </w:pPr>
          </w:p>
        </w:tc>
        <w:tc>
          <w:tcPr>
            <w:tcW w:w="1028" w:type="dxa"/>
            <w:noWrap/>
          </w:tcPr>
          <w:p w14:paraId="73F8A062">
            <w:pPr>
              <w:spacing w:line="440" w:lineRule="exact"/>
              <w:jc w:val="center"/>
              <w:rPr>
                <w:rFonts w:ascii="宋体" w:hAnsi="宋体"/>
                <w:sz w:val="24"/>
              </w:rPr>
            </w:pPr>
          </w:p>
        </w:tc>
        <w:tc>
          <w:tcPr>
            <w:tcW w:w="865" w:type="dxa"/>
            <w:noWrap/>
          </w:tcPr>
          <w:p w14:paraId="28A9CEA9">
            <w:pPr>
              <w:spacing w:line="440" w:lineRule="exact"/>
              <w:jc w:val="center"/>
              <w:rPr>
                <w:rFonts w:ascii="宋体" w:hAnsi="宋体"/>
                <w:sz w:val="24"/>
              </w:rPr>
            </w:pPr>
          </w:p>
        </w:tc>
        <w:tc>
          <w:tcPr>
            <w:tcW w:w="1085" w:type="dxa"/>
            <w:noWrap/>
          </w:tcPr>
          <w:p w14:paraId="476E521A">
            <w:pPr>
              <w:spacing w:line="440" w:lineRule="exact"/>
              <w:jc w:val="center"/>
              <w:rPr>
                <w:rFonts w:ascii="宋体" w:hAnsi="宋体"/>
                <w:sz w:val="24"/>
              </w:rPr>
            </w:pPr>
          </w:p>
        </w:tc>
        <w:tc>
          <w:tcPr>
            <w:tcW w:w="874" w:type="dxa"/>
            <w:noWrap/>
          </w:tcPr>
          <w:p w14:paraId="30D01E6D">
            <w:pPr>
              <w:spacing w:line="440" w:lineRule="exact"/>
              <w:jc w:val="center"/>
              <w:rPr>
                <w:rFonts w:ascii="宋体" w:hAnsi="宋体"/>
                <w:sz w:val="24"/>
              </w:rPr>
            </w:pPr>
          </w:p>
        </w:tc>
        <w:tc>
          <w:tcPr>
            <w:tcW w:w="1055" w:type="dxa"/>
            <w:noWrap/>
          </w:tcPr>
          <w:p w14:paraId="3DBA0575">
            <w:pPr>
              <w:spacing w:line="440" w:lineRule="exact"/>
              <w:jc w:val="center"/>
              <w:rPr>
                <w:rFonts w:ascii="宋体" w:hAnsi="宋体"/>
                <w:sz w:val="24"/>
              </w:rPr>
            </w:pPr>
          </w:p>
        </w:tc>
        <w:tc>
          <w:tcPr>
            <w:tcW w:w="691" w:type="dxa"/>
            <w:noWrap/>
          </w:tcPr>
          <w:p w14:paraId="25D1233F">
            <w:pPr>
              <w:spacing w:line="440" w:lineRule="exact"/>
              <w:jc w:val="center"/>
              <w:rPr>
                <w:rFonts w:ascii="宋体" w:hAnsi="宋体"/>
                <w:sz w:val="24"/>
              </w:rPr>
            </w:pPr>
          </w:p>
        </w:tc>
      </w:tr>
    </w:tbl>
    <w:p w14:paraId="50A43A6E">
      <w:pPr>
        <w:spacing w:line="440" w:lineRule="exact"/>
        <w:rPr>
          <w:rFonts w:ascii="宋体" w:hAnsi="宋体"/>
          <w:sz w:val="20"/>
          <w:szCs w:val="20"/>
        </w:rPr>
      </w:pPr>
    </w:p>
    <w:p w14:paraId="511B1B2E">
      <w:pPr>
        <w:spacing w:line="440" w:lineRule="exact"/>
        <w:rPr>
          <w:rFonts w:ascii="宋体" w:hAnsi="宋体"/>
          <w:sz w:val="20"/>
          <w:szCs w:val="20"/>
        </w:rPr>
      </w:pPr>
    </w:p>
    <w:p w14:paraId="05FA08D6">
      <w:pPr>
        <w:keepNext/>
        <w:keepLines/>
        <w:spacing w:before="260" w:after="260" w:line="408" w:lineRule="auto"/>
        <w:outlineLvl w:val="2"/>
        <w:rPr>
          <w:rFonts w:ascii="宋体" w:hAnsi="宋体"/>
          <w:b/>
          <w:bCs/>
          <w:kern w:val="0"/>
          <w:sz w:val="32"/>
          <w:szCs w:val="32"/>
        </w:rPr>
      </w:pPr>
      <w:bookmarkStart w:id="490" w:name="_Toc179632819"/>
      <w:bookmarkStart w:id="491" w:name="_Toc296602611"/>
      <w:bookmarkStart w:id="492" w:name="_Toc246997109"/>
      <w:bookmarkStart w:id="493" w:name="_Toc247085884"/>
      <w:bookmarkStart w:id="494" w:name="_Toc246996366"/>
      <w:bookmarkStart w:id="495" w:name="_Toc144974867"/>
      <w:bookmarkStart w:id="496" w:name="_Toc152045799"/>
      <w:bookmarkStart w:id="497" w:name="_Toc77586876"/>
      <w:bookmarkStart w:id="498" w:name="_Toc24720"/>
      <w:bookmarkStart w:id="499" w:name="_Toc171014047"/>
      <w:bookmarkStart w:id="500" w:name="_Toc152042588"/>
      <w:bookmarkStart w:id="501" w:name="_Toc77586974"/>
      <w:r>
        <w:rPr>
          <w:rFonts w:ascii="宋体" w:hAnsi="宋体"/>
          <w:b/>
          <w:bCs/>
          <w:kern w:val="0"/>
          <w:sz w:val="32"/>
          <w:szCs w:val="32"/>
        </w:rPr>
        <w:t>附表</w:t>
      </w:r>
      <w:r>
        <w:rPr>
          <w:rFonts w:hint="eastAsia" w:ascii="宋体" w:hAnsi="宋体"/>
          <w:b/>
          <w:bCs/>
          <w:kern w:val="0"/>
          <w:sz w:val="32"/>
          <w:szCs w:val="32"/>
        </w:rPr>
        <w:t>二</w:t>
      </w:r>
      <w:r>
        <w:rPr>
          <w:rFonts w:ascii="宋体" w:hAnsi="宋体"/>
          <w:b/>
          <w:bCs/>
          <w:kern w:val="0"/>
          <w:sz w:val="32"/>
          <w:szCs w:val="32"/>
        </w:rPr>
        <w:t>：劳动力计划表</w:t>
      </w:r>
      <w:bookmarkEnd w:id="490"/>
      <w:bookmarkEnd w:id="491"/>
      <w:bookmarkEnd w:id="492"/>
      <w:bookmarkEnd w:id="493"/>
      <w:bookmarkEnd w:id="494"/>
      <w:bookmarkEnd w:id="495"/>
      <w:bookmarkEnd w:id="496"/>
      <w:bookmarkEnd w:id="497"/>
      <w:bookmarkEnd w:id="498"/>
      <w:bookmarkEnd w:id="499"/>
      <w:bookmarkEnd w:id="500"/>
      <w:bookmarkEnd w:id="501"/>
    </w:p>
    <w:p w14:paraId="794D7BAD">
      <w:pPr>
        <w:spacing w:line="440" w:lineRule="exact"/>
        <w:ind w:right="200"/>
        <w:jc w:val="right"/>
        <w:rPr>
          <w:rFonts w:ascii="宋体" w:hAnsi="宋体"/>
          <w:sz w:val="24"/>
          <w:szCs w:val="21"/>
        </w:rPr>
      </w:pPr>
      <w:r>
        <w:rPr>
          <w:rFonts w:ascii="宋体" w:hAnsi="宋体"/>
          <w:sz w:val="24"/>
          <w:szCs w:val="21"/>
        </w:rPr>
        <w:t>单位：人</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14:paraId="24A4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ign w:val="center"/>
          </w:tcPr>
          <w:p w14:paraId="2B9BD297">
            <w:pPr>
              <w:spacing w:line="440" w:lineRule="exact"/>
              <w:jc w:val="center"/>
              <w:rPr>
                <w:rFonts w:ascii="宋体" w:hAnsi="宋体"/>
                <w:sz w:val="24"/>
                <w:szCs w:val="21"/>
              </w:rPr>
            </w:pPr>
            <w:r>
              <w:rPr>
                <w:rFonts w:ascii="宋体" w:hAnsi="宋体"/>
                <w:sz w:val="24"/>
                <w:szCs w:val="21"/>
              </w:rPr>
              <w:t>工种</w:t>
            </w:r>
          </w:p>
        </w:tc>
        <w:tc>
          <w:tcPr>
            <w:tcW w:w="7693" w:type="dxa"/>
            <w:gridSpan w:val="7"/>
            <w:noWrap/>
            <w:vAlign w:val="center"/>
          </w:tcPr>
          <w:p w14:paraId="0E1C1207">
            <w:pPr>
              <w:spacing w:line="440" w:lineRule="exact"/>
              <w:jc w:val="center"/>
              <w:rPr>
                <w:rFonts w:ascii="宋体" w:hAnsi="宋体"/>
                <w:sz w:val="24"/>
                <w:szCs w:val="21"/>
              </w:rPr>
            </w:pPr>
            <w:r>
              <w:rPr>
                <w:rFonts w:ascii="宋体" w:hAnsi="宋体"/>
                <w:sz w:val="24"/>
                <w:szCs w:val="21"/>
              </w:rPr>
              <w:t>按工程施工阶段投入劳动力情况</w:t>
            </w:r>
          </w:p>
        </w:tc>
      </w:tr>
      <w:tr w14:paraId="2BEC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ign w:val="center"/>
          </w:tcPr>
          <w:p w14:paraId="1EF1788D">
            <w:pPr>
              <w:spacing w:line="440" w:lineRule="exact"/>
              <w:jc w:val="center"/>
              <w:rPr>
                <w:rFonts w:ascii="宋体" w:hAnsi="宋体"/>
                <w:sz w:val="24"/>
                <w:szCs w:val="21"/>
              </w:rPr>
            </w:pPr>
          </w:p>
        </w:tc>
        <w:tc>
          <w:tcPr>
            <w:tcW w:w="1304" w:type="dxa"/>
            <w:noWrap/>
            <w:vAlign w:val="center"/>
          </w:tcPr>
          <w:p w14:paraId="47E439FE">
            <w:pPr>
              <w:spacing w:line="440" w:lineRule="exact"/>
              <w:jc w:val="center"/>
              <w:rPr>
                <w:rFonts w:ascii="宋体" w:hAnsi="宋体"/>
                <w:sz w:val="24"/>
                <w:szCs w:val="21"/>
              </w:rPr>
            </w:pPr>
          </w:p>
        </w:tc>
        <w:tc>
          <w:tcPr>
            <w:tcW w:w="1065" w:type="dxa"/>
            <w:noWrap/>
            <w:vAlign w:val="center"/>
          </w:tcPr>
          <w:p w14:paraId="0ADDA31A">
            <w:pPr>
              <w:spacing w:line="440" w:lineRule="exact"/>
              <w:jc w:val="center"/>
              <w:rPr>
                <w:rFonts w:ascii="宋体" w:hAnsi="宋体"/>
                <w:sz w:val="24"/>
                <w:szCs w:val="21"/>
              </w:rPr>
            </w:pPr>
          </w:p>
        </w:tc>
        <w:tc>
          <w:tcPr>
            <w:tcW w:w="1065" w:type="dxa"/>
            <w:noWrap/>
            <w:vAlign w:val="center"/>
          </w:tcPr>
          <w:p w14:paraId="7CEEDC73">
            <w:pPr>
              <w:spacing w:line="440" w:lineRule="exact"/>
              <w:jc w:val="center"/>
              <w:rPr>
                <w:rFonts w:ascii="宋体" w:hAnsi="宋体"/>
                <w:sz w:val="24"/>
                <w:szCs w:val="21"/>
              </w:rPr>
            </w:pPr>
          </w:p>
        </w:tc>
        <w:tc>
          <w:tcPr>
            <w:tcW w:w="1065" w:type="dxa"/>
            <w:noWrap/>
            <w:vAlign w:val="center"/>
          </w:tcPr>
          <w:p w14:paraId="243A831C">
            <w:pPr>
              <w:spacing w:line="440" w:lineRule="exact"/>
              <w:jc w:val="center"/>
              <w:rPr>
                <w:rFonts w:ascii="宋体" w:hAnsi="宋体"/>
                <w:sz w:val="24"/>
                <w:szCs w:val="21"/>
              </w:rPr>
            </w:pPr>
          </w:p>
        </w:tc>
        <w:tc>
          <w:tcPr>
            <w:tcW w:w="1065" w:type="dxa"/>
            <w:noWrap/>
            <w:vAlign w:val="center"/>
          </w:tcPr>
          <w:p w14:paraId="3DBAD1A5">
            <w:pPr>
              <w:spacing w:line="440" w:lineRule="exact"/>
              <w:jc w:val="center"/>
              <w:rPr>
                <w:rFonts w:ascii="宋体" w:hAnsi="宋体"/>
                <w:sz w:val="24"/>
                <w:szCs w:val="21"/>
              </w:rPr>
            </w:pPr>
          </w:p>
        </w:tc>
        <w:tc>
          <w:tcPr>
            <w:tcW w:w="1065" w:type="dxa"/>
            <w:noWrap/>
            <w:vAlign w:val="center"/>
          </w:tcPr>
          <w:p w14:paraId="276AA922">
            <w:pPr>
              <w:spacing w:line="440" w:lineRule="exact"/>
              <w:jc w:val="center"/>
              <w:rPr>
                <w:rFonts w:ascii="宋体" w:hAnsi="宋体"/>
                <w:sz w:val="24"/>
                <w:szCs w:val="21"/>
              </w:rPr>
            </w:pPr>
          </w:p>
        </w:tc>
        <w:tc>
          <w:tcPr>
            <w:tcW w:w="1064" w:type="dxa"/>
            <w:noWrap/>
            <w:vAlign w:val="center"/>
          </w:tcPr>
          <w:p w14:paraId="4517EFB1">
            <w:pPr>
              <w:spacing w:line="440" w:lineRule="exact"/>
              <w:jc w:val="center"/>
              <w:rPr>
                <w:rFonts w:ascii="宋体" w:hAnsi="宋体"/>
                <w:sz w:val="24"/>
                <w:szCs w:val="21"/>
              </w:rPr>
            </w:pPr>
          </w:p>
        </w:tc>
      </w:tr>
      <w:tr w14:paraId="3B93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vAlign w:val="center"/>
          </w:tcPr>
          <w:p w14:paraId="46B3A21C">
            <w:pPr>
              <w:spacing w:line="440" w:lineRule="exact"/>
              <w:jc w:val="center"/>
              <w:rPr>
                <w:rFonts w:ascii="宋体" w:hAnsi="宋体"/>
                <w:sz w:val="24"/>
                <w:szCs w:val="21"/>
              </w:rPr>
            </w:pPr>
          </w:p>
        </w:tc>
        <w:tc>
          <w:tcPr>
            <w:tcW w:w="1304" w:type="dxa"/>
            <w:noWrap/>
            <w:vAlign w:val="center"/>
          </w:tcPr>
          <w:p w14:paraId="21A8E845">
            <w:pPr>
              <w:spacing w:line="440" w:lineRule="exact"/>
              <w:jc w:val="center"/>
              <w:rPr>
                <w:rFonts w:ascii="宋体" w:hAnsi="宋体"/>
                <w:sz w:val="24"/>
                <w:szCs w:val="21"/>
              </w:rPr>
            </w:pPr>
          </w:p>
        </w:tc>
        <w:tc>
          <w:tcPr>
            <w:tcW w:w="1065" w:type="dxa"/>
            <w:noWrap/>
            <w:vAlign w:val="center"/>
          </w:tcPr>
          <w:p w14:paraId="09ACAB09">
            <w:pPr>
              <w:spacing w:line="440" w:lineRule="exact"/>
              <w:jc w:val="center"/>
              <w:rPr>
                <w:rFonts w:ascii="宋体" w:hAnsi="宋体"/>
                <w:sz w:val="24"/>
                <w:szCs w:val="21"/>
              </w:rPr>
            </w:pPr>
          </w:p>
        </w:tc>
        <w:tc>
          <w:tcPr>
            <w:tcW w:w="1065" w:type="dxa"/>
            <w:noWrap/>
            <w:vAlign w:val="center"/>
          </w:tcPr>
          <w:p w14:paraId="050397F6">
            <w:pPr>
              <w:spacing w:line="440" w:lineRule="exact"/>
              <w:jc w:val="center"/>
              <w:rPr>
                <w:rFonts w:ascii="宋体" w:hAnsi="宋体"/>
                <w:sz w:val="24"/>
                <w:szCs w:val="21"/>
              </w:rPr>
            </w:pPr>
          </w:p>
        </w:tc>
        <w:tc>
          <w:tcPr>
            <w:tcW w:w="1065" w:type="dxa"/>
            <w:noWrap/>
            <w:vAlign w:val="center"/>
          </w:tcPr>
          <w:p w14:paraId="11FCD5E0">
            <w:pPr>
              <w:spacing w:line="440" w:lineRule="exact"/>
              <w:jc w:val="center"/>
              <w:rPr>
                <w:rFonts w:ascii="宋体" w:hAnsi="宋体"/>
                <w:sz w:val="24"/>
                <w:szCs w:val="21"/>
              </w:rPr>
            </w:pPr>
          </w:p>
        </w:tc>
        <w:tc>
          <w:tcPr>
            <w:tcW w:w="1065" w:type="dxa"/>
            <w:noWrap/>
            <w:vAlign w:val="center"/>
          </w:tcPr>
          <w:p w14:paraId="2D4BAACB">
            <w:pPr>
              <w:spacing w:line="440" w:lineRule="exact"/>
              <w:jc w:val="center"/>
              <w:rPr>
                <w:rFonts w:ascii="宋体" w:hAnsi="宋体"/>
                <w:sz w:val="24"/>
                <w:szCs w:val="21"/>
              </w:rPr>
            </w:pPr>
          </w:p>
        </w:tc>
        <w:tc>
          <w:tcPr>
            <w:tcW w:w="1065" w:type="dxa"/>
            <w:noWrap/>
            <w:vAlign w:val="center"/>
          </w:tcPr>
          <w:p w14:paraId="14DCE413">
            <w:pPr>
              <w:spacing w:line="440" w:lineRule="exact"/>
              <w:jc w:val="center"/>
              <w:rPr>
                <w:rFonts w:ascii="宋体" w:hAnsi="宋体"/>
                <w:sz w:val="24"/>
                <w:szCs w:val="21"/>
              </w:rPr>
            </w:pPr>
          </w:p>
        </w:tc>
        <w:tc>
          <w:tcPr>
            <w:tcW w:w="1064" w:type="dxa"/>
            <w:noWrap/>
            <w:vAlign w:val="center"/>
          </w:tcPr>
          <w:p w14:paraId="3E6D2968">
            <w:pPr>
              <w:spacing w:line="440" w:lineRule="exact"/>
              <w:jc w:val="center"/>
              <w:rPr>
                <w:rFonts w:ascii="宋体" w:hAnsi="宋体"/>
                <w:sz w:val="24"/>
                <w:szCs w:val="21"/>
              </w:rPr>
            </w:pPr>
          </w:p>
        </w:tc>
      </w:tr>
      <w:tr w14:paraId="6C5B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12BBCBC7">
            <w:pPr>
              <w:spacing w:line="440" w:lineRule="exact"/>
              <w:jc w:val="center"/>
              <w:rPr>
                <w:rFonts w:ascii="宋体" w:hAnsi="宋体"/>
                <w:szCs w:val="21"/>
              </w:rPr>
            </w:pPr>
          </w:p>
        </w:tc>
        <w:tc>
          <w:tcPr>
            <w:tcW w:w="1304" w:type="dxa"/>
            <w:noWrap/>
          </w:tcPr>
          <w:p w14:paraId="4858BC93">
            <w:pPr>
              <w:spacing w:line="440" w:lineRule="exact"/>
              <w:jc w:val="center"/>
              <w:rPr>
                <w:rFonts w:ascii="宋体" w:hAnsi="宋体"/>
                <w:szCs w:val="21"/>
              </w:rPr>
            </w:pPr>
          </w:p>
        </w:tc>
        <w:tc>
          <w:tcPr>
            <w:tcW w:w="1065" w:type="dxa"/>
            <w:noWrap/>
          </w:tcPr>
          <w:p w14:paraId="50D61C53">
            <w:pPr>
              <w:spacing w:line="440" w:lineRule="exact"/>
              <w:jc w:val="center"/>
              <w:rPr>
                <w:rFonts w:ascii="宋体" w:hAnsi="宋体"/>
                <w:szCs w:val="21"/>
              </w:rPr>
            </w:pPr>
          </w:p>
        </w:tc>
        <w:tc>
          <w:tcPr>
            <w:tcW w:w="1065" w:type="dxa"/>
            <w:noWrap/>
          </w:tcPr>
          <w:p w14:paraId="5D680A23">
            <w:pPr>
              <w:spacing w:line="440" w:lineRule="exact"/>
              <w:jc w:val="center"/>
              <w:rPr>
                <w:rFonts w:ascii="宋体" w:hAnsi="宋体"/>
                <w:szCs w:val="21"/>
              </w:rPr>
            </w:pPr>
          </w:p>
        </w:tc>
        <w:tc>
          <w:tcPr>
            <w:tcW w:w="1065" w:type="dxa"/>
            <w:noWrap/>
          </w:tcPr>
          <w:p w14:paraId="12624BCE">
            <w:pPr>
              <w:spacing w:line="440" w:lineRule="exact"/>
              <w:jc w:val="center"/>
              <w:rPr>
                <w:rFonts w:ascii="宋体" w:hAnsi="宋体"/>
                <w:szCs w:val="21"/>
              </w:rPr>
            </w:pPr>
          </w:p>
        </w:tc>
        <w:tc>
          <w:tcPr>
            <w:tcW w:w="1065" w:type="dxa"/>
            <w:noWrap/>
          </w:tcPr>
          <w:p w14:paraId="7217C7CF">
            <w:pPr>
              <w:spacing w:line="440" w:lineRule="exact"/>
              <w:jc w:val="center"/>
              <w:rPr>
                <w:rFonts w:ascii="宋体" w:hAnsi="宋体"/>
                <w:szCs w:val="21"/>
              </w:rPr>
            </w:pPr>
          </w:p>
        </w:tc>
        <w:tc>
          <w:tcPr>
            <w:tcW w:w="1065" w:type="dxa"/>
            <w:noWrap/>
          </w:tcPr>
          <w:p w14:paraId="388B79A8">
            <w:pPr>
              <w:spacing w:line="440" w:lineRule="exact"/>
              <w:jc w:val="center"/>
              <w:rPr>
                <w:rFonts w:ascii="宋体" w:hAnsi="宋体"/>
                <w:szCs w:val="21"/>
              </w:rPr>
            </w:pPr>
          </w:p>
        </w:tc>
        <w:tc>
          <w:tcPr>
            <w:tcW w:w="1064" w:type="dxa"/>
            <w:noWrap/>
          </w:tcPr>
          <w:p w14:paraId="6542375C">
            <w:pPr>
              <w:spacing w:line="440" w:lineRule="exact"/>
              <w:jc w:val="center"/>
              <w:rPr>
                <w:rFonts w:ascii="宋体" w:hAnsi="宋体"/>
                <w:szCs w:val="21"/>
              </w:rPr>
            </w:pPr>
          </w:p>
        </w:tc>
      </w:tr>
      <w:tr w14:paraId="7034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00C5AD2E">
            <w:pPr>
              <w:spacing w:line="440" w:lineRule="exact"/>
              <w:jc w:val="center"/>
              <w:rPr>
                <w:rFonts w:ascii="宋体" w:hAnsi="宋体"/>
                <w:szCs w:val="21"/>
              </w:rPr>
            </w:pPr>
          </w:p>
        </w:tc>
        <w:tc>
          <w:tcPr>
            <w:tcW w:w="1304" w:type="dxa"/>
            <w:noWrap/>
          </w:tcPr>
          <w:p w14:paraId="56E649AE">
            <w:pPr>
              <w:spacing w:line="440" w:lineRule="exact"/>
              <w:jc w:val="center"/>
              <w:rPr>
                <w:rFonts w:ascii="宋体" w:hAnsi="宋体"/>
                <w:szCs w:val="21"/>
              </w:rPr>
            </w:pPr>
          </w:p>
        </w:tc>
        <w:tc>
          <w:tcPr>
            <w:tcW w:w="1065" w:type="dxa"/>
            <w:noWrap/>
          </w:tcPr>
          <w:p w14:paraId="233CABCC">
            <w:pPr>
              <w:spacing w:line="440" w:lineRule="exact"/>
              <w:jc w:val="center"/>
              <w:rPr>
                <w:rFonts w:ascii="宋体" w:hAnsi="宋体"/>
                <w:szCs w:val="21"/>
              </w:rPr>
            </w:pPr>
          </w:p>
        </w:tc>
        <w:tc>
          <w:tcPr>
            <w:tcW w:w="1065" w:type="dxa"/>
            <w:noWrap/>
          </w:tcPr>
          <w:p w14:paraId="4E735371">
            <w:pPr>
              <w:spacing w:line="440" w:lineRule="exact"/>
              <w:jc w:val="center"/>
              <w:rPr>
                <w:rFonts w:ascii="宋体" w:hAnsi="宋体"/>
                <w:szCs w:val="21"/>
              </w:rPr>
            </w:pPr>
          </w:p>
        </w:tc>
        <w:tc>
          <w:tcPr>
            <w:tcW w:w="1065" w:type="dxa"/>
            <w:noWrap/>
          </w:tcPr>
          <w:p w14:paraId="75898A6D">
            <w:pPr>
              <w:spacing w:line="440" w:lineRule="exact"/>
              <w:jc w:val="center"/>
              <w:rPr>
                <w:rFonts w:ascii="宋体" w:hAnsi="宋体"/>
                <w:szCs w:val="21"/>
              </w:rPr>
            </w:pPr>
          </w:p>
        </w:tc>
        <w:tc>
          <w:tcPr>
            <w:tcW w:w="1065" w:type="dxa"/>
            <w:noWrap/>
          </w:tcPr>
          <w:p w14:paraId="6F4C0427">
            <w:pPr>
              <w:spacing w:line="440" w:lineRule="exact"/>
              <w:jc w:val="center"/>
              <w:rPr>
                <w:rFonts w:ascii="宋体" w:hAnsi="宋体"/>
                <w:szCs w:val="21"/>
              </w:rPr>
            </w:pPr>
          </w:p>
        </w:tc>
        <w:tc>
          <w:tcPr>
            <w:tcW w:w="1065" w:type="dxa"/>
            <w:noWrap/>
          </w:tcPr>
          <w:p w14:paraId="6F63C75F">
            <w:pPr>
              <w:spacing w:line="440" w:lineRule="exact"/>
              <w:jc w:val="center"/>
              <w:rPr>
                <w:rFonts w:ascii="宋体" w:hAnsi="宋体"/>
                <w:szCs w:val="21"/>
              </w:rPr>
            </w:pPr>
          </w:p>
        </w:tc>
        <w:tc>
          <w:tcPr>
            <w:tcW w:w="1064" w:type="dxa"/>
            <w:noWrap/>
          </w:tcPr>
          <w:p w14:paraId="22F2FC69">
            <w:pPr>
              <w:spacing w:line="440" w:lineRule="exact"/>
              <w:jc w:val="center"/>
              <w:rPr>
                <w:rFonts w:ascii="宋体" w:hAnsi="宋体"/>
                <w:szCs w:val="21"/>
              </w:rPr>
            </w:pPr>
          </w:p>
        </w:tc>
      </w:tr>
      <w:tr w14:paraId="017E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436CCE14">
            <w:pPr>
              <w:spacing w:line="440" w:lineRule="exact"/>
              <w:jc w:val="center"/>
              <w:rPr>
                <w:rFonts w:ascii="宋体" w:hAnsi="宋体"/>
                <w:szCs w:val="21"/>
              </w:rPr>
            </w:pPr>
          </w:p>
        </w:tc>
        <w:tc>
          <w:tcPr>
            <w:tcW w:w="1304" w:type="dxa"/>
            <w:noWrap/>
          </w:tcPr>
          <w:p w14:paraId="076F92E5">
            <w:pPr>
              <w:spacing w:line="440" w:lineRule="exact"/>
              <w:jc w:val="center"/>
              <w:rPr>
                <w:rFonts w:ascii="宋体" w:hAnsi="宋体"/>
                <w:szCs w:val="21"/>
              </w:rPr>
            </w:pPr>
          </w:p>
        </w:tc>
        <w:tc>
          <w:tcPr>
            <w:tcW w:w="1065" w:type="dxa"/>
            <w:noWrap/>
          </w:tcPr>
          <w:p w14:paraId="760B6508">
            <w:pPr>
              <w:spacing w:line="440" w:lineRule="exact"/>
              <w:jc w:val="center"/>
              <w:rPr>
                <w:rFonts w:ascii="宋体" w:hAnsi="宋体"/>
                <w:szCs w:val="21"/>
              </w:rPr>
            </w:pPr>
          </w:p>
        </w:tc>
        <w:tc>
          <w:tcPr>
            <w:tcW w:w="1065" w:type="dxa"/>
            <w:noWrap/>
          </w:tcPr>
          <w:p w14:paraId="31EA85C4">
            <w:pPr>
              <w:spacing w:line="440" w:lineRule="exact"/>
              <w:jc w:val="center"/>
              <w:rPr>
                <w:rFonts w:ascii="宋体" w:hAnsi="宋体"/>
                <w:szCs w:val="21"/>
              </w:rPr>
            </w:pPr>
          </w:p>
        </w:tc>
        <w:tc>
          <w:tcPr>
            <w:tcW w:w="1065" w:type="dxa"/>
            <w:noWrap/>
          </w:tcPr>
          <w:p w14:paraId="64BD0248">
            <w:pPr>
              <w:spacing w:line="440" w:lineRule="exact"/>
              <w:jc w:val="center"/>
              <w:rPr>
                <w:rFonts w:ascii="宋体" w:hAnsi="宋体"/>
                <w:szCs w:val="21"/>
              </w:rPr>
            </w:pPr>
          </w:p>
        </w:tc>
        <w:tc>
          <w:tcPr>
            <w:tcW w:w="1065" w:type="dxa"/>
            <w:noWrap/>
          </w:tcPr>
          <w:p w14:paraId="7C4090C7">
            <w:pPr>
              <w:spacing w:line="440" w:lineRule="exact"/>
              <w:jc w:val="center"/>
              <w:rPr>
                <w:rFonts w:ascii="宋体" w:hAnsi="宋体"/>
                <w:szCs w:val="21"/>
              </w:rPr>
            </w:pPr>
          </w:p>
        </w:tc>
        <w:tc>
          <w:tcPr>
            <w:tcW w:w="1065" w:type="dxa"/>
            <w:noWrap/>
          </w:tcPr>
          <w:p w14:paraId="62786637">
            <w:pPr>
              <w:spacing w:line="440" w:lineRule="exact"/>
              <w:jc w:val="center"/>
              <w:rPr>
                <w:rFonts w:ascii="宋体" w:hAnsi="宋体"/>
                <w:szCs w:val="21"/>
              </w:rPr>
            </w:pPr>
          </w:p>
        </w:tc>
        <w:tc>
          <w:tcPr>
            <w:tcW w:w="1064" w:type="dxa"/>
            <w:noWrap/>
          </w:tcPr>
          <w:p w14:paraId="18082980">
            <w:pPr>
              <w:spacing w:line="440" w:lineRule="exact"/>
              <w:jc w:val="center"/>
              <w:rPr>
                <w:rFonts w:ascii="宋体" w:hAnsi="宋体"/>
                <w:szCs w:val="21"/>
              </w:rPr>
            </w:pPr>
          </w:p>
        </w:tc>
      </w:tr>
      <w:tr w14:paraId="7B1D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05B2E2A3">
            <w:pPr>
              <w:spacing w:line="440" w:lineRule="exact"/>
              <w:jc w:val="center"/>
              <w:rPr>
                <w:rFonts w:ascii="宋体" w:hAnsi="宋体"/>
                <w:szCs w:val="21"/>
              </w:rPr>
            </w:pPr>
          </w:p>
        </w:tc>
        <w:tc>
          <w:tcPr>
            <w:tcW w:w="1304" w:type="dxa"/>
            <w:noWrap/>
          </w:tcPr>
          <w:p w14:paraId="4E44A71B">
            <w:pPr>
              <w:spacing w:line="440" w:lineRule="exact"/>
              <w:jc w:val="center"/>
              <w:rPr>
                <w:rFonts w:ascii="宋体" w:hAnsi="宋体"/>
                <w:szCs w:val="21"/>
              </w:rPr>
            </w:pPr>
          </w:p>
        </w:tc>
        <w:tc>
          <w:tcPr>
            <w:tcW w:w="1065" w:type="dxa"/>
            <w:noWrap/>
          </w:tcPr>
          <w:p w14:paraId="462984AD">
            <w:pPr>
              <w:spacing w:line="440" w:lineRule="exact"/>
              <w:jc w:val="center"/>
              <w:rPr>
                <w:rFonts w:ascii="宋体" w:hAnsi="宋体"/>
                <w:szCs w:val="21"/>
              </w:rPr>
            </w:pPr>
          </w:p>
        </w:tc>
        <w:tc>
          <w:tcPr>
            <w:tcW w:w="1065" w:type="dxa"/>
            <w:noWrap/>
          </w:tcPr>
          <w:p w14:paraId="54A68C81">
            <w:pPr>
              <w:spacing w:line="440" w:lineRule="exact"/>
              <w:jc w:val="center"/>
              <w:rPr>
                <w:rFonts w:ascii="宋体" w:hAnsi="宋体"/>
                <w:szCs w:val="21"/>
              </w:rPr>
            </w:pPr>
          </w:p>
        </w:tc>
        <w:tc>
          <w:tcPr>
            <w:tcW w:w="1065" w:type="dxa"/>
            <w:noWrap/>
          </w:tcPr>
          <w:p w14:paraId="1E56EFBD">
            <w:pPr>
              <w:spacing w:line="440" w:lineRule="exact"/>
              <w:jc w:val="center"/>
              <w:rPr>
                <w:rFonts w:ascii="宋体" w:hAnsi="宋体"/>
                <w:szCs w:val="21"/>
              </w:rPr>
            </w:pPr>
          </w:p>
        </w:tc>
        <w:tc>
          <w:tcPr>
            <w:tcW w:w="1065" w:type="dxa"/>
            <w:noWrap/>
          </w:tcPr>
          <w:p w14:paraId="33FAD703">
            <w:pPr>
              <w:spacing w:line="440" w:lineRule="exact"/>
              <w:jc w:val="center"/>
              <w:rPr>
                <w:rFonts w:ascii="宋体" w:hAnsi="宋体"/>
                <w:szCs w:val="21"/>
              </w:rPr>
            </w:pPr>
          </w:p>
        </w:tc>
        <w:tc>
          <w:tcPr>
            <w:tcW w:w="1065" w:type="dxa"/>
            <w:noWrap/>
          </w:tcPr>
          <w:p w14:paraId="12CE1328">
            <w:pPr>
              <w:spacing w:line="440" w:lineRule="exact"/>
              <w:jc w:val="center"/>
              <w:rPr>
                <w:rFonts w:ascii="宋体" w:hAnsi="宋体"/>
                <w:szCs w:val="21"/>
              </w:rPr>
            </w:pPr>
          </w:p>
        </w:tc>
        <w:tc>
          <w:tcPr>
            <w:tcW w:w="1064" w:type="dxa"/>
            <w:noWrap/>
          </w:tcPr>
          <w:p w14:paraId="0246F4BE">
            <w:pPr>
              <w:spacing w:line="440" w:lineRule="exact"/>
              <w:jc w:val="center"/>
              <w:rPr>
                <w:rFonts w:ascii="宋体" w:hAnsi="宋体"/>
                <w:szCs w:val="21"/>
              </w:rPr>
            </w:pPr>
          </w:p>
        </w:tc>
      </w:tr>
      <w:tr w14:paraId="22A8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35755727">
            <w:pPr>
              <w:spacing w:line="440" w:lineRule="exact"/>
              <w:jc w:val="center"/>
              <w:rPr>
                <w:rFonts w:ascii="宋体" w:hAnsi="宋体"/>
                <w:szCs w:val="21"/>
              </w:rPr>
            </w:pPr>
          </w:p>
        </w:tc>
        <w:tc>
          <w:tcPr>
            <w:tcW w:w="1304" w:type="dxa"/>
            <w:noWrap/>
          </w:tcPr>
          <w:p w14:paraId="4B6C8849">
            <w:pPr>
              <w:spacing w:line="440" w:lineRule="exact"/>
              <w:jc w:val="center"/>
              <w:rPr>
                <w:rFonts w:ascii="宋体" w:hAnsi="宋体"/>
                <w:szCs w:val="21"/>
              </w:rPr>
            </w:pPr>
          </w:p>
        </w:tc>
        <w:tc>
          <w:tcPr>
            <w:tcW w:w="1065" w:type="dxa"/>
            <w:noWrap/>
          </w:tcPr>
          <w:p w14:paraId="006D306E">
            <w:pPr>
              <w:spacing w:line="440" w:lineRule="exact"/>
              <w:jc w:val="center"/>
              <w:rPr>
                <w:rFonts w:ascii="宋体" w:hAnsi="宋体"/>
                <w:szCs w:val="21"/>
              </w:rPr>
            </w:pPr>
          </w:p>
        </w:tc>
        <w:tc>
          <w:tcPr>
            <w:tcW w:w="1065" w:type="dxa"/>
            <w:noWrap/>
          </w:tcPr>
          <w:p w14:paraId="6A8079A2">
            <w:pPr>
              <w:spacing w:line="440" w:lineRule="exact"/>
              <w:jc w:val="center"/>
              <w:rPr>
                <w:rFonts w:ascii="宋体" w:hAnsi="宋体"/>
                <w:szCs w:val="21"/>
              </w:rPr>
            </w:pPr>
          </w:p>
        </w:tc>
        <w:tc>
          <w:tcPr>
            <w:tcW w:w="1065" w:type="dxa"/>
            <w:noWrap/>
          </w:tcPr>
          <w:p w14:paraId="14BDC5AB">
            <w:pPr>
              <w:spacing w:line="440" w:lineRule="exact"/>
              <w:jc w:val="center"/>
              <w:rPr>
                <w:rFonts w:ascii="宋体" w:hAnsi="宋体"/>
                <w:szCs w:val="21"/>
              </w:rPr>
            </w:pPr>
          </w:p>
        </w:tc>
        <w:tc>
          <w:tcPr>
            <w:tcW w:w="1065" w:type="dxa"/>
            <w:noWrap/>
          </w:tcPr>
          <w:p w14:paraId="6584ADAD">
            <w:pPr>
              <w:spacing w:line="440" w:lineRule="exact"/>
              <w:jc w:val="center"/>
              <w:rPr>
                <w:rFonts w:ascii="宋体" w:hAnsi="宋体"/>
                <w:szCs w:val="21"/>
              </w:rPr>
            </w:pPr>
          </w:p>
        </w:tc>
        <w:tc>
          <w:tcPr>
            <w:tcW w:w="1065" w:type="dxa"/>
            <w:noWrap/>
          </w:tcPr>
          <w:p w14:paraId="28849303">
            <w:pPr>
              <w:spacing w:line="440" w:lineRule="exact"/>
              <w:jc w:val="center"/>
              <w:rPr>
                <w:rFonts w:ascii="宋体" w:hAnsi="宋体"/>
                <w:szCs w:val="21"/>
              </w:rPr>
            </w:pPr>
          </w:p>
        </w:tc>
        <w:tc>
          <w:tcPr>
            <w:tcW w:w="1064" w:type="dxa"/>
            <w:noWrap/>
          </w:tcPr>
          <w:p w14:paraId="6D207F14">
            <w:pPr>
              <w:spacing w:line="440" w:lineRule="exact"/>
              <w:jc w:val="center"/>
              <w:rPr>
                <w:rFonts w:ascii="宋体" w:hAnsi="宋体"/>
                <w:szCs w:val="21"/>
              </w:rPr>
            </w:pPr>
          </w:p>
        </w:tc>
      </w:tr>
      <w:tr w14:paraId="6286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70C11B88">
            <w:pPr>
              <w:spacing w:line="440" w:lineRule="exact"/>
              <w:jc w:val="center"/>
              <w:rPr>
                <w:rFonts w:ascii="宋体" w:hAnsi="宋体"/>
                <w:szCs w:val="21"/>
              </w:rPr>
            </w:pPr>
          </w:p>
        </w:tc>
        <w:tc>
          <w:tcPr>
            <w:tcW w:w="1304" w:type="dxa"/>
            <w:noWrap/>
          </w:tcPr>
          <w:p w14:paraId="6C1FD56F">
            <w:pPr>
              <w:spacing w:line="440" w:lineRule="exact"/>
              <w:jc w:val="center"/>
              <w:rPr>
                <w:rFonts w:ascii="宋体" w:hAnsi="宋体"/>
                <w:szCs w:val="21"/>
              </w:rPr>
            </w:pPr>
          </w:p>
        </w:tc>
        <w:tc>
          <w:tcPr>
            <w:tcW w:w="1065" w:type="dxa"/>
            <w:noWrap/>
          </w:tcPr>
          <w:p w14:paraId="2A6A916E">
            <w:pPr>
              <w:spacing w:line="440" w:lineRule="exact"/>
              <w:jc w:val="center"/>
              <w:rPr>
                <w:rFonts w:ascii="宋体" w:hAnsi="宋体"/>
                <w:szCs w:val="21"/>
              </w:rPr>
            </w:pPr>
          </w:p>
        </w:tc>
        <w:tc>
          <w:tcPr>
            <w:tcW w:w="1065" w:type="dxa"/>
            <w:noWrap/>
          </w:tcPr>
          <w:p w14:paraId="4A192C9A">
            <w:pPr>
              <w:spacing w:line="440" w:lineRule="exact"/>
              <w:jc w:val="center"/>
              <w:rPr>
                <w:rFonts w:ascii="宋体" w:hAnsi="宋体"/>
                <w:szCs w:val="21"/>
              </w:rPr>
            </w:pPr>
          </w:p>
        </w:tc>
        <w:tc>
          <w:tcPr>
            <w:tcW w:w="1065" w:type="dxa"/>
            <w:noWrap/>
          </w:tcPr>
          <w:p w14:paraId="5469D37B">
            <w:pPr>
              <w:spacing w:line="440" w:lineRule="exact"/>
              <w:jc w:val="center"/>
              <w:rPr>
                <w:rFonts w:ascii="宋体" w:hAnsi="宋体"/>
                <w:szCs w:val="21"/>
              </w:rPr>
            </w:pPr>
          </w:p>
        </w:tc>
        <w:tc>
          <w:tcPr>
            <w:tcW w:w="1065" w:type="dxa"/>
            <w:noWrap/>
          </w:tcPr>
          <w:p w14:paraId="56489D0C">
            <w:pPr>
              <w:spacing w:line="440" w:lineRule="exact"/>
              <w:jc w:val="center"/>
              <w:rPr>
                <w:rFonts w:ascii="宋体" w:hAnsi="宋体"/>
                <w:szCs w:val="21"/>
              </w:rPr>
            </w:pPr>
          </w:p>
        </w:tc>
        <w:tc>
          <w:tcPr>
            <w:tcW w:w="1065" w:type="dxa"/>
            <w:noWrap/>
          </w:tcPr>
          <w:p w14:paraId="2576E9F3">
            <w:pPr>
              <w:spacing w:line="440" w:lineRule="exact"/>
              <w:jc w:val="center"/>
              <w:rPr>
                <w:rFonts w:ascii="宋体" w:hAnsi="宋体"/>
                <w:szCs w:val="21"/>
              </w:rPr>
            </w:pPr>
          </w:p>
        </w:tc>
        <w:tc>
          <w:tcPr>
            <w:tcW w:w="1064" w:type="dxa"/>
            <w:noWrap/>
          </w:tcPr>
          <w:p w14:paraId="5D18F04C">
            <w:pPr>
              <w:spacing w:line="440" w:lineRule="exact"/>
              <w:jc w:val="center"/>
              <w:rPr>
                <w:rFonts w:ascii="宋体" w:hAnsi="宋体"/>
                <w:szCs w:val="21"/>
              </w:rPr>
            </w:pPr>
          </w:p>
        </w:tc>
      </w:tr>
      <w:tr w14:paraId="0507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2ED59B1E">
            <w:pPr>
              <w:spacing w:line="440" w:lineRule="exact"/>
              <w:jc w:val="center"/>
              <w:rPr>
                <w:rFonts w:ascii="宋体" w:hAnsi="宋体"/>
                <w:szCs w:val="21"/>
              </w:rPr>
            </w:pPr>
          </w:p>
        </w:tc>
        <w:tc>
          <w:tcPr>
            <w:tcW w:w="1304" w:type="dxa"/>
            <w:noWrap/>
          </w:tcPr>
          <w:p w14:paraId="1F659345">
            <w:pPr>
              <w:spacing w:line="440" w:lineRule="exact"/>
              <w:jc w:val="center"/>
              <w:rPr>
                <w:rFonts w:ascii="宋体" w:hAnsi="宋体"/>
                <w:szCs w:val="21"/>
              </w:rPr>
            </w:pPr>
          </w:p>
        </w:tc>
        <w:tc>
          <w:tcPr>
            <w:tcW w:w="1065" w:type="dxa"/>
            <w:noWrap/>
          </w:tcPr>
          <w:p w14:paraId="1BE2F85E">
            <w:pPr>
              <w:spacing w:line="440" w:lineRule="exact"/>
              <w:jc w:val="center"/>
              <w:rPr>
                <w:rFonts w:ascii="宋体" w:hAnsi="宋体"/>
                <w:szCs w:val="21"/>
              </w:rPr>
            </w:pPr>
          </w:p>
        </w:tc>
        <w:tc>
          <w:tcPr>
            <w:tcW w:w="1065" w:type="dxa"/>
            <w:noWrap/>
          </w:tcPr>
          <w:p w14:paraId="24A30365">
            <w:pPr>
              <w:spacing w:line="440" w:lineRule="exact"/>
              <w:jc w:val="center"/>
              <w:rPr>
                <w:rFonts w:ascii="宋体" w:hAnsi="宋体"/>
                <w:szCs w:val="21"/>
              </w:rPr>
            </w:pPr>
          </w:p>
        </w:tc>
        <w:tc>
          <w:tcPr>
            <w:tcW w:w="1065" w:type="dxa"/>
            <w:noWrap/>
          </w:tcPr>
          <w:p w14:paraId="5C8F823D">
            <w:pPr>
              <w:spacing w:line="440" w:lineRule="exact"/>
              <w:jc w:val="center"/>
              <w:rPr>
                <w:rFonts w:ascii="宋体" w:hAnsi="宋体"/>
                <w:szCs w:val="21"/>
              </w:rPr>
            </w:pPr>
          </w:p>
        </w:tc>
        <w:tc>
          <w:tcPr>
            <w:tcW w:w="1065" w:type="dxa"/>
            <w:noWrap/>
          </w:tcPr>
          <w:p w14:paraId="2F9A10E6">
            <w:pPr>
              <w:spacing w:line="440" w:lineRule="exact"/>
              <w:jc w:val="center"/>
              <w:rPr>
                <w:rFonts w:ascii="宋体" w:hAnsi="宋体"/>
                <w:szCs w:val="21"/>
              </w:rPr>
            </w:pPr>
          </w:p>
        </w:tc>
        <w:tc>
          <w:tcPr>
            <w:tcW w:w="1065" w:type="dxa"/>
            <w:noWrap/>
          </w:tcPr>
          <w:p w14:paraId="2EDB41FB">
            <w:pPr>
              <w:spacing w:line="440" w:lineRule="exact"/>
              <w:jc w:val="center"/>
              <w:rPr>
                <w:rFonts w:ascii="宋体" w:hAnsi="宋体"/>
                <w:szCs w:val="21"/>
              </w:rPr>
            </w:pPr>
          </w:p>
        </w:tc>
        <w:tc>
          <w:tcPr>
            <w:tcW w:w="1064" w:type="dxa"/>
            <w:noWrap/>
          </w:tcPr>
          <w:p w14:paraId="46405D37">
            <w:pPr>
              <w:spacing w:line="440" w:lineRule="exact"/>
              <w:jc w:val="center"/>
              <w:rPr>
                <w:rFonts w:ascii="宋体" w:hAnsi="宋体"/>
                <w:szCs w:val="21"/>
              </w:rPr>
            </w:pPr>
          </w:p>
        </w:tc>
      </w:tr>
      <w:tr w14:paraId="17E8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1E92646C">
            <w:pPr>
              <w:spacing w:line="440" w:lineRule="exact"/>
              <w:jc w:val="center"/>
              <w:rPr>
                <w:rFonts w:ascii="宋体" w:hAnsi="宋体"/>
                <w:szCs w:val="21"/>
              </w:rPr>
            </w:pPr>
          </w:p>
        </w:tc>
        <w:tc>
          <w:tcPr>
            <w:tcW w:w="1304" w:type="dxa"/>
            <w:noWrap/>
          </w:tcPr>
          <w:p w14:paraId="0DE2FCBE">
            <w:pPr>
              <w:spacing w:line="440" w:lineRule="exact"/>
              <w:jc w:val="center"/>
              <w:rPr>
                <w:rFonts w:ascii="宋体" w:hAnsi="宋体"/>
                <w:szCs w:val="21"/>
              </w:rPr>
            </w:pPr>
          </w:p>
        </w:tc>
        <w:tc>
          <w:tcPr>
            <w:tcW w:w="1065" w:type="dxa"/>
            <w:noWrap/>
          </w:tcPr>
          <w:p w14:paraId="2DCD5584">
            <w:pPr>
              <w:spacing w:line="440" w:lineRule="exact"/>
              <w:jc w:val="center"/>
              <w:rPr>
                <w:rFonts w:ascii="宋体" w:hAnsi="宋体"/>
                <w:szCs w:val="21"/>
              </w:rPr>
            </w:pPr>
          </w:p>
        </w:tc>
        <w:tc>
          <w:tcPr>
            <w:tcW w:w="1065" w:type="dxa"/>
            <w:noWrap/>
          </w:tcPr>
          <w:p w14:paraId="588FA0F3">
            <w:pPr>
              <w:spacing w:line="440" w:lineRule="exact"/>
              <w:jc w:val="center"/>
              <w:rPr>
                <w:rFonts w:ascii="宋体" w:hAnsi="宋体"/>
                <w:szCs w:val="21"/>
              </w:rPr>
            </w:pPr>
          </w:p>
        </w:tc>
        <w:tc>
          <w:tcPr>
            <w:tcW w:w="1065" w:type="dxa"/>
            <w:noWrap/>
          </w:tcPr>
          <w:p w14:paraId="1407E722">
            <w:pPr>
              <w:spacing w:line="440" w:lineRule="exact"/>
              <w:jc w:val="center"/>
              <w:rPr>
                <w:rFonts w:ascii="宋体" w:hAnsi="宋体"/>
                <w:szCs w:val="21"/>
              </w:rPr>
            </w:pPr>
          </w:p>
        </w:tc>
        <w:tc>
          <w:tcPr>
            <w:tcW w:w="1065" w:type="dxa"/>
            <w:noWrap/>
          </w:tcPr>
          <w:p w14:paraId="11251E67">
            <w:pPr>
              <w:spacing w:line="440" w:lineRule="exact"/>
              <w:jc w:val="center"/>
              <w:rPr>
                <w:rFonts w:ascii="宋体" w:hAnsi="宋体"/>
                <w:szCs w:val="21"/>
              </w:rPr>
            </w:pPr>
          </w:p>
        </w:tc>
        <w:tc>
          <w:tcPr>
            <w:tcW w:w="1065" w:type="dxa"/>
            <w:noWrap/>
          </w:tcPr>
          <w:p w14:paraId="537884D9">
            <w:pPr>
              <w:spacing w:line="440" w:lineRule="exact"/>
              <w:jc w:val="center"/>
              <w:rPr>
                <w:rFonts w:ascii="宋体" w:hAnsi="宋体"/>
                <w:szCs w:val="21"/>
              </w:rPr>
            </w:pPr>
          </w:p>
        </w:tc>
        <w:tc>
          <w:tcPr>
            <w:tcW w:w="1064" w:type="dxa"/>
            <w:noWrap/>
          </w:tcPr>
          <w:p w14:paraId="30064F40">
            <w:pPr>
              <w:spacing w:line="440" w:lineRule="exact"/>
              <w:jc w:val="center"/>
              <w:rPr>
                <w:rFonts w:ascii="宋体" w:hAnsi="宋体"/>
                <w:szCs w:val="21"/>
              </w:rPr>
            </w:pPr>
          </w:p>
        </w:tc>
      </w:tr>
      <w:tr w14:paraId="470D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79DF42E1">
            <w:pPr>
              <w:spacing w:line="440" w:lineRule="exact"/>
              <w:jc w:val="center"/>
              <w:rPr>
                <w:rFonts w:ascii="宋体" w:hAnsi="宋体"/>
                <w:szCs w:val="21"/>
              </w:rPr>
            </w:pPr>
          </w:p>
        </w:tc>
        <w:tc>
          <w:tcPr>
            <w:tcW w:w="1304" w:type="dxa"/>
            <w:noWrap/>
          </w:tcPr>
          <w:p w14:paraId="74ECCD4C">
            <w:pPr>
              <w:spacing w:line="440" w:lineRule="exact"/>
              <w:jc w:val="center"/>
              <w:rPr>
                <w:rFonts w:ascii="宋体" w:hAnsi="宋体"/>
                <w:szCs w:val="21"/>
              </w:rPr>
            </w:pPr>
          </w:p>
        </w:tc>
        <w:tc>
          <w:tcPr>
            <w:tcW w:w="1065" w:type="dxa"/>
            <w:noWrap/>
          </w:tcPr>
          <w:p w14:paraId="18E4C0ED">
            <w:pPr>
              <w:spacing w:line="440" w:lineRule="exact"/>
              <w:jc w:val="center"/>
              <w:rPr>
                <w:rFonts w:ascii="宋体" w:hAnsi="宋体"/>
                <w:szCs w:val="21"/>
              </w:rPr>
            </w:pPr>
          </w:p>
        </w:tc>
        <w:tc>
          <w:tcPr>
            <w:tcW w:w="1065" w:type="dxa"/>
            <w:noWrap/>
          </w:tcPr>
          <w:p w14:paraId="69A4C46C">
            <w:pPr>
              <w:spacing w:line="440" w:lineRule="exact"/>
              <w:jc w:val="center"/>
              <w:rPr>
                <w:rFonts w:ascii="宋体" w:hAnsi="宋体"/>
                <w:szCs w:val="21"/>
              </w:rPr>
            </w:pPr>
          </w:p>
        </w:tc>
        <w:tc>
          <w:tcPr>
            <w:tcW w:w="1065" w:type="dxa"/>
            <w:noWrap/>
          </w:tcPr>
          <w:p w14:paraId="04AC9CB3">
            <w:pPr>
              <w:spacing w:line="440" w:lineRule="exact"/>
              <w:jc w:val="center"/>
              <w:rPr>
                <w:rFonts w:ascii="宋体" w:hAnsi="宋体"/>
                <w:szCs w:val="21"/>
              </w:rPr>
            </w:pPr>
          </w:p>
        </w:tc>
        <w:tc>
          <w:tcPr>
            <w:tcW w:w="1065" w:type="dxa"/>
            <w:noWrap/>
          </w:tcPr>
          <w:p w14:paraId="2DE3227B">
            <w:pPr>
              <w:spacing w:line="440" w:lineRule="exact"/>
              <w:jc w:val="center"/>
              <w:rPr>
                <w:rFonts w:ascii="宋体" w:hAnsi="宋体"/>
                <w:szCs w:val="21"/>
              </w:rPr>
            </w:pPr>
          </w:p>
        </w:tc>
        <w:tc>
          <w:tcPr>
            <w:tcW w:w="1065" w:type="dxa"/>
            <w:noWrap/>
          </w:tcPr>
          <w:p w14:paraId="7F66D1B2">
            <w:pPr>
              <w:spacing w:line="440" w:lineRule="exact"/>
              <w:jc w:val="center"/>
              <w:rPr>
                <w:rFonts w:ascii="宋体" w:hAnsi="宋体"/>
                <w:szCs w:val="21"/>
              </w:rPr>
            </w:pPr>
          </w:p>
        </w:tc>
        <w:tc>
          <w:tcPr>
            <w:tcW w:w="1064" w:type="dxa"/>
            <w:noWrap/>
          </w:tcPr>
          <w:p w14:paraId="62888F55">
            <w:pPr>
              <w:spacing w:line="440" w:lineRule="exact"/>
              <w:jc w:val="center"/>
              <w:rPr>
                <w:rFonts w:ascii="宋体" w:hAnsi="宋体"/>
                <w:szCs w:val="21"/>
              </w:rPr>
            </w:pPr>
          </w:p>
        </w:tc>
      </w:tr>
      <w:tr w14:paraId="3B3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6001B5D9">
            <w:pPr>
              <w:spacing w:line="440" w:lineRule="exact"/>
              <w:jc w:val="center"/>
              <w:rPr>
                <w:rFonts w:ascii="宋体" w:hAnsi="宋体"/>
                <w:szCs w:val="21"/>
              </w:rPr>
            </w:pPr>
          </w:p>
        </w:tc>
        <w:tc>
          <w:tcPr>
            <w:tcW w:w="1304" w:type="dxa"/>
            <w:noWrap/>
          </w:tcPr>
          <w:p w14:paraId="37E82850">
            <w:pPr>
              <w:spacing w:line="440" w:lineRule="exact"/>
              <w:jc w:val="center"/>
              <w:rPr>
                <w:rFonts w:ascii="宋体" w:hAnsi="宋体"/>
                <w:szCs w:val="21"/>
              </w:rPr>
            </w:pPr>
          </w:p>
        </w:tc>
        <w:tc>
          <w:tcPr>
            <w:tcW w:w="1065" w:type="dxa"/>
            <w:noWrap/>
          </w:tcPr>
          <w:p w14:paraId="63A94B94">
            <w:pPr>
              <w:spacing w:line="440" w:lineRule="exact"/>
              <w:jc w:val="center"/>
              <w:rPr>
                <w:rFonts w:ascii="宋体" w:hAnsi="宋体"/>
                <w:szCs w:val="21"/>
              </w:rPr>
            </w:pPr>
          </w:p>
        </w:tc>
        <w:tc>
          <w:tcPr>
            <w:tcW w:w="1065" w:type="dxa"/>
            <w:noWrap/>
          </w:tcPr>
          <w:p w14:paraId="1423EEDD">
            <w:pPr>
              <w:spacing w:line="440" w:lineRule="exact"/>
              <w:jc w:val="center"/>
              <w:rPr>
                <w:rFonts w:ascii="宋体" w:hAnsi="宋体"/>
                <w:szCs w:val="21"/>
              </w:rPr>
            </w:pPr>
          </w:p>
        </w:tc>
        <w:tc>
          <w:tcPr>
            <w:tcW w:w="1065" w:type="dxa"/>
            <w:noWrap/>
          </w:tcPr>
          <w:p w14:paraId="7783B418">
            <w:pPr>
              <w:spacing w:line="440" w:lineRule="exact"/>
              <w:jc w:val="center"/>
              <w:rPr>
                <w:rFonts w:ascii="宋体" w:hAnsi="宋体"/>
                <w:szCs w:val="21"/>
              </w:rPr>
            </w:pPr>
          </w:p>
        </w:tc>
        <w:tc>
          <w:tcPr>
            <w:tcW w:w="1065" w:type="dxa"/>
            <w:noWrap/>
          </w:tcPr>
          <w:p w14:paraId="2BC9D863">
            <w:pPr>
              <w:spacing w:line="440" w:lineRule="exact"/>
              <w:jc w:val="center"/>
              <w:rPr>
                <w:rFonts w:ascii="宋体" w:hAnsi="宋体"/>
                <w:szCs w:val="21"/>
              </w:rPr>
            </w:pPr>
          </w:p>
        </w:tc>
        <w:tc>
          <w:tcPr>
            <w:tcW w:w="1065" w:type="dxa"/>
            <w:noWrap/>
          </w:tcPr>
          <w:p w14:paraId="56507CE9">
            <w:pPr>
              <w:spacing w:line="440" w:lineRule="exact"/>
              <w:jc w:val="center"/>
              <w:rPr>
                <w:rFonts w:ascii="宋体" w:hAnsi="宋体"/>
                <w:szCs w:val="21"/>
              </w:rPr>
            </w:pPr>
          </w:p>
        </w:tc>
        <w:tc>
          <w:tcPr>
            <w:tcW w:w="1064" w:type="dxa"/>
            <w:noWrap/>
          </w:tcPr>
          <w:p w14:paraId="265E8AE4">
            <w:pPr>
              <w:spacing w:line="440" w:lineRule="exact"/>
              <w:jc w:val="center"/>
              <w:rPr>
                <w:rFonts w:ascii="宋体" w:hAnsi="宋体"/>
                <w:szCs w:val="21"/>
              </w:rPr>
            </w:pPr>
          </w:p>
        </w:tc>
      </w:tr>
      <w:tr w14:paraId="2878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2887A22A">
            <w:pPr>
              <w:spacing w:line="440" w:lineRule="exact"/>
              <w:jc w:val="center"/>
              <w:rPr>
                <w:rFonts w:ascii="宋体" w:hAnsi="宋体"/>
                <w:szCs w:val="21"/>
              </w:rPr>
            </w:pPr>
          </w:p>
        </w:tc>
        <w:tc>
          <w:tcPr>
            <w:tcW w:w="1304" w:type="dxa"/>
            <w:noWrap/>
          </w:tcPr>
          <w:p w14:paraId="56154C45">
            <w:pPr>
              <w:spacing w:line="440" w:lineRule="exact"/>
              <w:jc w:val="center"/>
              <w:rPr>
                <w:rFonts w:ascii="宋体" w:hAnsi="宋体"/>
                <w:szCs w:val="21"/>
              </w:rPr>
            </w:pPr>
          </w:p>
        </w:tc>
        <w:tc>
          <w:tcPr>
            <w:tcW w:w="1065" w:type="dxa"/>
            <w:noWrap/>
          </w:tcPr>
          <w:p w14:paraId="502C4E74">
            <w:pPr>
              <w:spacing w:line="440" w:lineRule="exact"/>
              <w:jc w:val="center"/>
              <w:rPr>
                <w:rFonts w:ascii="宋体" w:hAnsi="宋体"/>
                <w:szCs w:val="21"/>
              </w:rPr>
            </w:pPr>
          </w:p>
        </w:tc>
        <w:tc>
          <w:tcPr>
            <w:tcW w:w="1065" w:type="dxa"/>
            <w:noWrap/>
          </w:tcPr>
          <w:p w14:paraId="1F21DD50">
            <w:pPr>
              <w:spacing w:line="440" w:lineRule="exact"/>
              <w:jc w:val="center"/>
              <w:rPr>
                <w:rFonts w:ascii="宋体" w:hAnsi="宋体"/>
                <w:szCs w:val="21"/>
              </w:rPr>
            </w:pPr>
          </w:p>
        </w:tc>
        <w:tc>
          <w:tcPr>
            <w:tcW w:w="1065" w:type="dxa"/>
            <w:noWrap/>
          </w:tcPr>
          <w:p w14:paraId="30925F31">
            <w:pPr>
              <w:spacing w:line="440" w:lineRule="exact"/>
              <w:jc w:val="center"/>
              <w:rPr>
                <w:rFonts w:ascii="宋体" w:hAnsi="宋体"/>
                <w:szCs w:val="21"/>
              </w:rPr>
            </w:pPr>
          </w:p>
        </w:tc>
        <w:tc>
          <w:tcPr>
            <w:tcW w:w="1065" w:type="dxa"/>
            <w:noWrap/>
          </w:tcPr>
          <w:p w14:paraId="3D4DFD05">
            <w:pPr>
              <w:spacing w:line="440" w:lineRule="exact"/>
              <w:jc w:val="center"/>
              <w:rPr>
                <w:rFonts w:ascii="宋体" w:hAnsi="宋体"/>
                <w:szCs w:val="21"/>
              </w:rPr>
            </w:pPr>
          </w:p>
        </w:tc>
        <w:tc>
          <w:tcPr>
            <w:tcW w:w="1065" w:type="dxa"/>
            <w:noWrap/>
          </w:tcPr>
          <w:p w14:paraId="3B4BBED3">
            <w:pPr>
              <w:spacing w:line="440" w:lineRule="exact"/>
              <w:jc w:val="center"/>
              <w:rPr>
                <w:rFonts w:ascii="宋体" w:hAnsi="宋体"/>
                <w:szCs w:val="21"/>
              </w:rPr>
            </w:pPr>
          </w:p>
        </w:tc>
        <w:tc>
          <w:tcPr>
            <w:tcW w:w="1064" w:type="dxa"/>
            <w:noWrap/>
          </w:tcPr>
          <w:p w14:paraId="2D638337">
            <w:pPr>
              <w:spacing w:line="440" w:lineRule="exact"/>
              <w:jc w:val="center"/>
              <w:rPr>
                <w:rFonts w:ascii="宋体" w:hAnsi="宋体"/>
                <w:szCs w:val="21"/>
              </w:rPr>
            </w:pPr>
          </w:p>
        </w:tc>
      </w:tr>
      <w:tr w14:paraId="53A7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5CF37894">
            <w:pPr>
              <w:spacing w:line="440" w:lineRule="exact"/>
              <w:jc w:val="center"/>
              <w:rPr>
                <w:rFonts w:ascii="宋体" w:hAnsi="宋体"/>
                <w:szCs w:val="21"/>
              </w:rPr>
            </w:pPr>
          </w:p>
        </w:tc>
        <w:tc>
          <w:tcPr>
            <w:tcW w:w="1304" w:type="dxa"/>
            <w:noWrap/>
          </w:tcPr>
          <w:p w14:paraId="635DAE7E">
            <w:pPr>
              <w:spacing w:line="440" w:lineRule="exact"/>
              <w:jc w:val="center"/>
              <w:rPr>
                <w:rFonts w:ascii="宋体" w:hAnsi="宋体"/>
                <w:szCs w:val="21"/>
              </w:rPr>
            </w:pPr>
          </w:p>
        </w:tc>
        <w:tc>
          <w:tcPr>
            <w:tcW w:w="1065" w:type="dxa"/>
            <w:noWrap/>
          </w:tcPr>
          <w:p w14:paraId="72033D46">
            <w:pPr>
              <w:spacing w:line="440" w:lineRule="exact"/>
              <w:jc w:val="center"/>
              <w:rPr>
                <w:rFonts w:ascii="宋体" w:hAnsi="宋体"/>
                <w:szCs w:val="21"/>
              </w:rPr>
            </w:pPr>
          </w:p>
        </w:tc>
        <w:tc>
          <w:tcPr>
            <w:tcW w:w="1065" w:type="dxa"/>
            <w:noWrap/>
          </w:tcPr>
          <w:p w14:paraId="74E24080">
            <w:pPr>
              <w:spacing w:line="440" w:lineRule="exact"/>
              <w:jc w:val="center"/>
              <w:rPr>
                <w:rFonts w:ascii="宋体" w:hAnsi="宋体"/>
                <w:szCs w:val="21"/>
              </w:rPr>
            </w:pPr>
          </w:p>
        </w:tc>
        <w:tc>
          <w:tcPr>
            <w:tcW w:w="1065" w:type="dxa"/>
            <w:noWrap/>
          </w:tcPr>
          <w:p w14:paraId="2808DA2D">
            <w:pPr>
              <w:spacing w:line="440" w:lineRule="exact"/>
              <w:jc w:val="center"/>
              <w:rPr>
                <w:rFonts w:ascii="宋体" w:hAnsi="宋体"/>
                <w:szCs w:val="21"/>
              </w:rPr>
            </w:pPr>
          </w:p>
        </w:tc>
        <w:tc>
          <w:tcPr>
            <w:tcW w:w="1065" w:type="dxa"/>
            <w:noWrap/>
          </w:tcPr>
          <w:p w14:paraId="0811A37E">
            <w:pPr>
              <w:spacing w:line="440" w:lineRule="exact"/>
              <w:jc w:val="center"/>
              <w:rPr>
                <w:rFonts w:ascii="宋体" w:hAnsi="宋体"/>
                <w:szCs w:val="21"/>
              </w:rPr>
            </w:pPr>
          </w:p>
        </w:tc>
        <w:tc>
          <w:tcPr>
            <w:tcW w:w="1065" w:type="dxa"/>
            <w:noWrap/>
          </w:tcPr>
          <w:p w14:paraId="6D4A2AAF">
            <w:pPr>
              <w:spacing w:line="440" w:lineRule="exact"/>
              <w:jc w:val="center"/>
              <w:rPr>
                <w:rFonts w:ascii="宋体" w:hAnsi="宋体"/>
                <w:szCs w:val="21"/>
              </w:rPr>
            </w:pPr>
          </w:p>
        </w:tc>
        <w:tc>
          <w:tcPr>
            <w:tcW w:w="1064" w:type="dxa"/>
            <w:noWrap/>
          </w:tcPr>
          <w:p w14:paraId="02A089D9">
            <w:pPr>
              <w:spacing w:line="440" w:lineRule="exact"/>
              <w:jc w:val="center"/>
              <w:rPr>
                <w:rFonts w:ascii="宋体" w:hAnsi="宋体"/>
                <w:szCs w:val="21"/>
              </w:rPr>
            </w:pPr>
          </w:p>
        </w:tc>
      </w:tr>
      <w:tr w14:paraId="1FB7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4ACDE5F0">
            <w:pPr>
              <w:spacing w:line="440" w:lineRule="exact"/>
              <w:jc w:val="center"/>
              <w:rPr>
                <w:rFonts w:ascii="宋体" w:hAnsi="宋体"/>
                <w:szCs w:val="21"/>
              </w:rPr>
            </w:pPr>
          </w:p>
        </w:tc>
        <w:tc>
          <w:tcPr>
            <w:tcW w:w="1304" w:type="dxa"/>
            <w:noWrap/>
          </w:tcPr>
          <w:p w14:paraId="27267FD6">
            <w:pPr>
              <w:spacing w:line="440" w:lineRule="exact"/>
              <w:jc w:val="center"/>
              <w:rPr>
                <w:rFonts w:ascii="宋体" w:hAnsi="宋体"/>
                <w:szCs w:val="21"/>
              </w:rPr>
            </w:pPr>
          </w:p>
        </w:tc>
        <w:tc>
          <w:tcPr>
            <w:tcW w:w="1065" w:type="dxa"/>
            <w:noWrap/>
          </w:tcPr>
          <w:p w14:paraId="3B3C4A17">
            <w:pPr>
              <w:spacing w:line="440" w:lineRule="exact"/>
              <w:jc w:val="center"/>
              <w:rPr>
                <w:rFonts w:ascii="宋体" w:hAnsi="宋体"/>
                <w:szCs w:val="21"/>
              </w:rPr>
            </w:pPr>
          </w:p>
        </w:tc>
        <w:tc>
          <w:tcPr>
            <w:tcW w:w="1065" w:type="dxa"/>
            <w:noWrap/>
          </w:tcPr>
          <w:p w14:paraId="746F39B9">
            <w:pPr>
              <w:spacing w:line="440" w:lineRule="exact"/>
              <w:jc w:val="center"/>
              <w:rPr>
                <w:rFonts w:ascii="宋体" w:hAnsi="宋体"/>
                <w:szCs w:val="21"/>
              </w:rPr>
            </w:pPr>
          </w:p>
        </w:tc>
        <w:tc>
          <w:tcPr>
            <w:tcW w:w="1065" w:type="dxa"/>
            <w:noWrap/>
          </w:tcPr>
          <w:p w14:paraId="71F8281D">
            <w:pPr>
              <w:spacing w:line="440" w:lineRule="exact"/>
              <w:jc w:val="center"/>
              <w:rPr>
                <w:rFonts w:ascii="宋体" w:hAnsi="宋体"/>
                <w:szCs w:val="21"/>
              </w:rPr>
            </w:pPr>
          </w:p>
        </w:tc>
        <w:tc>
          <w:tcPr>
            <w:tcW w:w="1065" w:type="dxa"/>
            <w:noWrap/>
          </w:tcPr>
          <w:p w14:paraId="34692266">
            <w:pPr>
              <w:spacing w:line="440" w:lineRule="exact"/>
              <w:jc w:val="center"/>
              <w:rPr>
                <w:rFonts w:ascii="宋体" w:hAnsi="宋体"/>
                <w:szCs w:val="21"/>
              </w:rPr>
            </w:pPr>
          </w:p>
        </w:tc>
        <w:tc>
          <w:tcPr>
            <w:tcW w:w="1065" w:type="dxa"/>
            <w:noWrap/>
          </w:tcPr>
          <w:p w14:paraId="13862D74">
            <w:pPr>
              <w:spacing w:line="440" w:lineRule="exact"/>
              <w:jc w:val="center"/>
              <w:rPr>
                <w:rFonts w:ascii="宋体" w:hAnsi="宋体"/>
                <w:szCs w:val="21"/>
              </w:rPr>
            </w:pPr>
          </w:p>
        </w:tc>
        <w:tc>
          <w:tcPr>
            <w:tcW w:w="1064" w:type="dxa"/>
            <w:noWrap/>
          </w:tcPr>
          <w:p w14:paraId="315499B1">
            <w:pPr>
              <w:spacing w:line="440" w:lineRule="exact"/>
              <w:jc w:val="center"/>
              <w:rPr>
                <w:rFonts w:ascii="宋体" w:hAnsi="宋体"/>
                <w:szCs w:val="21"/>
              </w:rPr>
            </w:pPr>
          </w:p>
        </w:tc>
      </w:tr>
      <w:tr w14:paraId="43AD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1C55CFFE">
            <w:pPr>
              <w:spacing w:line="440" w:lineRule="exact"/>
              <w:jc w:val="center"/>
              <w:rPr>
                <w:rFonts w:ascii="宋体" w:hAnsi="宋体"/>
                <w:szCs w:val="21"/>
              </w:rPr>
            </w:pPr>
          </w:p>
        </w:tc>
        <w:tc>
          <w:tcPr>
            <w:tcW w:w="1304" w:type="dxa"/>
            <w:noWrap/>
          </w:tcPr>
          <w:p w14:paraId="460443AD">
            <w:pPr>
              <w:spacing w:line="440" w:lineRule="exact"/>
              <w:jc w:val="center"/>
              <w:rPr>
                <w:rFonts w:ascii="宋体" w:hAnsi="宋体"/>
                <w:szCs w:val="21"/>
              </w:rPr>
            </w:pPr>
          </w:p>
        </w:tc>
        <w:tc>
          <w:tcPr>
            <w:tcW w:w="1065" w:type="dxa"/>
            <w:noWrap/>
          </w:tcPr>
          <w:p w14:paraId="01B05DF0">
            <w:pPr>
              <w:spacing w:line="440" w:lineRule="exact"/>
              <w:jc w:val="center"/>
              <w:rPr>
                <w:rFonts w:ascii="宋体" w:hAnsi="宋体"/>
                <w:szCs w:val="21"/>
              </w:rPr>
            </w:pPr>
          </w:p>
        </w:tc>
        <w:tc>
          <w:tcPr>
            <w:tcW w:w="1065" w:type="dxa"/>
            <w:noWrap/>
          </w:tcPr>
          <w:p w14:paraId="79620733">
            <w:pPr>
              <w:spacing w:line="440" w:lineRule="exact"/>
              <w:jc w:val="center"/>
              <w:rPr>
                <w:rFonts w:ascii="宋体" w:hAnsi="宋体"/>
                <w:szCs w:val="21"/>
              </w:rPr>
            </w:pPr>
          </w:p>
        </w:tc>
        <w:tc>
          <w:tcPr>
            <w:tcW w:w="1065" w:type="dxa"/>
            <w:noWrap/>
          </w:tcPr>
          <w:p w14:paraId="466A5788">
            <w:pPr>
              <w:spacing w:line="440" w:lineRule="exact"/>
              <w:jc w:val="center"/>
              <w:rPr>
                <w:rFonts w:ascii="宋体" w:hAnsi="宋体"/>
                <w:szCs w:val="21"/>
              </w:rPr>
            </w:pPr>
          </w:p>
        </w:tc>
        <w:tc>
          <w:tcPr>
            <w:tcW w:w="1065" w:type="dxa"/>
            <w:noWrap/>
          </w:tcPr>
          <w:p w14:paraId="73ABA865">
            <w:pPr>
              <w:spacing w:line="440" w:lineRule="exact"/>
              <w:jc w:val="center"/>
              <w:rPr>
                <w:rFonts w:ascii="宋体" w:hAnsi="宋体"/>
                <w:szCs w:val="21"/>
              </w:rPr>
            </w:pPr>
          </w:p>
        </w:tc>
        <w:tc>
          <w:tcPr>
            <w:tcW w:w="1065" w:type="dxa"/>
            <w:noWrap/>
          </w:tcPr>
          <w:p w14:paraId="074002C4">
            <w:pPr>
              <w:spacing w:line="440" w:lineRule="exact"/>
              <w:jc w:val="center"/>
              <w:rPr>
                <w:rFonts w:ascii="宋体" w:hAnsi="宋体"/>
                <w:szCs w:val="21"/>
              </w:rPr>
            </w:pPr>
          </w:p>
        </w:tc>
        <w:tc>
          <w:tcPr>
            <w:tcW w:w="1064" w:type="dxa"/>
            <w:noWrap/>
          </w:tcPr>
          <w:p w14:paraId="1C2714FF">
            <w:pPr>
              <w:spacing w:line="440" w:lineRule="exact"/>
              <w:jc w:val="center"/>
              <w:rPr>
                <w:rFonts w:ascii="宋体" w:hAnsi="宋体"/>
                <w:szCs w:val="21"/>
              </w:rPr>
            </w:pPr>
          </w:p>
        </w:tc>
      </w:tr>
      <w:tr w14:paraId="18D3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686DE587">
            <w:pPr>
              <w:spacing w:line="440" w:lineRule="exact"/>
              <w:jc w:val="center"/>
              <w:rPr>
                <w:rFonts w:ascii="宋体" w:hAnsi="宋体"/>
                <w:szCs w:val="21"/>
              </w:rPr>
            </w:pPr>
          </w:p>
        </w:tc>
        <w:tc>
          <w:tcPr>
            <w:tcW w:w="1304" w:type="dxa"/>
            <w:noWrap/>
          </w:tcPr>
          <w:p w14:paraId="71E8CBDC">
            <w:pPr>
              <w:spacing w:line="440" w:lineRule="exact"/>
              <w:jc w:val="center"/>
              <w:rPr>
                <w:rFonts w:ascii="宋体" w:hAnsi="宋体"/>
                <w:szCs w:val="21"/>
              </w:rPr>
            </w:pPr>
          </w:p>
        </w:tc>
        <w:tc>
          <w:tcPr>
            <w:tcW w:w="1065" w:type="dxa"/>
            <w:noWrap/>
          </w:tcPr>
          <w:p w14:paraId="009D76F0">
            <w:pPr>
              <w:spacing w:line="440" w:lineRule="exact"/>
              <w:jc w:val="center"/>
              <w:rPr>
                <w:rFonts w:ascii="宋体" w:hAnsi="宋体"/>
                <w:szCs w:val="21"/>
              </w:rPr>
            </w:pPr>
          </w:p>
        </w:tc>
        <w:tc>
          <w:tcPr>
            <w:tcW w:w="1065" w:type="dxa"/>
            <w:noWrap/>
          </w:tcPr>
          <w:p w14:paraId="4C2274BF">
            <w:pPr>
              <w:spacing w:line="440" w:lineRule="exact"/>
              <w:jc w:val="center"/>
              <w:rPr>
                <w:rFonts w:ascii="宋体" w:hAnsi="宋体"/>
                <w:szCs w:val="21"/>
              </w:rPr>
            </w:pPr>
          </w:p>
        </w:tc>
        <w:tc>
          <w:tcPr>
            <w:tcW w:w="1065" w:type="dxa"/>
            <w:noWrap/>
          </w:tcPr>
          <w:p w14:paraId="1B8F765F">
            <w:pPr>
              <w:spacing w:line="440" w:lineRule="exact"/>
              <w:jc w:val="center"/>
              <w:rPr>
                <w:rFonts w:ascii="宋体" w:hAnsi="宋体"/>
                <w:szCs w:val="21"/>
              </w:rPr>
            </w:pPr>
          </w:p>
        </w:tc>
        <w:tc>
          <w:tcPr>
            <w:tcW w:w="1065" w:type="dxa"/>
            <w:noWrap/>
          </w:tcPr>
          <w:p w14:paraId="5C405922">
            <w:pPr>
              <w:spacing w:line="440" w:lineRule="exact"/>
              <w:jc w:val="center"/>
              <w:rPr>
                <w:rFonts w:ascii="宋体" w:hAnsi="宋体"/>
                <w:szCs w:val="21"/>
              </w:rPr>
            </w:pPr>
          </w:p>
        </w:tc>
        <w:tc>
          <w:tcPr>
            <w:tcW w:w="1065" w:type="dxa"/>
            <w:noWrap/>
          </w:tcPr>
          <w:p w14:paraId="1FC977C8">
            <w:pPr>
              <w:spacing w:line="440" w:lineRule="exact"/>
              <w:jc w:val="center"/>
              <w:rPr>
                <w:rFonts w:ascii="宋体" w:hAnsi="宋体"/>
                <w:szCs w:val="21"/>
              </w:rPr>
            </w:pPr>
          </w:p>
        </w:tc>
        <w:tc>
          <w:tcPr>
            <w:tcW w:w="1064" w:type="dxa"/>
            <w:noWrap/>
          </w:tcPr>
          <w:p w14:paraId="7A58C084">
            <w:pPr>
              <w:spacing w:line="440" w:lineRule="exact"/>
              <w:jc w:val="center"/>
              <w:rPr>
                <w:rFonts w:ascii="宋体" w:hAnsi="宋体"/>
                <w:szCs w:val="21"/>
              </w:rPr>
            </w:pPr>
          </w:p>
        </w:tc>
      </w:tr>
      <w:tr w14:paraId="0DAF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4BCAC45E">
            <w:pPr>
              <w:spacing w:line="440" w:lineRule="exact"/>
              <w:jc w:val="center"/>
              <w:rPr>
                <w:rFonts w:ascii="宋体" w:hAnsi="宋体"/>
                <w:szCs w:val="21"/>
              </w:rPr>
            </w:pPr>
          </w:p>
        </w:tc>
        <w:tc>
          <w:tcPr>
            <w:tcW w:w="1304" w:type="dxa"/>
            <w:noWrap/>
          </w:tcPr>
          <w:p w14:paraId="11CF81E0">
            <w:pPr>
              <w:spacing w:line="440" w:lineRule="exact"/>
              <w:jc w:val="center"/>
              <w:rPr>
                <w:rFonts w:ascii="宋体" w:hAnsi="宋体"/>
                <w:szCs w:val="21"/>
              </w:rPr>
            </w:pPr>
          </w:p>
        </w:tc>
        <w:tc>
          <w:tcPr>
            <w:tcW w:w="1065" w:type="dxa"/>
            <w:noWrap/>
          </w:tcPr>
          <w:p w14:paraId="12EAEF66">
            <w:pPr>
              <w:spacing w:line="440" w:lineRule="exact"/>
              <w:jc w:val="center"/>
              <w:rPr>
                <w:rFonts w:ascii="宋体" w:hAnsi="宋体"/>
                <w:szCs w:val="21"/>
              </w:rPr>
            </w:pPr>
          </w:p>
        </w:tc>
        <w:tc>
          <w:tcPr>
            <w:tcW w:w="1065" w:type="dxa"/>
            <w:noWrap/>
          </w:tcPr>
          <w:p w14:paraId="26AA61D6">
            <w:pPr>
              <w:spacing w:line="440" w:lineRule="exact"/>
              <w:jc w:val="center"/>
              <w:rPr>
                <w:rFonts w:ascii="宋体" w:hAnsi="宋体"/>
                <w:szCs w:val="21"/>
              </w:rPr>
            </w:pPr>
          </w:p>
        </w:tc>
        <w:tc>
          <w:tcPr>
            <w:tcW w:w="1065" w:type="dxa"/>
            <w:noWrap/>
          </w:tcPr>
          <w:p w14:paraId="0AB971EF">
            <w:pPr>
              <w:spacing w:line="440" w:lineRule="exact"/>
              <w:jc w:val="center"/>
              <w:rPr>
                <w:rFonts w:ascii="宋体" w:hAnsi="宋体"/>
                <w:szCs w:val="21"/>
              </w:rPr>
            </w:pPr>
          </w:p>
        </w:tc>
        <w:tc>
          <w:tcPr>
            <w:tcW w:w="1065" w:type="dxa"/>
            <w:noWrap/>
          </w:tcPr>
          <w:p w14:paraId="7149C9F2">
            <w:pPr>
              <w:spacing w:line="440" w:lineRule="exact"/>
              <w:jc w:val="center"/>
              <w:rPr>
                <w:rFonts w:ascii="宋体" w:hAnsi="宋体"/>
                <w:szCs w:val="21"/>
              </w:rPr>
            </w:pPr>
          </w:p>
        </w:tc>
        <w:tc>
          <w:tcPr>
            <w:tcW w:w="1065" w:type="dxa"/>
            <w:noWrap/>
          </w:tcPr>
          <w:p w14:paraId="5C196EBA">
            <w:pPr>
              <w:spacing w:line="440" w:lineRule="exact"/>
              <w:jc w:val="center"/>
              <w:rPr>
                <w:rFonts w:ascii="宋体" w:hAnsi="宋体"/>
                <w:szCs w:val="21"/>
              </w:rPr>
            </w:pPr>
          </w:p>
        </w:tc>
        <w:tc>
          <w:tcPr>
            <w:tcW w:w="1064" w:type="dxa"/>
            <w:noWrap/>
          </w:tcPr>
          <w:p w14:paraId="1B10E429">
            <w:pPr>
              <w:spacing w:line="440" w:lineRule="exact"/>
              <w:jc w:val="center"/>
              <w:rPr>
                <w:rFonts w:ascii="宋体" w:hAnsi="宋体"/>
                <w:szCs w:val="21"/>
              </w:rPr>
            </w:pPr>
          </w:p>
        </w:tc>
      </w:tr>
      <w:tr w14:paraId="0948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530E9B84">
            <w:pPr>
              <w:spacing w:line="440" w:lineRule="exact"/>
              <w:jc w:val="center"/>
              <w:rPr>
                <w:rFonts w:ascii="宋体" w:hAnsi="宋体"/>
                <w:szCs w:val="21"/>
              </w:rPr>
            </w:pPr>
          </w:p>
        </w:tc>
        <w:tc>
          <w:tcPr>
            <w:tcW w:w="1304" w:type="dxa"/>
            <w:noWrap/>
          </w:tcPr>
          <w:p w14:paraId="0B2F71ED">
            <w:pPr>
              <w:spacing w:line="440" w:lineRule="exact"/>
              <w:jc w:val="center"/>
              <w:rPr>
                <w:rFonts w:ascii="宋体" w:hAnsi="宋体"/>
                <w:szCs w:val="21"/>
              </w:rPr>
            </w:pPr>
          </w:p>
        </w:tc>
        <w:tc>
          <w:tcPr>
            <w:tcW w:w="1065" w:type="dxa"/>
            <w:noWrap/>
          </w:tcPr>
          <w:p w14:paraId="36A7B795">
            <w:pPr>
              <w:spacing w:line="440" w:lineRule="exact"/>
              <w:jc w:val="center"/>
              <w:rPr>
                <w:rFonts w:ascii="宋体" w:hAnsi="宋体"/>
                <w:szCs w:val="21"/>
              </w:rPr>
            </w:pPr>
          </w:p>
        </w:tc>
        <w:tc>
          <w:tcPr>
            <w:tcW w:w="1065" w:type="dxa"/>
            <w:noWrap/>
          </w:tcPr>
          <w:p w14:paraId="7E55F4FC">
            <w:pPr>
              <w:spacing w:line="440" w:lineRule="exact"/>
              <w:jc w:val="center"/>
              <w:rPr>
                <w:rFonts w:ascii="宋体" w:hAnsi="宋体"/>
                <w:szCs w:val="21"/>
              </w:rPr>
            </w:pPr>
          </w:p>
        </w:tc>
        <w:tc>
          <w:tcPr>
            <w:tcW w:w="1065" w:type="dxa"/>
            <w:noWrap/>
          </w:tcPr>
          <w:p w14:paraId="5AB6FD2D">
            <w:pPr>
              <w:spacing w:line="440" w:lineRule="exact"/>
              <w:jc w:val="center"/>
              <w:rPr>
                <w:rFonts w:ascii="宋体" w:hAnsi="宋体"/>
                <w:szCs w:val="21"/>
              </w:rPr>
            </w:pPr>
          </w:p>
        </w:tc>
        <w:tc>
          <w:tcPr>
            <w:tcW w:w="1065" w:type="dxa"/>
            <w:noWrap/>
          </w:tcPr>
          <w:p w14:paraId="5DA4C5FC">
            <w:pPr>
              <w:spacing w:line="440" w:lineRule="exact"/>
              <w:jc w:val="center"/>
              <w:rPr>
                <w:rFonts w:ascii="宋体" w:hAnsi="宋体"/>
                <w:szCs w:val="21"/>
              </w:rPr>
            </w:pPr>
          </w:p>
        </w:tc>
        <w:tc>
          <w:tcPr>
            <w:tcW w:w="1065" w:type="dxa"/>
            <w:noWrap/>
          </w:tcPr>
          <w:p w14:paraId="1C97C5A6">
            <w:pPr>
              <w:spacing w:line="440" w:lineRule="exact"/>
              <w:jc w:val="center"/>
              <w:rPr>
                <w:rFonts w:ascii="宋体" w:hAnsi="宋体"/>
                <w:szCs w:val="21"/>
              </w:rPr>
            </w:pPr>
          </w:p>
        </w:tc>
        <w:tc>
          <w:tcPr>
            <w:tcW w:w="1064" w:type="dxa"/>
            <w:noWrap/>
          </w:tcPr>
          <w:p w14:paraId="3015A6F8">
            <w:pPr>
              <w:spacing w:line="440" w:lineRule="exact"/>
              <w:jc w:val="center"/>
              <w:rPr>
                <w:rFonts w:ascii="宋体" w:hAnsi="宋体"/>
                <w:szCs w:val="21"/>
              </w:rPr>
            </w:pPr>
          </w:p>
        </w:tc>
      </w:tr>
      <w:tr w14:paraId="1595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6138AC7D">
            <w:pPr>
              <w:spacing w:line="440" w:lineRule="exact"/>
              <w:jc w:val="center"/>
              <w:rPr>
                <w:rFonts w:ascii="宋体" w:hAnsi="宋体"/>
                <w:szCs w:val="21"/>
              </w:rPr>
            </w:pPr>
          </w:p>
        </w:tc>
        <w:tc>
          <w:tcPr>
            <w:tcW w:w="1304" w:type="dxa"/>
            <w:noWrap/>
          </w:tcPr>
          <w:p w14:paraId="0C5E517D">
            <w:pPr>
              <w:spacing w:line="440" w:lineRule="exact"/>
              <w:jc w:val="center"/>
              <w:rPr>
                <w:rFonts w:ascii="宋体" w:hAnsi="宋体"/>
                <w:szCs w:val="21"/>
              </w:rPr>
            </w:pPr>
          </w:p>
        </w:tc>
        <w:tc>
          <w:tcPr>
            <w:tcW w:w="1065" w:type="dxa"/>
            <w:noWrap/>
          </w:tcPr>
          <w:p w14:paraId="6BD6CCBF">
            <w:pPr>
              <w:spacing w:line="440" w:lineRule="exact"/>
              <w:jc w:val="center"/>
              <w:rPr>
                <w:rFonts w:ascii="宋体" w:hAnsi="宋体"/>
                <w:szCs w:val="21"/>
              </w:rPr>
            </w:pPr>
          </w:p>
        </w:tc>
        <w:tc>
          <w:tcPr>
            <w:tcW w:w="1065" w:type="dxa"/>
            <w:noWrap/>
          </w:tcPr>
          <w:p w14:paraId="6BE306E7">
            <w:pPr>
              <w:spacing w:line="440" w:lineRule="exact"/>
              <w:jc w:val="center"/>
              <w:rPr>
                <w:rFonts w:ascii="宋体" w:hAnsi="宋体"/>
                <w:szCs w:val="21"/>
              </w:rPr>
            </w:pPr>
          </w:p>
        </w:tc>
        <w:tc>
          <w:tcPr>
            <w:tcW w:w="1065" w:type="dxa"/>
            <w:noWrap/>
          </w:tcPr>
          <w:p w14:paraId="17A150AC">
            <w:pPr>
              <w:spacing w:line="440" w:lineRule="exact"/>
              <w:jc w:val="center"/>
              <w:rPr>
                <w:rFonts w:ascii="宋体" w:hAnsi="宋体"/>
                <w:szCs w:val="21"/>
              </w:rPr>
            </w:pPr>
          </w:p>
        </w:tc>
        <w:tc>
          <w:tcPr>
            <w:tcW w:w="1065" w:type="dxa"/>
            <w:noWrap/>
          </w:tcPr>
          <w:p w14:paraId="240ABEB1">
            <w:pPr>
              <w:spacing w:line="440" w:lineRule="exact"/>
              <w:jc w:val="center"/>
              <w:rPr>
                <w:rFonts w:ascii="宋体" w:hAnsi="宋体"/>
                <w:szCs w:val="21"/>
              </w:rPr>
            </w:pPr>
          </w:p>
        </w:tc>
        <w:tc>
          <w:tcPr>
            <w:tcW w:w="1065" w:type="dxa"/>
            <w:noWrap/>
          </w:tcPr>
          <w:p w14:paraId="0C899D96">
            <w:pPr>
              <w:spacing w:line="440" w:lineRule="exact"/>
              <w:jc w:val="center"/>
              <w:rPr>
                <w:rFonts w:ascii="宋体" w:hAnsi="宋体"/>
                <w:szCs w:val="21"/>
              </w:rPr>
            </w:pPr>
          </w:p>
        </w:tc>
        <w:tc>
          <w:tcPr>
            <w:tcW w:w="1064" w:type="dxa"/>
            <w:noWrap/>
          </w:tcPr>
          <w:p w14:paraId="6551B52C">
            <w:pPr>
              <w:spacing w:line="440" w:lineRule="exact"/>
              <w:jc w:val="center"/>
              <w:rPr>
                <w:rFonts w:ascii="宋体" w:hAnsi="宋体"/>
                <w:szCs w:val="21"/>
              </w:rPr>
            </w:pPr>
          </w:p>
        </w:tc>
      </w:tr>
      <w:tr w14:paraId="718D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6065F784">
            <w:pPr>
              <w:spacing w:line="440" w:lineRule="exact"/>
              <w:jc w:val="center"/>
              <w:rPr>
                <w:rFonts w:ascii="宋体" w:hAnsi="宋体"/>
                <w:szCs w:val="21"/>
              </w:rPr>
            </w:pPr>
          </w:p>
        </w:tc>
        <w:tc>
          <w:tcPr>
            <w:tcW w:w="1304" w:type="dxa"/>
            <w:noWrap/>
          </w:tcPr>
          <w:p w14:paraId="43493DCE">
            <w:pPr>
              <w:spacing w:line="440" w:lineRule="exact"/>
              <w:jc w:val="center"/>
              <w:rPr>
                <w:rFonts w:ascii="宋体" w:hAnsi="宋体"/>
                <w:szCs w:val="21"/>
              </w:rPr>
            </w:pPr>
          </w:p>
        </w:tc>
        <w:tc>
          <w:tcPr>
            <w:tcW w:w="1065" w:type="dxa"/>
            <w:noWrap/>
          </w:tcPr>
          <w:p w14:paraId="5F5D5457">
            <w:pPr>
              <w:spacing w:line="440" w:lineRule="exact"/>
              <w:jc w:val="center"/>
              <w:rPr>
                <w:rFonts w:ascii="宋体" w:hAnsi="宋体"/>
                <w:szCs w:val="21"/>
              </w:rPr>
            </w:pPr>
          </w:p>
        </w:tc>
        <w:tc>
          <w:tcPr>
            <w:tcW w:w="1065" w:type="dxa"/>
            <w:noWrap/>
          </w:tcPr>
          <w:p w14:paraId="202472AB">
            <w:pPr>
              <w:spacing w:line="440" w:lineRule="exact"/>
              <w:jc w:val="center"/>
              <w:rPr>
                <w:rFonts w:ascii="宋体" w:hAnsi="宋体"/>
                <w:szCs w:val="21"/>
              </w:rPr>
            </w:pPr>
          </w:p>
        </w:tc>
        <w:tc>
          <w:tcPr>
            <w:tcW w:w="1065" w:type="dxa"/>
            <w:noWrap/>
          </w:tcPr>
          <w:p w14:paraId="30C93F6F">
            <w:pPr>
              <w:spacing w:line="440" w:lineRule="exact"/>
              <w:jc w:val="center"/>
              <w:rPr>
                <w:rFonts w:ascii="宋体" w:hAnsi="宋体"/>
                <w:szCs w:val="21"/>
              </w:rPr>
            </w:pPr>
          </w:p>
        </w:tc>
        <w:tc>
          <w:tcPr>
            <w:tcW w:w="1065" w:type="dxa"/>
            <w:noWrap/>
          </w:tcPr>
          <w:p w14:paraId="1A58F0E3">
            <w:pPr>
              <w:spacing w:line="440" w:lineRule="exact"/>
              <w:jc w:val="center"/>
              <w:rPr>
                <w:rFonts w:ascii="宋体" w:hAnsi="宋体"/>
                <w:szCs w:val="21"/>
              </w:rPr>
            </w:pPr>
          </w:p>
        </w:tc>
        <w:tc>
          <w:tcPr>
            <w:tcW w:w="1065" w:type="dxa"/>
            <w:noWrap/>
          </w:tcPr>
          <w:p w14:paraId="1CA67B8A">
            <w:pPr>
              <w:spacing w:line="440" w:lineRule="exact"/>
              <w:jc w:val="center"/>
              <w:rPr>
                <w:rFonts w:ascii="宋体" w:hAnsi="宋体"/>
                <w:szCs w:val="21"/>
              </w:rPr>
            </w:pPr>
          </w:p>
        </w:tc>
        <w:tc>
          <w:tcPr>
            <w:tcW w:w="1064" w:type="dxa"/>
            <w:noWrap/>
          </w:tcPr>
          <w:p w14:paraId="669B349B">
            <w:pPr>
              <w:spacing w:line="440" w:lineRule="exact"/>
              <w:jc w:val="center"/>
              <w:rPr>
                <w:rFonts w:ascii="宋体" w:hAnsi="宋体"/>
                <w:szCs w:val="21"/>
              </w:rPr>
            </w:pPr>
          </w:p>
        </w:tc>
      </w:tr>
      <w:tr w14:paraId="70DC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6F25EECA">
            <w:pPr>
              <w:spacing w:line="440" w:lineRule="exact"/>
              <w:jc w:val="center"/>
              <w:rPr>
                <w:rFonts w:ascii="宋体" w:hAnsi="宋体"/>
                <w:szCs w:val="21"/>
              </w:rPr>
            </w:pPr>
          </w:p>
        </w:tc>
        <w:tc>
          <w:tcPr>
            <w:tcW w:w="1304" w:type="dxa"/>
            <w:noWrap/>
          </w:tcPr>
          <w:p w14:paraId="616B0B26">
            <w:pPr>
              <w:spacing w:line="440" w:lineRule="exact"/>
              <w:jc w:val="center"/>
              <w:rPr>
                <w:rFonts w:ascii="宋体" w:hAnsi="宋体"/>
                <w:szCs w:val="21"/>
              </w:rPr>
            </w:pPr>
          </w:p>
        </w:tc>
        <w:tc>
          <w:tcPr>
            <w:tcW w:w="1065" w:type="dxa"/>
            <w:noWrap/>
          </w:tcPr>
          <w:p w14:paraId="20111A69">
            <w:pPr>
              <w:spacing w:line="440" w:lineRule="exact"/>
              <w:jc w:val="center"/>
              <w:rPr>
                <w:rFonts w:ascii="宋体" w:hAnsi="宋体"/>
                <w:szCs w:val="21"/>
              </w:rPr>
            </w:pPr>
          </w:p>
        </w:tc>
        <w:tc>
          <w:tcPr>
            <w:tcW w:w="1065" w:type="dxa"/>
            <w:noWrap/>
          </w:tcPr>
          <w:p w14:paraId="5E7A7F49">
            <w:pPr>
              <w:spacing w:line="440" w:lineRule="exact"/>
              <w:jc w:val="center"/>
              <w:rPr>
                <w:rFonts w:ascii="宋体" w:hAnsi="宋体"/>
                <w:szCs w:val="21"/>
              </w:rPr>
            </w:pPr>
          </w:p>
        </w:tc>
        <w:tc>
          <w:tcPr>
            <w:tcW w:w="1065" w:type="dxa"/>
            <w:noWrap/>
          </w:tcPr>
          <w:p w14:paraId="135B86F2">
            <w:pPr>
              <w:spacing w:line="440" w:lineRule="exact"/>
              <w:jc w:val="center"/>
              <w:rPr>
                <w:rFonts w:ascii="宋体" w:hAnsi="宋体"/>
                <w:szCs w:val="21"/>
              </w:rPr>
            </w:pPr>
          </w:p>
        </w:tc>
        <w:tc>
          <w:tcPr>
            <w:tcW w:w="1065" w:type="dxa"/>
            <w:noWrap/>
          </w:tcPr>
          <w:p w14:paraId="4752A510">
            <w:pPr>
              <w:spacing w:line="440" w:lineRule="exact"/>
              <w:jc w:val="center"/>
              <w:rPr>
                <w:rFonts w:ascii="宋体" w:hAnsi="宋体"/>
                <w:szCs w:val="21"/>
              </w:rPr>
            </w:pPr>
          </w:p>
        </w:tc>
        <w:tc>
          <w:tcPr>
            <w:tcW w:w="1065" w:type="dxa"/>
            <w:noWrap/>
          </w:tcPr>
          <w:p w14:paraId="13D7163D">
            <w:pPr>
              <w:spacing w:line="440" w:lineRule="exact"/>
              <w:jc w:val="center"/>
              <w:rPr>
                <w:rFonts w:ascii="宋体" w:hAnsi="宋体"/>
                <w:szCs w:val="21"/>
              </w:rPr>
            </w:pPr>
          </w:p>
        </w:tc>
        <w:tc>
          <w:tcPr>
            <w:tcW w:w="1064" w:type="dxa"/>
            <w:noWrap/>
          </w:tcPr>
          <w:p w14:paraId="5D458CB8">
            <w:pPr>
              <w:spacing w:line="440" w:lineRule="exact"/>
              <w:jc w:val="center"/>
              <w:rPr>
                <w:rFonts w:ascii="宋体" w:hAnsi="宋体"/>
                <w:szCs w:val="21"/>
              </w:rPr>
            </w:pPr>
          </w:p>
        </w:tc>
      </w:tr>
      <w:tr w14:paraId="641A1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32400973">
            <w:pPr>
              <w:spacing w:line="440" w:lineRule="exact"/>
              <w:jc w:val="center"/>
              <w:rPr>
                <w:rFonts w:ascii="宋体" w:hAnsi="宋体"/>
                <w:szCs w:val="21"/>
              </w:rPr>
            </w:pPr>
          </w:p>
        </w:tc>
        <w:tc>
          <w:tcPr>
            <w:tcW w:w="1304" w:type="dxa"/>
            <w:noWrap/>
          </w:tcPr>
          <w:p w14:paraId="71AC3630">
            <w:pPr>
              <w:spacing w:line="440" w:lineRule="exact"/>
              <w:jc w:val="center"/>
              <w:rPr>
                <w:rFonts w:ascii="宋体" w:hAnsi="宋体"/>
                <w:szCs w:val="21"/>
              </w:rPr>
            </w:pPr>
          </w:p>
        </w:tc>
        <w:tc>
          <w:tcPr>
            <w:tcW w:w="1065" w:type="dxa"/>
            <w:noWrap/>
          </w:tcPr>
          <w:p w14:paraId="10859060">
            <w:pPr>
              <w:spacing w:line="440" w:lineRule="exact"/>
              <w:jc w:val="center"/>
              <w:rPr>
                <w:rFonts w:ascii="宋体" w:hAnsi="宋体"/>
                <w:szCs w:val="21"/>
              </w:rPr>
            </w:pPr>
          </w:p>
        </w:tc>
        <w:tc>
          <w:tcPr>
            <w:tcW w:w="1065" w:type="dxa"/>
            <w:noWrap/>
          </w:tcPr>
          <w:p w14:paraId="41DD6B36">
            <w:pPr>
              <w:spacing w:line="440" w:lineRule="exact"/>
              <w:jc w:val="center"/>
              <w:rPr>
                <w:rFonts w:ascii="宋体" w:hAnsi="宋体"/>
                <w:szCs w:val="21"/>
              </w:rPr>
            </w:pPr>
          </w:p>
        </w:tc>
        <w:tc>
          <w:tcPr>
            <w:tcW w:w="1065" w:type="dxa"/>
            <w:noWrap/>
          </w:tcPr>
          <w:p w14:paraId="1C6A5C9F">
            <w:pPr>
              <w:spacing w:line="440" w:lineRule="exact"/>
              <w:jc w:val="center"/>
              <w:rPr>
                <w:rFonts w:ascii="宋体" w:hAnsi="宋体"/>
                <w:szCs w:val="21"/>
              </w:rPr>
            </w:pPr>
          </w:p>
        </w:tc>
        <w:tc>
          <w:tcPr>
            <w:tcW w:w="1065" w:type="dxa"/>
            <w:noWrap/>
          </w:tcPr>
          <w:p w14:paraId="28B1834B">
            <w:pPr>
              <w:spacing w:line="440" w:lineRule="exact"/>
              <w:jc w:val="center"/>
              <w:rPr>
                <w:rFonts w:ascii="宋体" w:hAnsi="宋体"/>
                <w:szCs w:val="21"/>
              </w:rPr>
            </w:pPr>
          </w:p>
        </w:tc>
        <w:tc>
          <w:tcPr>
            <w:tcW w:w="1065" w:type="dxa"/>
            <w:noWrap/>
          </w:tcPr>
          <w:p w14:paraId="3687CE30">
            <w:pPr>
              <w:spacing w:line="440" w:lineRule="exact"/>
              <w:jc w:val="center"/>
              <w:rPr>
                <w:rFonts w:ascii="宋体" w:hAnsi="宋体"/>
                <w:szCs w:val="21"/>
              </w:rPr>
            </w:pPr>
          </w:p>
        </w:tc>
        <w:tc>
          <w:tcPr>
            <w:tcW w:w="1064" w:type="dxa"/>
            <w:noWrap/>
          </w:tcPr>
          <w:p w14:paraId="10AB68D6">
            <w:pPr>
              <w:spacing w:line="440" w:lineRule="exact"/>
              <w:jc w:val="center"/>
              <w:rPr>
                <w:rFonts w:ascii="宋体" w:hAnsi="宋体"/>
                <w:szCs w:val="21"/>
              </w:rPr>
            </w:pPr>
          </w:p>
        </w:tc>
      </w:tr>
      <w:tr w14:paraId="536F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noWrap/>
          </w:tcPr>
          <w:p w14:paraId="2E1F132A">
            <w:pPr>
              <w:spacing w:line="440" w:lineRule="exact"/>
              <w:rPr>
                <w:rFonts w:ascii="宋体" w:hAnsi="宋体"/>
                <w:szCs w:val="21"/>
              </w:rPr>
            </w:pPr>
          </w:p>
        </w:tc>
        <w:tc>
          <w:tcPr>
            <w:tcW w:w="1304" w:type="dxa"/>
            <w:noWrap/>
          </w:tcPr>
          <w:p w14:paraId="6FFB35A5">
            <w:pPr>
              <w:spacing w:line="440" w:lineRule="exact"/>
              <w:jc w:val="center"/>
              <w:rPr>
                <w:rFonts w:ascii="宋体" w:hAnsi="宋体"/>
                <w:szCs w:val="21"/>
              </w:rPr>
            </w:pPr>
          </w:p>
        </w:tc>
        <w:tc>
          <w:tcPr>
            <w:tcW w:w="1065" w:type="dxa"/>
            <w:noWrap/>
          </w:tcPr>
          <w:p w14:paraId="0C95CC99">
            <w:pPr>
              <w:spacing w:line="440" w:lineRule="exact"/>
              <w:jc w:val="center"/>
              <w:rPr>
                <w:rFonts w:ascii="宋体" w:hAnsi="宋体"/>
                <w:szCs w:val="21"/>
              </w:rPr>
            </w:pPr>
          </w:p>
        </w:tc>
        <w:tc>
          <w:tcPr>
            <w:tcW w:w="1065" w:type="dxa"/>
            <w:noWrap/>
          </w:tcPr>
          <w:p w14:paraId="0F5F6A2C">
            <w:pPr>
              <w:spacing w:line="440" w:lineRule="exact"/>
              <w:jc w:val="center"/>
              <w:rPr>
                <w:rFonts w:ascii="宋体" w:hAnsi="宋体"/>
                <w:szCs w:val="21"/>
              </w:rPr>
            </w:pPr>
          </w:p>
        </w:tc>
        <w:tc>
          <w:tcPr>
            <w:tcW w:w="1065" w:type="dxa"/>
            <w:noWrap/>
          </w:tcPr>
          <w:p w14:paraId="13EAE20D">
            <w:pPr>
              <w:spacing w:line="440" w:lineRule="exact"/>
              <w:jc w:val="center"/>
              <w:rPr>
                <w:rFonts w:ascii="宋体" w:hAnsi="宋体"/>
                <w:szCs w:val="21"/>
              </w:rPr>
            </w:pPr>
          </w:p>
        </w:tc>
        <w:tc>
          <w:tcPr>
            <w:tcW w:w="1065" w:type="dxa"/>
            <w:noWrap/>
          </w:tcPr>
          <w:p w14:paraId="2AC80AF9">
            <w:pPr>
              <w:spacing w:line="440" w:lineRule="exact"/>
              <w:jc w:val="center"/>
              <w:rPr>
                <w:rFonts w:ascii="宋体" w:hAnsi="宋体"/>
                <w:szCs w:val="21"/>
              </w:rPr>
            </w:pPr>
          </w:p>
        </w:tc>
        <w:tc>
          <w:tcPr>
            <w:tcW w:w="1065" w:type="dxa"/>
            <w:noWrap/>
          </w:tcPr>
          <w:p w14:paraId="6E19A40C">
            <w:pPr>
              <w:spacing w:line="440" w:lineRule="exact"/>
              <w:jc w:val="center"/>
              <w:rPr>
                <w:rFonts w:ascii="宋体" w:hAnsi="宋体"/>
                <w:szCs w:val="21"/>
              </w:rPr>
            </w:pPr>
          </w:p>
        </w:tc>
        <w:tc>
          <w:tcPr>
            <w:tcW w:w="1064" w:type="dxa"/>
            <w:noWrap/>
          </w:tcPr>
          <w:p w14:paraId="20F004AD">
            <w:pPr>
              <w:spacing w:line="440" w:lineRule="exact"/>
              <w:jc w:val="center"/>
              <w:rPr>
                <w:rFonts w:ascii="宋体" w:hAnsi="宋体"/>
                <w:szCs w:val="21"/>
              </w:rPr>
            </w:pPr>
          </w:p>
        </w:tc>
      </w:tr>
    </w:tbl>
    <w:p w14:paraId="755CCE22">
      <w:pPr>
        <w:rPr>
          <w:rFonts w:ascii="宋体" w:hAnsi="宋体"/>
          <w:kern w:val="0"/>
          <w:sz w:val="20"/>
          <w:szCs w:val="20"/>
        </w:rPr>
      </w:pPr>
      <w:bookmarkStart w:id="502" w:name="_Toc144974868"/>
      <w:bookmarkStart w:id="503" w:name="_Toc152045800"/>
      <w:bookmarkStart w:id="504" w:name="_Toc246997110"/>
      <w:bookmarkStart w:id="505" w:name="_Toc246996367"/>
      <w:bookmarkStart w:id="506" w:name="_Toc152042589"/>
      <w:bookmarkStart w:id="507" w:name="_Toc179632820"/>
    </w:p>
    <w:p w14:paraId="505D6028">
      <w:pPr>
        <w:rPr>
          <w:rFonts w:ascii="宋体" w:hAnsi="宋体"/>
          <w:b/>
          <w:kern w:val="0"/>
          <w:sz w:val="32"/>
          <w:szCs w:val="32"/>
        </w:rPr>
      </w:pPr>
      <w:r>
        <w:rPr>
          <w:rFonts w:ascii="宋体" w:hAnsi="宋体"/>
          <w:kern w:val="0"/>
          <w:sz w:val="20"/>
          <w:szCs w:val="20"/>
        </w:rPr>
        <w:br w:type="page"/>
      </w:r>
      <w:bookmarkStart w:id="508" w:name="_Toc247085885"/>
      <w:bookmarkStart w:id="509" w:name="_Toc296602612"/>
      <w:r>
        <w:rPr>
          <w:rFonts w:ascii="宋体" w:hAnsi="宋体"/>
          <w:b/>
          <w:kern w:val="0"/>
          <w:sz w:val="32"/>
          <w:szCs w:val="32"/>
        </w:rPr>
        <w:t>附表</w:t>
      </w:r>
      <w:r>
        <w:rPr>
          <w:rFonts w:hint="eastAsia" w:ascii="宋体" w:hAnsi="宋体"/>
          <w:b/>
          <w:kern w:val="0"/>
          <w:sz w:val="32"/>
          <w:szCs w:val="32"/>
        </w:rPr>
        <w:t>三</w:t>
      </w:r>
      <w:r>
        <w:rPr>
          <w:rFonts w:ascii="宋体" w:hAnsi="宋体"/>
          <w:b/>
          <w:kern w:val="0"/>
          <w:sz w:val="32"/>
          <w:szCs w:val="32"/>
        </w:rPr>
        <w:t>：进度</w:t>
      </w:r>
      <w:r>
        <w:rPr>
          <w:rFonts w:hint="eastAsia" w:ascii="宋体" w:hAnsi="宋体"/>
          <w:b/>
          <w:kern w:val="0"/>
          <w:sz w:val="32"/>
          <w:szCs w:val="32"/>
        </w:rPr>
        <w:t>计划</w:t>
      </w:r>
      <w:bookmarkEnd w:id="502"/>
      <w:bookmarkEnd w:id="503"/>
      <w:bookmarkEnd w:id="504"/>
      <w:bookmarkEnd w:id="505"/>
      <w:bookmarkEnd w:id="506"/>
      <w:bookmarkEnd w:id="507"/>
      <w:bookmarkEnd w:id="508"/>
      <w:bookmarkEnd w:id="509"/>
    </w:p>
    <w:p w14:paraId="68AD66F1">
      <w:pPr>
        <w:spacing w:line="440" w:lineRule="exact"/>
        <w:rPr>
          <w:rFonts w:ascii="宋体" w:hAnsi="宋体"/>
          <w:sz w:val="20"/>
          <w:szCs w:val="20"/>
        </w:rPr>
      </w:pPr>
    </w:p>
    <w:p w14:paraId="1C81E81D">
      <w:pPr>
        <w:spacing w:line="440" w:lineRule="exact"/>
        <w:ind w:firstLine="480" w:firstLineChars="200"/>
        <w:rPr>
          <w:rFonts w:ascii="宋体" w:hAnsi="宋体"/>
          <w:sz w:val="24"/>
          <w:szCs w:val="21"/>
        </w:rPr>
      </w:pPr>
      <w:r>
        <w:rPr>
          <w:rFonts w:ascii="宋体" w:hAnsi="宋体"/>
          <w:sz w:val="24"/>
          <w:szCs w:val="21"/>
        </w:rPr>
        <w:t>1. 投标人应递交施工进度网络图或施工进度表，说明按竞争性磋商文件要求的计划工期进行施工的各个关键日期。</w:t>
      </w:r>
    </w:p>
    <w:p w14:paraId="3DF01FF7">
      <w:pPr>
        <w:spacing w:line="440" w:lineRule="exact"/>
        <w:ind w:firstLine="480" w:firstLineChars="200"/>
        <w:rPr>
          <w:rFonts w:ascii="宋体" w:hAnsi="宋体"/>
          <w:sz w:val="24"/>
          <w:szCs w:val="21"/>
        </w:rPr>
      </w:pPr>
      <w:r>
        <w:rPr>
          <w:rFonts w:ascii="宋体" w:hAnsi="宋体"/>
          <w:sz w:val="24"/>
          <w:szCs w:val="21"/>
        </w:rPr>
        <w:t>2. 施</w:t>
      </w:r>
      <w:r>
        <w:rPr>
          <w:rFonts w:hint="eastAsia" w:ascii="宋体" w:hAnsi="宋体"/>
          <w:sz w:val="24"/>
          <w:szCs w:val="21"/>
        </w:rPr>
        <w:t>工</w:t>
      </w:r>
      <w:r>
        <w:rPr>
          <w:rFonts w:ascii="宋体" w:hAnsi="宋体"/>
          <w:sz w:val="24"/>
          <w:szCs w:val="21"/>
        </w:rPr>
        <w:t>进度表可采用网络图或横道图表示。</w:t>
      </w:r>
    </w:p>
    <w:p w14:paraId="5EDF1885">
      <w:pPr>
        <w:spacing w:line="440" w:lineRule="exact"/>
        <w:rPr>
          <w:rFonts w:ascii="宋体" w:hAnsi="宋体"/>
          <w:sz w:val="20"/>
          <w:szCs w:val="20"/>
        </w:rPr>
      </w:pPr>
    </w:p>
    <w:p w14:paraId="34BAC21C">
      <w:pPr>
        <w:spacing w:line="440" w:lineRule="exact"/>
        <w:jc w:val="center"/>
        <w:rPr>
          <w:rFonts w:ascii="宋体" w:hAnsi="宋体" w:cs="宋体"/>
          <w:b/>
          <w:sz w:val="32"/>
          <w:szCs w:val="32"/>
        </w:rPr>
      </w:pPr>
    </w:p>
    <w:p w14:paraId="74405A33">
      <w:pPr>
        <w:spacing w:line="360" w:lineRule="auto"/>
        <w:ind w:firstLine="420"/>
        <w:rPr>
          <w:rFonts w:ascii="宋体" w:hAnsi="宋体"/>
          <w:kern w:val="0"/>
          <w:sz w:val="28"/>
          <w:szCs w:val="28"/>
        </w:rPr>
      </w:pPr>
    </w:p>
    <w:p w14:paraId="3C91A694">
      <w:pPr>
        <w:spacing w:before="100" w:beforeAutospacing="1" w:after="120" w:line="360" w:lineRule="auto"/>
        <w:ind w:left="420" w:leftChars="200" w:firstLine="420"/>
        <w:rPr>
          <w:rFonts w:ascii="宋体" w:hAnsi="宋体"/>
          <w:kern w:val="0"/>
          <w:sz w:val="20"/>
          <w:szCs w:val="21"/>
        </w:rPr>
      </w:pPr>
    </w:p>
    <w:p w14:paraId="31AB8B89">
      <w:pPr>
        <w:spacing w:before="100" w:beforeAutospacing="1" w:after="120" w:line="360" w:lineRule="auto"/>
        <w:ind w:left="420" w:leftChars="200" w:firstLine="420"/>
        <w:rPr>
          <w:rFonts w:ascii="宋体" w:hAnsi="宋体"/>
          <w:kern w:val="0"/>
          <w:sz w:val="20"/>
          <w:szCs w:val="21"/>
        </w:rPr>
      </w:pPr>
    </w:p>
    <w:p w14:paraId="35327C2F">
      <w:pPr>
        <w:spacing w:before="100" w:beforeAutospacing="1" w:after="120" w:line="360" w:lineRule="auto"/>
        <w:ind w:left="420" w:leftChars="200" w:firstLine="420"/>
        <w:rPr>
          <w:rFonts w:ascii="宋体" w:hAnsi="宋体"/>
          <w:kern w:val="0"/>
          <w:sz w:val="20"/>
          <w:szCs w:val="21"/>
        </w:rPr>
      </w:pPr>
    </w:p>
    <w:p w14:paraId="78A6B2FB">
      <w:pPr>
        <w:spacing w:before="100" w:beforeAutospacing="1" w:after="120" w:line="360" w:lineRule="auto"/>
        <w:ind w:left="420" w:leftChars="200" w:firstLine="420"/>
        <w:rPr>
          <w:rFonts w:ascii="宋体" w:hAnsi="宋体"/>
          <w:kern w:val="0"/>
          <w:sz w:val="20"/>
          <w:szCs w:val="21"/>
        </w:rPr>
      </w:pPr>
    </w:p>
    <w:p w14:paraId="6215B6D2">
      <w:pPr>
        <w:spacing w:before="100" w:beforeAutospacing="1" w:after="120" w:line="360" w:lineRule="auto"/>
        <w:ind w:left="420" w:leftChars="200" w:firstLine="420"/>
        <w:rPr>
          <w:rFonts w:ascii="宋体" w:hAnsi="宋体"/>
          <w:kern w:val="0"/>
          <w:sz w:val="20"/>
          <w:szCs w:val="21"/>
        </w:rPr>
      </w:pPr>
    </w:p>
    <w:p w14:paraId="7064A683">
      <w:pPr>
        <w:spacing w:before="100" w:beforeAutospacing="1" w:after="120" w:line="360" w:lineRule="auto"/>
        <w:ind w:left="420" w:leftChars="200" w:firstLine="420"/>
        <w:rPr>
          <w:rFonts w:ascii="宋体" w:hAnsi="宋体"/>
          <w:kern w:val="0"/>
          <w:sz w:val="20"/>
          <w:szCs w:val="21"/>
        </w:rPr>
      </w:pPr>
    </w:p>
    <w:p w14:paraId="19AE7CF7">
      <w:pPr>
        <w:shd w:val="clear" w:color="auto" w:fill="FFFFFF"/>
        <w:tabs>
          <w:tab w:val="right" w:pos="6077"/>
        </w:tabs>
        <w:autoSpaceDE w:val="0"/>
        <w:autoSpaceDN w:val="0"/>
        <w:spacing w:line="560" w:lineRule="exact"/>
        <w:jc w:val="center"/>
        <w:outlineLvl w:val="1"/>
        <w:rPr>
          <w:rFonts w:ascii="宋体" w:hAnsi="宋体" w:cs="宋体"/>
          <w:b/>
          <w:sz w:val="32"/>
          <w:szCs w:val="32"/>
        </w:rPr>
      </w:pPr>
      <w:r>
        <w:rPr>
          <w:rFonts w:hint="eastAsia" w:ascii="宋体" w:hAnsi="宋体" w:cs="宋体"/>
          <w:b/>
          <w:sz w:val="32"/>
          <w:szCs w:val="32"/>
        </w:rPr>
        <w:br w:type="page"/>
      </w:r>
      <w:bookmarkStart w:id="510" w:name="_Toc171014048"/>
      <w:r>
        <w:rPr>
          <w:rFonts w:hint="eastAsia" w:ascii="宋体" w:hAnsi="宋体" w:cs="宋体"/>
          <w:b/>
          <w:sz w:val="32"/>
          <w:szCs w:val="32"/>
        </w:rPr>
        <w:t>六、项目管理机构</w:t>
      </w:r>
      <w:bookmarkEnd w:id="510"/>
    </w:p>
    <w:p w14:paraId="6C21CEB4">
      <w:pPr>
        <w:keepNext/>
        <w:keepLines/>
        <w:spacing w:before="260" w:after="260" w:line="408" w:lineRule="auto"/>
        <w:jc w:val="center"/>
        <w:outlineLvl w:val="2"/>
        <w:rPr>
          <w:rFonts w:ascii="宋体" w:hAnsi="宋体" w:cs="宋体"/>
          <w:b/>
          <w:bCs/>
          <w:kern w:val="0"/>
          <w:sz w:val="32"/>
          <w:szCs w:val="32"/>
        </w:rPr>
      </w:pPr>
      <w:bookmarkStart w:id="511" w:name="_Toc246997113"/>
      <w:bookmarkStart w:id="512" w:name="_Toc152042593"/>
      <w:bookmarkStart w:id="513" w:name="_Toc77586975"/>
      <w:bookmarkStart w:id="514" w:name="_Toc247085888"/>
      <w:bookmarkStart w:id="515" w:name="_Toc77586877"/>
      <w:bookmarkStart w:id="516" w:name="_Toc296602615"/>
      <w:bookmarkStart w:id="517" w:name="_Toc246996370"/>
      <w:bookmarkStart w:id="518" w:name="_Toc171014049"/>
      <w:bookmarkStart w:id="519" w:name="_Toc144974872"/>
      <w:bookmarkStart w:id="520" w:name="_Toc152045804"/>
      <w:bookmarkStart w:id="521" w:name="_Toc179632824"/>
      <w:bookmarkStart w:id="522" w:name="_Toc9871"/>
      <w:r>
        <w:rPr>
          <w:rFonts w:hint="eastAsia" w:ascii="宋体" w:hAnsi="宋体" w:cs="宋体"/>
          <w:b/>
          <w:bCs/>
          <w:kern w:val="0"/>
          <w:sz w:val="32"/>
          <w:szCs w:val="32"/>
        </w:rPr>
        <w:t>（一）项目管理机构组成表</w:t>
      </w:r>
      <w:bookmarkEnd w:id="511"/>
      <w:bookmarkEnd w:id="512"/>
      <w:bookmarkEnd w:id="513"/>
      <w:bookmarkEnd w:id="514"/>
      <w:bookmarkEnd w:id="515"/>
      <w:bookmarkEnd w:id="516"/>
      <w:bookmarkEnd w:id="517"/>
      <w:bookmarkEnd w:id="518"/>
      <w:bookmarkEnd w:id="519"/>
      <w:bookmarkEnd w:id="520"/>
      <w:bookmarkEnd w:id="521"/>
      <w:bookmarkEnd w:id="522"/>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721"/>
        <w:gridCol w:w="719"/>
        <w:gridCol w:w="1232"/>
        <w:gridCol w:w="1042"/>
        <w:gridCol w:w="992"/>
        <w:gridCol w:w="1276"/>
        <w:gridCol w:w="1221"/>
        <w:gridCol w:w="775"/>
      </w:tblGrid>
      <w:tr w14:paraId="1B9F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3" w:type="dxa"/>
            <w:vMerge w:val="restart"/>
            <w:noWrap/>
            <w:vAlign w:val="center"/>
          </w:tcPr>
          <w:p w14:paraId="75D8FD7D">
            <w:pPr>
              <w:spacing w:line="440" w:lineRule="exact"/>
              <w:jc w:val="center"/>
              <w:rPr>
                <w:rFonts w:ascii="宋体" w:hAnsi="宋体" w:cs="宋体"/>
                <w:sz w:val="24"/>
              </w:rPr>
            </w:pPr>
            <w:r>
              <w:rPr>
                <w:rFonts w:hint="eastAsia" w:ascii="宋体" w:hAnsi="宋体" w:cs="宋体"/>
                <w:sz w:val="24"/>
              </w:rPr>
              <w:t>职务</w:t>
            </w:r>
          </w:p>
        </w:tc>
        <w:tc>
          <w:tcPr>
            <w:tcW w:w="721" w:type="dxa"/>
            <w:vMerge w:val="restart"/>
            <w:noWrap/>
            <w:vAlign w:val="center"/>
          </w:tcPr>
          <w:p w14:paraId="2EA3D2D8">
            <w:pPr>
              <w:spacing w:line="440" w:lineRule="exact"/>
              <w:jc w:val="center"/>
              <w:rPr>
                <w:rFonts w:ascii="宋体" w:hAnsi="宋体" w:cs="宋体"/>
                <w:sz w:val="24"/>
              </w:rPr>
            </w:pPr>
            <w:r>
              <w:rPr>
                <w:rFonts w:hint="eastAsia" w:ascii="宋体" w:hAnsi="宋体" w:cs="宋体"/>
                <w:sz w:val="24"/>
              </w:rPr>
              <w:t>姓名</w:t>
            </w:r>
          </w:p>
        </w:tc>
        <w:tc>
          <w:tcPr>
            <w:tcW w:w="719" w:type="dxa"/>
            <w:vMerge w:val="restart"/>
            <w:noWrap/>
            <w:vAlign w:val="center"/>
          </w:tcPr>
          <w:p w14:paraId="1A30682A">
            <w:pPr>
              <w:spacing w:line="440" w:lineRule="exact"/>
              <w:jc w:val="center"/>
              <w:rPr>
                <w:rFonts w:ascii="宋体" w:hAnsi="宋体" w:cs="宋体"/>
                <w:sz w:val="24"/>
              </w:rPr>
            </w:pPr>
            <w:r>
              <w:rPr>
                <w:rFonts w:hint="eastAsia" w:ascii="宋体" w:hAnsi="宋体" w:cs="宋体"/>
                <w:sz w:val="24"/>
              </w:rPr>
              <w:t>职称</w:t>
            </w:r>
          </w:p>
        </w:tc>
        <w:tc>
          <w:tcPr>
            <w:tcW w:w="5763" w:type="dxa"/>
            <w:gridSpan w:val="5"/>
            <w:noWrap/>
            <w:vAlign w:val="center"/>
          </w:tcPr>
          <w:p w14:paraId="0580583B">
            <w:pPr>
              <w:spacing w:line="440" w:lineRule="exact"/>
              <w:jc w:val="center"/>
              <w:rPr>
                <w:rFonts w:ascii="宋体" w:hAnsi="宋体" w:cs="宋体"/>
                <w:sz w:val="24"/>
              </w:rPr>
            </w:pPr>
            <w:r>
              <w:rPr>
                <w:rFonts w:hint="eastAsia" w:ascii="宋体" w:hAnsi="宋体" w:cs="宋体"/>
                <w:sz w:val="24"/>
              </w:rPr>
              <w:t>执业或职业资格证明</w:t>
            </w:r>
          </w:p>
        </w:tc>
        <w:tc>
          <w:tcPr>
            <w:tcW w:w="775" w:type="dxa"/>
            <w:vMerge w:val="restart"/>
            <w:noWrap/>
            <w:vAlign w:val="center"/>
          </w:tcPr>
          <w:p w14:paraId="611F949C">
            <w:pPr>
              <w:spacing w:line="440" w:lineRule="exact"/>
              <w:jc w:val="center"/>
              <w:rPr>
                <w:rFonts w:ascii="宋体" w:hAnsi="宋体" w:cs="宋体"/>
                <w:sz w:val="24"/>
              </w:rPr>
            </w:pPr>
            <w:r>
              <w:rPr>
                <w:rFonts w:hint="eastAsia" w:ascii="宋体" w:hAnsi="宋体" w:cs="宋体"/>
                <w:sz w:val="24"/>
              </w:rPr>
              <w:t>备注</w:t>
            </w:r>
          </w:p>
        </w:tc>
      </w:tr>
      <w:tr w14:paraId="45BB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73" w:type="dxa"/>
            <w:vMerge w:val="continue"/>
            <w:noWrap/>
            <w:vAlign w:val="center"/>
          </w:tcPr>
          <w:p w14:paraId="326D440A">
            <w:pPr>
              <w:spacing w:line="440" w:lineRule="exact"/>
              <w:jc w:val="center"/>
              <w:rPr>
                <w:rFonts w:ascii="宋体" w:hAnsi="宋体" w:cs="宋体"/>
                <w:sz w:val="24"/>
              </w:rPr>
            </w:pPr>
          </w:p>
        </w:tc>
        <w:tc>
          <w:tcPr>
            <w:tcW w:w="721" w:type="dxa"/>
            <w:vMerge w:val="continue"/>
            <w:noWrap/>
            <w:vAlign w:val="center"/>
          </w:tcPr>
          <w:p w14:paraId="2C61ADA0">
            <w:pPr>
              <w:spacing w:line="440" w:lineRule="exact"/>
              <w:jc w:val="center"/>
              <w:rPr>
                <w:rFonts w:ascii="宋体" w:hAnsi="宋体" w:cs="宋体"/>
                <w:sz w:val="24"/>
              </w:rPr>
            </w:pPr>
          </w:p>
        </w:tc>
        <w:tc>
          <w:tcPr>
            <w:tcW w:w="719" w:type="dxa"/>
            <w:vMerge w:val="continue"/>
            <w:noWrap/>
            <w:vAlign w:val="center"/>
          </w:tcPr>
          <w:p w14:paraId="2C3E72A5">
            <w:pPr>
              <w:spacing w:line="440" w:lineRule="exact"/>
              <w:jc w:val="center"/>
              <w:rPr>
                <w:rFonts w:ascii="宋体" w:hAnsi="宋体" w:cs="宋体"/>
                <w:sz w:val="24"/>
              </w:rPr>
            </w:pPr>
          </w:p>
        </w:tc>
        <w:tc>
          <w:tcPr>
            <w:tcW w:w="1232" w:type="dxa"/>
            <w:noWrap/>
            <w:vAlign w:val="center"/>
          </w:tcPr>
          <w:p w14:paraId="262190CD">
            <w:pPr>
              <w:spacing w:line="440" w:lineRule="exact"/>
              <w:jc w:val="center"/>
              <w:rPr>
                <w:rFonts w:ascii="宋体" w:hAnsi="宋体" w:cs="宋体"/>
                <w:sz w:val="24"/>
              </w:rPr>
            </w:pPr>
            <w:r>
              <w:rPr>
                <w:rFonts w:hint="eastAsia" w:ascii="宋体" w:hAnsi="宋体" w:cs="宋体"/>
                <w:sz w:val="24"/>
              </w:rPr>
              <w:t>证书名称</w:t>
            </w:r>
          </w:p>
        </w:tc>
        <w:tc>
          <w:tcPr>
            <w:tcW w:w="1042" w:type="dxa"/>
            <w:noWrap/>
            <w:vAlign w:val="center"/>
          </w:tcPr>
          <w:p w14:paraId="67FE2C03">
            <w:pPr>
              <w:spacing w:line="440" w:lineRule="exact"/>
              <w:jc w:val="center"/>
              <w:rPr>
                <w:rFonts w:ascii="宋体" w:hAnsi="宋体" w:cs="宋体"/>
                <w:sz w:val="24"/>
              </w:rPr>
            </w:pPr>
            <w:r>
              <w:rPr>
                <w:rFonts w:hint="eastAsia" w:ascii="宋体" w:hAnsi="宋体" w:cs="宋体"/>
                <w:sz w:val="24"/>
              </w:rPr>
              <w:t>级别</w:t>
            </w:r>
          </w:p>
        </w:tc>
        <w:tc>
          <w:tcPr>
            <w:tcW w:w="992" w:type="dxa"/>
            <w:noWrap/>
            <w:vAlign w:val="center"/>
          </w:tcPr>
          <w:p w14:paraId="748E48D0">
            <w:pPr>
              <w:spacing w:line="440" w:lineRule="exact"/>
              <w:jc w:val="center"/>
              <w:rPr>
                <w:rFonts w:ascii="宋体" w:hAnsi="宋体" w:cs="宋体"/>
                <w:sz w:val="24"/>
              </w:rPr>
            </w:pPr>
            <w:r>
              <w:rPr>
                <w:rFonts w:hint="eastAsia" w:ascii="宋体" w:hAnsi="宋体" w:cs="宋体"/>
                <w:sz w:val="24"/>
              </w:rPr>
              <w:t>证号</w:t>
            </w:r>
          </w:p>
        </w:tc>
        <w:tc>
          <w:tcPr>
            <w:tcW w:w="1276" w:type="dxa"/>
            <w:noWrap/>
            <w:vAlign w:val="center"/>
          </w:tcPr>
          <w:p w14:paraId="3000E850">
            <w:pPr>
              <w:spacing w:line="440" w:lineRule="exact"/>
              <w:jc w:val="center"/>
              <w:rPr>
                <w:rFonts w:ascii="宋体" w:hAnsi="宋体" w:cs="宋体"/>
                <w:sz w:val="24"/>
              </w:rPr>
            </w:pPr>
            <w:r>
              <w:rPr>
                <w:rFonts w:hint="eastAsia" w:ascii="宋体" w:hAnsi="宋体" w:cs="宋体"/>
                <w:sz w:val="24"/>
              </w:rPr>
              <w:t>专业</w:t>
            </w:r>
          </w:p>
        </w:tc>
        <w:tc>
          <w:tcPr>
            <w:tcW w:w="1221" w:type="dxa"/>
            <w:noWrap/>
            <w:vAlign w:val="center"/>
          </w:tcPr>
          <w:p w14:paraId="5AEC1ED1">
            <w:pPr>
              <w:spacing w:line="440" w:lineRule="exact"/>
              <w:jc w:val="center"/>
              <w:rPr>
                <w:rFonts w:ascii="宋体" w:hAnsi="宋体" w:cs="宋体"/>
                <w:sz w:val="24"/>
              </w:rPr>
            </w:pPr>
            <w:r>
              <w:rPr>
                <w:rFonts w:hint="eastAsia" w:ascii="宋体" w:hAnsi="宋体" w:cs="宋体"/>
                <w:sz w:val="24"/>
              </w:rPr>
              <w:t>养老保险</w:t>
            </w:r>
          </w:p>
        </w:tc>
        <w:tc>
          <w:tcPr>
            <w:tcW w:w="775" w:type="dxa"/>
            <w:vMerge w:val="continue"/>
            <w:noWrap/>
            <w:vAlign w:val="center"/>
          </w:tcPr>
          <w:p w14:paraId="54AE6DFB">
            <w:pPr>
              <w:spacing w:line="440" w:lineRule="exact"/>
              <w:jc w:val="center"/>
              <w:rPr>
                <w:rFonts w:ascii="宋体" w:hAnsi="宋体" w:cs="宋体"/>
                <w:sz w:val="24"/>
              </w:rPr>
            </w:pPr>
          </w:p>
        </w:tc>
      </w:tr>
      <w:tr w14:paraId="542F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vAlign w:val="center"/>
          </w:tcPr>
          <w:p w14:paraId="12C987D2">
            <w:pPr>
              <w:spacing w:line="440" w:lineRule="exact"/>
              <w:jc w:val="center"/>
              <w:rPr>
                <w:rFonts w:ascii="宋体" w:hAnsi="宋体" w:cs="宋体"/>
                <w:sz w:val="24"/>
              </w:rPr>
            </w:pPr>
          </w:p>
        </w:tc>
        <w:tc>
          <w:tcPr>
            <w:tcW w:w="721" w:type="dxa"/>
            <w:noWrap/>
            <w:vAlign w:val="center"/>
          </w:tcPr>
          <w:p w14:paraId="50754752">
            <w:pPr>
              <w:spacing w:line="440" w:lineRule="exact"/>
              <w:jc w:val="center"/>
              <w:rPr>
                <w:rFonts w:ascii="宋体" w:hAnsi="宋体" w:cs="宋体"/>
                <w:sz w:val="24"/>
              </w:rPr>
            </w:pPr>
          </w:p>
        </w:tc>
        <w:tc>
          <w:tcPr>
            <w:tcW w:w="719" w:type="dxa"/>
            <w:noWrap/>
            <w:vAlign w:val="center"/>
          </w:tcPr>
          <w:p w14:paraId="0D630855">
            <w:pPr>
              <w:spacing w:line="440" w:lineRule="exact"/>
              <w:jc w:val="center"/>
              <w:rPr>
                <w:rFonts w:ascii="宋体" w:hAnsi="宋体" w:cs="宋体"/>
                <w:sz w:val="24"/>
              </w:rPr>
            </w:pPr>
          </w:p>
        </w:tc>
        <w:tc>
          <w:tcPr>
            <w:tcW w:w="1232" w:type="dxa"/>
            <w:noWrap/>
            <w:vAlign w:val="center"/>
          </w:tcPr>
          <w:p w14:paraId="60CF5EC3">
            <w:pPr>
              <w:spacing w:line="440" w:lineRule="exact"/>
              <w:jc w:val="center"/>
              <w:rPr>
                <w:rFonts w:ascii="宋体" w:hAnsi="宋体" w:cs="宋体"/>
                <w:sz w:val="24"/>
              </w:rPr>
            </w:pPr>
          </w:p>
        </w:tc>
        <w:tc>
          <w:tcPr>
            <w:tcW w:w="1042" w:type="dxa"/>
            <w:noWrap/>
            <w:vAlign w:val="center"/>
          </w:tcPr>
          <w:p w14:paraId="63B5DBF3">
            <w:pPr>
              <w:spacing w:line="440" w:lineRule="exact"/>
              <w:jc w:val="center"/>
              <w:rPr>
                <w:rFonts w:ascii="宋体" w:hAnsi="宋体" w:cs="宋体"/>
                <w:sz w:val="24"/>
              </w:rPr>
            </w:pPr>
          </w:p>
        </w:tc>
        <w:tc>
          <w:tcPr>
            <w:tcW w:w="992" w:type="dxa"/>
            <w:noWrap/>
            <w:vAlign w:val="center"/>
          </w:tcPr>
          <w:p w14:paraId="0ED9656A">
            <w:pPr>
              <w:spacing w:line="440" w:lineRule="exact"/>
              <w:jc w:val="center"/>
              <w:rPr>
                <w:rFonts w:ascii="宋体" w:hAnsi="宋体" w:cs="宋体"/>
                <w:sz w:val="24"/>
              </w:rPr>
            </w:pPr>
          </w:p>
        </w:tc>
        <w:tc>
          <w:tcPr>
            <w:tcW w:w="1276" w:type="dxa"/>
            <w:noWrap/>
            <w:vAlign w:val="center"/>
          </w:tcPr>
          <w:p w14:paraId="6B5A9EAB">
            <w:pPr>
              <w:spacing w:line="440" w:lineRule="exact"/>
              <w:jc w:val="center"/>
              <w:rPr>
                <w:rFonts w:ascii="宋体" w:hAnsi="宋体" w:cs="宋体"/>
                <w:sz w:val="24"/>
              </w:rPr>
            </w:pPr>
          </w:p>
        </w:tc>
        <w:tc>
          <w:tcPr>
            <w:tcW w:w="1221" w:type="dxa"/>
            <w:noWrap/>
            <w:vAlign w:val="center"/>
          </w:tcPr>
          <w:p w14:paraId="6A8BE11C">
            <w:pPr>
              <w:spacing w:line="440" w:lineRule="exact"/>
              <w:jc w:val="center"/>
              <w:rPr>
                <w:rFonts w:ascii="宋体" w:hAnsi="宋体" w:cs="宋体"/>
                <w:sz w:val="24"/>
              </w:rPr>
            </w:pPr>
          </w:p>
        </w:tc>
        <w:tc>
          <w:tcPr>
            <w:tcW w:w="775" w:type="dxa"/>
            <w:noWrap/>
            <w:vAlign w:val="center"/>
          </w:tcPr>
          <w:p w14:paraId="2A3E7A61">
            <w:pPr>
              <w:spacing w:line="440" w:lineRule="exact"/>
              <w:jc w:val="center"/>
              <w:rPr>
                <w:rFonts w:ascii="宋体" w:hAnsi="宋体" w:cs="宋体"/>
                <w:sz w:val="24"/>
              </w:rPr>
            </w:pPr>
          </w:p>
        </w:tc>
      </w:tr>
      <w:tr w14:paraId="53E0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tcPr>
          <w:p w14:paraId="4F4278AA">
            <w:pPr>
              <w:spacing w:line="440" w:lineRule="exact"/>
              <w:jc w:val="center"/>
              <w:rPr>
                <w:rFonts w:ascii="宋体" w:hAnsi="宋体" w:cs="宋体"/>
                <w:sz w:val="24"/>
              </w:rPr>
            </w:pPr>
          </w:p>
        </w:tc>
        <w:tc>
          <w:tcPr>
            <w:tcW w:w="721" w:type="dxa"/>
            <w:noWrap/>
          </w:tcPr>
          <w:p w14:paraId="1CF36ECC">
            <w:pPr>
              <w:spacing w:line="440" w:lineRule="exact"/>
              <w:jc w:val="center"/>
              <w:rPr>
                <w:rFonts w:ascii="宋体" w:hAnsi="宋体" w:cs="宋体"/>
                <w:sz w:val="24"/>
              </w:rPr>
            </w:pPr>
          </w:p>
        </w:tc>
        <w:tc>
          <w:tcPr>
            <w:tcW w:w="719" w:type="dxa"/>
            <w:noWrap/>
          </w:tcPr>
          <w:p w14:paraId="6F4382CD">
            <w:pPr>
              <w:spacing w:line="440" w:lineRule="exact"/>
              <w:jc w:val="center"/>
              <w:rPr>
                <w:rFonts w:ascii="宋体" w:hAnsi="宋体" w:cs="宋体"/>
                <w:sz w:val="24"/>
              </w:rPr>
            </w:pPr>
          </w:p>
        </w:tc>
        <w:tc>
          <w:tcPr>
            <w:tcW w:w="1232" w:type="dxa"/>
            <w:noWrap/>
          </w:tcPr>
          <w:p w14:paraId="761E4980">
            <w:pPr>
              <w:spacing w:line="440" w:lineRule="exact"/>
              <w:jc w:val="center"/>
              <w:rPr>
                <w:rFonts w:ascii="宋体" w:hAnsi="宋体" w:cs="宋体"/>
                <w:sz w:val="24"/>
              </w:rPr>
            </w:pPr>
          </w:p>
        </w:tc>
        <w:tc>
          <w:tcPr>
            <w:tcW w:w="1042" w:type="dxa"/>
            <w:noWrap/>
          </w:tcPr>
          <w:p w14:paraId="38059386">
            <w:pPr>
              <w:spacing w:line="440" w:lineRule="exact"/>
              <w:jc w:val="center"/>
              <w:rPr>
                <w:rFonts w:ascii="宋体" w:hAnsi="宋体" w:cs="宋体"/>
                <w:sz w:val="24"/>
              </w:rPr>
            </w:pPr>
          </w:p>
        </w:tc>
        <w:tc>
          <w:tcPr>
            <w:tcW w:w="992" w:type="dxa"/>
            <w:noWrap/>
          </w:tcPr>
          <w:p w14:paraId="485F7913">
            <w:pPr>
              <w:spacing w:line="440" w:lineRule="exact"/>
              <w:jc w:val="center"/>
              <w:rPr>
                <w:rFonts w:ascii="宋体" w:hAnsi="宋体" w:cs="宋体"/>
                <w:sz w:val="24"/>
              </w:rPr>
            </w:pPr>
          </w:p>
        </w:tc>
        <w:tc>
          <w:tcPr>
            <w:tcW w:w="1276" w:type="dxa"/>
            <w:noWrap/>
          </w:tcPr>
          <w:p w14:paraId="0F77EE7D">
            <w:pPr>
              <w:spacing w:line="440" w:lineRule="exact"/>
              <w:jc w:val="center"/>
              <w:rPr>
                <w:rFonts w:ascii="宋体" w:hAnsi="宋体" w:cs="宋体"/>
                <w:sz w:val="24"/>
              </w:rPr>
            </w:pPr>
          </w:p>
        </w:tc>
        <w:tc>
          <w:tcPr>
            <w:tcW w:w="1221" w:type="dxa"/>
            <w:noWrap/>
          </w:tcPr>
          <w:p w14:paraId="36D4AC8E">
            <w:pPr>
              <w:spacing w:line="440" w:lineRule="exact"/>
              <w:jc w:val="center"/>
              <w:rPr>
                <w:rFonts w:ascii="宋体" w:hAnsi="宋体" w:cs="宋体"/>
                <w:sz w:val="24"/>
              </w:rPr>
            </w:pPr>
          </w:p>
        </w:tc>
        <w:tc>
          <w:tcPr>
            <w:tcW w:w="775" w:type="dxa"/>
            <w:noWrap/>
          </w:tcPr>
          <w:p w14:paraId="40C796D8">
            <w:pPr>
              <w:spacing w:line="440" w:lineRule="exact"/>
              <w:jc w:val="center"/>
              <w:rPr>
                <w:rFonts w:ascii="宋体" w:hAnsi="宋体" w:cs="宋体"/>
                <w:sz w:val="24"/>
              </w:rPr>
            </w:pPr>
          </w:p>
        </w:tc>
      </w:tr>
      <w:tr w14:paraId="3A73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tcPr>
          <w:p w14:paraId="4655AACF">
            <w:pPr>
              <w:spacing w:line="440" w:lineRule="exact"/>
              <w:jc w:val="center"/>
              <w:rPr>
                <w:rFonts w:ascii="宋体" w:hAnsi="宋体" w:cs="宋体"/>
                <w:sz w:val="24"/>
              </w:rPr>
            </w:pPr>
          </w:p>
        </w:tc>
        <w:tc>
          <w:tcPr>
            <w:tcW w:w="721" w:type="dxa"/>
            <w:noWrap/>
          </w:tcPr>
          <w:p w14:paraId="3C190668">
            <w:pPr>
              <w:spacing w:line="440" w:lineRule="exact"/>
              <w:jc w:val="center"/>
              <w:rPr>
                <w:rFonts w:ascii="宋体" w:hAnsi="宋体" w:cs="宋体"/>
                <w:sz w:val="24"/>
              </w:rPr>
            </w:pPr>
          </w:p>
        </w:tc>
        <w:tc>
          <w:tcPr>
            <w:tcW w:w="719" w:type="dxa"/>
            <w:noWrap/>
          </w:tcPr>
          <w:p w14:paraId="660CC842">
            <w:pPr>
              <w:spacing w:line="440" w:lineRule="exact"/>
              <w:jc w:val="center"/>
              <w:rPr>
                <w:rFonts w:ascii="宋体" w:hAnsi="宋体" w:cs="宋体"/>
                <w:sz w:val="24"/>
              </w:rPr>
            </w:pPr>
          </w:p>
        </w:tc>
        <w:tc>
          <w:tcPr>
            <w:tcW w:w="1232" w:type="dxa"/>
            <w:noWrap/>
          </w:tcPr>
          <w:p w14:paraId="583EDD14">
            <w:pPr>
              <w:spacing w:line="440" w:lineRule="exact"/>
              <w:jc w:val="center"/>
              <w:rPr>
                <w:rFonts w:ascii="宋体" w:hAnsi="宋体" w:cs="宋体"/>
                <w:sz w:val="24"/>
              </w:rPr>
            </w:pPr>
          </w:p>
        </w:tc>
        <w:tc>
          <w:tcPr>
            <w:tcW w:w="1042" w:type="dxa"/>
            <w:noWrap/>
          </w:tcPr>
          <w:p w14:paraId="7BA60DD9">
            <w:pPr>
              <w:spacing w:line="440" w:lineRule="exact"/>
              <w:jc w:val="center"/>
              <w:rPr>
                <w:rFonts w:ascii="宋体" w:hAnsi="宋体" w:cs="宋体"/>
                <w:sz w:val="24"/>
              </w:rPr>
            </w:pPr>
          </w:p>
        </w:tc>
        <w:tc>
          <w:tcPr>
            <w:tcW w:w="992" w:type="dxa"/>
            <w:noWrap/>
          </w:tcPr>
          <w:p w14:paraId="13467104">
            <w:pPr>
              <w:spacing w:line="440" w:lineRule="exact"/>
              <w:jc w:val="center"/>
              <w:rPr>
                <w:rFonts w:ascii="宋体" w:hAnsi="宋体" w:cs="宋体"/>
                <w:sz w:val="24"/>
              </w:rPr>
            </w:pPr>
          </w:p>
        </w:tc>
        <w:tc>
          <w:tcPr>
            <w:tcW w:w="1276" w:type="dxa"/>
            <w:noWrap/>
          </w:tcPr>
          <w:p w14:paraId="751618D3">
            <w:pPr>
              <w:spacing w:line="440" w:lineRule="exact"/>
              <w:jc w:val="center"/>
              <w:rPr>
                <w:rFonts w:ascii="宋体" w:hAnsi="宋体" w:cs="宋体"/>
                <w:sz w:val="24"/>
              </w:rPr>
            </w:pPr>
          </w:p>
        </w:tc>
        <w:tc>
          <w:tcPr>
            <w:tcW w:w="1221" w:type="dxa"/>
            <w:noWrap/>
          </w:tcPr>
          <w:p w14:paraId="2AFB6345">
            <w:pPr>
              <w:spacing w:line="440" w:lineRule="exact"/>
              <w:jc w:val="center"/>
              <w:rPr>
                <w:rFonts w:ascii="宋体" w:hAnsi="宋体" w:cs="宋体"/>
                <w:sz w:val="24"/>
              </w:rPr>
            </w:pPr>
          </w:p>
        </w:tc>
        <w:tc>
          <w:tcPr>
            <w:tcW w:w="775" w:type="dxa"/>
            <w:noWrap/>
          </w:tcPr>
          <w:p w14:paraId="17DF0560">
            <w:pPr>
              <w:spacing w:line="440" w:lineRule="exact"/>
              <w:jc w:val="center"/>
              <w:rPr>
                <w:rFonts w:ascii="宋体" w:hAnsi="宋体" w:cs="宋体"/>
                <w:sz w:val="24"/>
              </w:rPr>
            </w:pPr>
          </w:p>
        </w:tc>
      </w:tr>
      <w:tr w14:paraId="59AD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tcPr>
          <w:p w14:paraId="7BC14541">
            <w:pPr>
              <w:spacing w:line="440" w:lineRule="exact"/>
              <w:jc w:val="center"/>
              <w:rPr>
                <w:rFonts w:ascii="宋体" w:hAnsi="宋体" w:cs="宋体"/>
                <w:sz w:val="24"/>
              </w:rPr>
            </w:pPr>
          </w:p>
        </w:tc>
        <w:tc>
          <w:tcPr>
            <w:tcW w:w="721" w:type="dxa"/>
            <w:noWrap/>
          </w:tcPr>
          <w:p w14:paraId="20B7741A">
            <w:pPr>
              <w:spacing w:line="440" w:lineRule="exact"/>
              <w:jc w:val="center"/>
              <w:rPr>
                <w:rFonts w:ascii="宋体" w:hAnsi="宋体" w:cs="宋体"/>
                <w:sz w:val="24"/>
              </w:rPr>
            </w:pPr>
          </w:p>
        </w:tc>
        <w:tc>
          <w:tcPr>
            <w:tcW w:w="719" w:type="dxa"/>
            <w:noWrap/>
          </w:tcPr>
          <w:p w14:paraId="19DF21E2">
            <w:pPr>
              <w:spacing w:line="440" w:lineRule="exact"/>
              <w:jc w:val="center"/>
              <w:rPr>
                <w:rFonts w:ascii="宋体" w:hAnsi="宋体" w:cs="宋体"/>
                <w:sz w:val="24"/>
              </w:rPr>
            </w:pPr>
          </w:p>
        </w:tc>
        <w:tc>
          <w:tcPr>
            <w:tcW w:w="1232" w:type="dxa"/>
            <w:noWrap/>
          </w:tcPr>
          <w:p w14:paraId="2DD2507A">
            <w:pPr>
              <w:spacing w:line="440" w:lineRule="exact"/>
              <w:jc w:val="center"/>
              <w:rPr>
                <w:rFonts w:ascii="宋体" w:hAnsi="宋体" w:cs="宋体"/>
                <w:sz w:val="24"/>
              </w:rPr>
            </w:pPr>
          </w:p>
        </w:tc>
        <w:tc>
          <w:tcPr>
            <w:tcW w:w="1042" w:type="dxa"/>
            <w:noWrap/>
          </w:tcPr>
          <w:p w14:paraId="1CF41991">
            <w:pPr>
              <w:spacing w:line="440" w:lineRule="exact"/>
              <w:jc w:val="center"/>
              <w:rPr>
                <w:rFonts w:ascii="宋体" w:hAnsi="宋体" w:cs="宋体"/>
                <w:sz w:val="24"/>
              </w:rPr>
            </w:pPr>
          </w:p>
        </w:tc>
        <w:tc>
          <w:tcPr>
            <w:tcW w:w="992" w:type="dxa"/>
            <w:noWrap/>
          </w:tcPr>
          <w:p w14:paraId="5F90B600">
            <w:pPr>
              <w:spacing w:line="440" w:lineRule="exact"/>
              <w:jc w:val="center"/>
              <w:rPr>
                <w:rFonts w:ascii="宋体" w:hAnsi="宋体" w:cs="宋体"/>
                <w:sz w:val="24"/>
              </w:rPr>
            </w:pPr>
          </w:p>
        </w:tc>
        <w:tc>
          <w:tcPr>
            <w:tcW w:w="1276" w:type="dxa"/>
            <w:noWrap/>
          </w:tcPr>
          <w:p w14:paraId="067F76D5">
            <w:pPr>
              <w:spacing w:line="440" w:lineRule="exact"/>
              <w:jc w:val="center"/>
              <w:rPr>
                <w:rFonts w:ascii="宋体" w:hAnsi="宋体" w:cs="宋体"/>
                <w:sz w:val="24"/>
              </w:rPr>
            </w:pPr>
          </w:p>
        </w:tc>
        <w:tc>
          <w:tcPr>
            <w:tcW w:w="1221" w:type="dxa"/>
            <w:noWrap/>
          </w:tcPr>
          <w:p w14:paraId="1FCB45E6">
            <w:pPr>
              <w:spacing w:line="440" w:lineRule="exact"/>
              <w:jc w:val="center"/>
              <w:rPr>
                <w:rFonts w:ascii="宋体" w:hAnsi="宋体" w:cs="宋体"/>
                <w:sz w:val="24"/>
              </w:rPr>
            </w:pPr>
          </w:p>
        </w:tc>
        <w:tc>
          <w:tcPr>
            <w:tcW w:w="775" w:type="dxa"/>
            <w:noWrap/>
          </w:tcPr>
          <w:p w14:paraId="41981232">
            <w:pPr>
              <w:spacing w:line="440" w:lineRule="exact"/>
              <w:jc w:val="center"/>
              <w:rPr>
                <w:rFonts w:ascii="宋体" w:hAnsi="宋体" w:cs="宋体"/>
                <w:sz w:val="24"/>
              </w:rPr>
            </w:pPr>
          </w:p>
        </w:tc>
      </w:tr>
      <w:tr w14:paraId="566A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tcPr>
          <w:p w14:paraId="2E901A77">
            <w:pPr>
              <w:spacing w:line="440" w:lineRule="exact"/>
              <w:jc w:val="center"/>
              <w:rPr>
                <w:rFonts w:ascii="宋体" w:hAnsi="宋体" w:cs="宋体"/>
                <w:sz w:val="24"/>
              </w:rPr>
            </w:pPr>
          </w:p>
        </w:tc>
        <w:tc>
          <w:tcPr>
            <w:tcW w:w="721" w:type="dxa"/>
            <w:noWrap/>
          </w:tcPr>
          <w:p w14:paraId="22E2BB54">
            <w:pPr>
              <w:spacing w:line="440" w:lineRule="exact"/>
              <w:jc w:val="center"/>
              <w:rPr>
                <w:rFonts w:ascii="宋体" w:hAnsi="宋体" w:cs="宋体"/>
                <w:sz w:val="24"/>
              </w:rPr>
            </w:pPr>
          </w:p>
        </w:tc>
        <w:tc>
          <w:tcPr>
            <w:tcW w:w="719" w:type="dxa"/>
            <w:noWrap/>
          </w:tcPr>
          <w:p w14:paraId="0CD44794">
            <w:pPr>
              <w:spacing w:line="440" w:lineRule="exact"/>
              <w:jc w:val="center"/>
              <w:rPr>
                <w:rFonts w:ascii="宋体" w:hAnsi="宋体" w:cs="宋体"/>
                <w:sz w:val="24"/>
              </w:rPr>
            </w:pPr>
          </w:p>
        </w:tc>
        <w:tc>
          <w:tcPr>
            <w:tcW w:w="1232" w:type="dxa"/>
            <w:noWrap/>
          </w:tcPr>
          <w:p w14:paraId="1564DDD7">
            <w:pPr>
              <w:spacing w:line="440" w:lineRule="exact"/>
              <w:jc w:val="center"/>
              <w:rPr>
                <w:rFonts w:ascii="宋体" w:hAnsi="宋体" w:cs="宋体"/>
                <w:sz w:val="24"/>
              </w:rPr>
            </w:pPr>
          </w:p>
        </w:tc>
        <w:tc>
          <w:tcPr>
            <w:tcW w:w="1042" w:type="dxa"/>
            <w:noWrap/>
          </w:tcPr>
          <w:p w14:paraId="34B820E6">
            <w:pPr>
              <w:spacing w:line="440" w:lineRule="exact"/>
              <w:jc w:val="center"/>
              <w:rPr>
                <w:rFonts w:ascii="宋体" w:hAnsi="宋体" w:cs="宋体"/>
                <w:sz w:val="24"/>
              </w:rPr>
            </w:pPr>
          </w:p>
        </w:tc>
        <w:tc>
          <w:tcPr>
            <w:tcW w:w="992" w:type="dxa"/>
            <w:noWrap/>
          </w:tcPr>
          <w:p w14:paraId="78122333">
            <w:pPr>
              <w:spacing w:line="440" w:lineRule="exact"/>
              <w:jc w:val="center"/>
              <w:rPr>
                <w:rFonts w:ascii="宋体" w:hAnsi="宋体" w:cs="宋体"/>
                <w:sz w:val="24"/>
              </w:rPr>
            </w:pPr>
          </w:p>
        </w:tc>
        <w:tc>
          <w:tcPr>
            <w:tcW w:w="1276" w:type="dxa"/>
            <w:noWrap/>
          </w:tcPr>
          <w:p w14:paraId="4F11B657">
            <w:pPr>
              <w:spacing w:line="440" w:lineRule="exact"/>
              <w:jc w:val="center"/>
              <w:rPr>
                <w:rFonts w:ascii="宋体" w:hAnsi="宋体" w:cs="宋体"/>
                <w:sz w:val="24"/>
              </w:rPr>
            </w:pPr>
          </w:p>
        </w:tc>
        <w:tc>
          <w:tcPr>
            <w:tcW w:w="1221" w:type="dxa"/>
            <w:noWrap/>
          </w:tcPr>
          <w:p w14:paraId="4E988883">
            <w:pPr>
              <w:spacing w:line="440" w:lineRule="exact"/>
              <w:jc w:val="center"/>
              <w:rPr>
                <w:rFonts w:ascii="宋体" w:hAnsi="宋体" w:cs="宋体"/>
                <w:sz w:val="24"/>
              </w:rPr>
            </w:pPr>
          </w:p>
        </w:tc>
        <w:tc>
          <w:tcPr>
            <w:tcW w:w="775" w:type="dxa"/>
            <w:noWrap/>
          </w:tcPr>
          <w:p w14:paraId="64082694">
            <w:pPr>
              <w:spacing w:line="440" w:lineRule="exact"/>
              <w:jc w:val="center"/>
              <w:rPr>
                <w:rFonts w:ascii="宋体" w:hAnsi="宋体" w:cs="宋体"/>
                <w:sz w:val="24"/>
              </w:rPr>
            </w:pPr>
          </w:p>
        </w:tc>
      </w:tr>
      <w:tr w14:paraId="47D9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tcPr>
          <w:p w14:paraId="161E9F90">
            <w:pPr>
              <w:spacing w:line="440" w:lineRule="exact"/>
              <w:jc w:val="center"/>
              <w:rPr>
                <w:rFonts w:ascii="宋体" w:hAnsi="宋体" w:cs="宋体"/>
                <w:sz w:val="24"/>
              </w:rPr>
            </w:pPr>
          </w:p>
        </w:tc>
        <w:tc>
          <w:tcPr>
            <w:tcW w:w="721" w:type="dxa"/>
            <w:noWrap/>
          </w:tcPr>
          <w:p w14:paraId="34CCA65E">
            <w:pPr>
              <w:spacing w:line="440" w:lineRule="exact"/>
              <w:jc w:val="center"/>
              <w:rPr>
                <w:rFonts w:ascii="宋体" w:hAnsi="宋体" w:cs="宋体"/>
                <w:sz w:val="24"/>
              </w:rPr>
            </w:pPr>
          </w:p>
        </w:tc>
        <w:tc>
          <w:tcPr>
            <w:tcW w:w="719" w:type="dxa"/>
            <w:noWrap/>
          </w:tcPr>
          <w:p w14:paraId="13ADC3C8">
            <w:pPr>
              <w:spacing w:line="440" w:lineRule="exact"/>
              <w:jc w:val="center"/>
              <w:rPr>
                <w:rFonts w:ascii="宋体" w:hAnsi="宋体" w:cs="宋体"/>
                <w:sz w:val="24"/>
              </w:rPr>
            </w:pPr>
          </w:p>
        </w:tc>
        <w:tc>
          <w:tcPr>
            <w:tcW w:w="1232" w:type="dxa"/>
            <w:noWrap/>
          </w:tcPr>
          <w:p w14:paraId="6D4D6B9F">
            <w:pPr>
              <w:spacing w:line="440" w:lineRule="exact"/>
              <w:jc w:val="center"/>
              <w:rPr>
                <w:rFonts w:ascii="宋体" w:hAnsi="宋体" w:cs="宋体"/>
                <w:sz w:val="24"/>
              </w:rPr>
            </w:pPr>
          </w:p>
        </w:tc>
        <w:tc>
          <w:tcPr>
            <w:tcW w:w="1042" w:type="dxa"/>
            <w:noWrap/>
          </w:tcPr>
          <w:p w14:paraId="69703D1E">
            <w:pPr>
              <w:spacing w:line="440" w:lineRule="exact"/>
              <w:jc w:val="center"/>
              <w:rPr>
                <w:rFonts w:ascii="宋体" w:hAnsi="宋体" w:cs="宋体"/>
                <w:sz w:val="24"/>
              </w:rPr>
            </w:pPr>
          </w:p>
        </w:tc>
        <w:tc>
          <w:tcPr>
            <w:tcW w:w="992" w:type="dxa"/>
            <w:noWrap/>
          </w:tcPr>
          <w:p w14:paraId="570D8A71">
            <w:pPr>
              <w:spacing w:line="440" w:lineRule="exact"/>
              <w:jc w:val="center"/>
              <w:rPr>
                <w:rFonts w:ascii="宋体" w:hAnsi="宋体" w:cs="宋体"/>
                <w:sz w:val="24"/>
              </w:rPr>
            </w:pPr>
          </w:p>
        </w:tc>
        <w:tc>
          <w:tcPr>
            <w:tcW w:w="1276" w:type="dxa"/>
            <w:noWrap/>
          </w:tcPr>
          <w:p w14:paraId="4F75807D">
            <w:pPr>
              <w:spacing w:line="440" w:lineRule="exact"/>
              <w:jc w:val="center"/>
              <w:rPr>
                <w:rFonts w:ascii="宋体" w:hAnsi="宋体" w:cs="宋体"/>
                <w:sz w:val="24"/>
              </w:rPr>
            </w:pPr>
          </w:p>
        </w:tc>
        <w:tc>
          <w:tcPr>
            <w:tcW w:w="1221" w:type="dxa"/>
            <w:noWrap/>
          </w:tcPr>
          <w:p w14:paraId="1369B214">
            <w:pPr>
              <w:spacing w:line="440" w:lineRule="exact"/>
              <w:jc w:val="center"/>
              <w:rPr>
                <w:rFonts w:ascii="宋体" w:hAnsi="宋体" w:cs="宋体"/>
                <w:sz w:val="24"/>
              </w:rPr>
            </w:pPr>
          </w:p>
        </w:tc>
        <w:tc>
          <w:tcPr>
            <w:tcW w:w="775" w:type="dxa"/>
            <w:noWrap/>
          </w:tcPr>
          <w:p w14:paraId="05A75EE9">
            <w:pPr>
              <w:spacing w:line="440" w:lineRule="exact"/>
              <w:jc w:val="center"/>
              <w:rPr>
                <w:rFonts w:ascii="宋体" w:hAnsi="宋体" w:cs="宋体"/>
                <w:sz w:val="24"/>
              </w:rPr>
            </w:pPr>
          </w:p>
        </w:tc>
      </w:tr>
      <w:tr w14:paraId="4ADFF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tcPr>
          <w:p w14:paraId="76FB18BC">
            <w:pPr>
              <w:spacing w:line="440" w:lineRule="exact"/>
              <w:jc w:val="center"/>
              <w:rPr>
                <w:rFonts w:ascii="宋体" w:hAnsi="宋体" w:cs="宋体"/>
                <w:sz w:val="24"/>
              </w:rPr>
            </w:pPr>
          </w:p>
        </w:tc>
        <w:tc>
          <w:tcPr>
            <w:tcW w:w="721" w:type="dxa"/>
            <w:noWrap/>
          </w:tcPr>
          <w:p w14:paraId="1B59DB07">
            <w:pPr>
              <w:spacing w:line="440" w:lineRule="exact"/>
              <w:jc w:val="center"/>
              <w:rPr>
                <w:rFonts w:ascii="宋体" w:hAnsi="宋体" w:cs="宋体"/>
                <w:sz w:val="24"/>
              </w:rPr>
            </w:pPr>
          </w:p>
        </w:tc>
        <w:tc>
          <w:tcPr>
            <w:tcW w:w="719" w:type="dxa"/>
            <w:noWrap/>
          </w:tcPr>
          <w:p w14:paraId="3DC785F9">
            <w:pPr>
              <w:spacing w:line="440" w:lineRule="exact"/>
              <w:jc w:val="center"/>
              <w:rPr>
                <w:rFonts w:ascii="宋体" w:hAnsi="宋体" w:cs="宋体"/>
                <w:sz w:val="24"/>
              </w:rPr>
            </w:pPr>
          </w:p>
        </w:tc>
        <w:tc>
          <w:tcPr>
            <w:tcW w:w="1232" w:type="dxa"/>
            <w:noWrap/>
          </w:tcPr>
          <w:p w14:paraId="01A7F620">
            <w:pPr>
              <w:spacing w:line="440" w:lineRule="exact"/>
              <w:jc w:val="center"/>
              <w:rPr>
                <w:rFonts w:ascii="宋体" w:hAnsi="宋体" w:cs="宋体"/>
                <w:sz w:val="24"/>
              </w:rPr>
            </w:pPr>
          </w:p>
        </w:tc>
        <w:tc>
          <w:tcPr>
            <w:tcW w:w="1042" w:type="dxa"/>
            <w:noWrap/>
          </w:tcPr>
          <w:p w14:paraId="118607E7">
            <w:pPr>
              <w:spacing w:line="440" w:lineRule="exact"/>
              <w:jc w:val="center"/>
              <w:rPr>
                <w:rFonts w:ascii="宋体" w:hAnsi="宋体" w:cs="宋体"/>
                <w:sz w:val="24"/>
              </w:rPr>
            </w:pPr>
          </w:p>
        </w:tc>
        <w:tc>
          <w:tcPr>
            <w:tcW w:w="992" w:type="dxa"/>
            <w:noWrap/>
          </w:tcPr>
          <w:p w14:paraId="5A87F759">
            <w:pPr>
              <w:spacing w:line="440" w:lineRule="exact"/>
              <w:jc w:val="center"/>
              <w:rPr>
                <w:rFonts w:ascii="宋体" w:hAnsi="宋体" w:cs="宋体"/>
                <w:sz w:val="24"/>
              </w:rPr>
            </w:pPr>
          </w:p>
        </w:tc>
        <w:tc>
          <w:tcPr>
            <w:tcW w:w="1276" w:type="dxa"/>
            <w:noWrap/>
          </w:tcPr>
          <w:p w14:paraId="1C8B787C">
            <w:pPr>
              <w:spacing w:line="440" w:lineRule="exact"/>
              <w:jc w:val="center"/>
              <w:rPr>
                <w:rFonts w:ascii="宋体" w:hAnsi="宋体" w:cs="宋体"/>
                <w:sz w:val="24"/>
              </w:rPr>
            </w:pPr>
          </w:p>
        </w:tc>
        <w:tc>
          <w:tcPr>
            <w:tcW w:w="1221" w:type="dxa"/>
            <w:noWrap/>
          </w:tcPr>
          <w:p w14:paraId="25AF6B89">
            <w:pPr>
              <w:spacing w:line="440" w:lineRule="exact"/>
              <w:jc w:val="center"/>
              <w:rPr>
                <w:rFonts w:ascii="宋体" w:hAnsi="宋体" w:cs="宋体"/>
                <w:sz w:val="24"/>
              </w:rPr>
            </w:pPr>
          </w:p>
        </w:tc>
        <w:tc>
          <w:tcPr>
            <w:tcW w:w="775" w:type="dxa"/>
            <w:noWrap/>
          </w:tcPr>
          <w:p w14:paraId="0844C081">
            <w:pPr>
              <w:spacing w:line="440" w:lineRule="exact"/>
              <w:jc w:val="center"/>
              <w:rPr>
                <w:rFonts w:ascii="宋体" w:hAnsi="宋体" w:cs="宋体"/>
                <w:sz w:val="24"/>
              </w:rPr>
            </w:pPr>
          </w:p>
        </w:tc>
      </w:tr>
      <w:tr w14:paraId="4891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tcPr>
          <w:p w14:paraId="00100D5D">
            <w:pPr>
              <w:spacing w:line="440" w:lineRule="exact"/>
              <w:jc w:val="center"/>
              <w:rPr>
                <w:rFonts w:ascii="宋体" w:hAnsi="宋体" w:cs="宋体"/>
                <w:sz w:val="24"/>
              </w:rPr>
            </w:pPr>
          </w:p>
        </w:tc>
        <w:tc>
          <w:tcPr>
            <w:tcW w:w="721" w:type="dxa"/>
            <w:noWrap/>
          </w:tcPr>
          <w:p w14:paraId="4FFEA801">
            <w:pPr>
              <w:spacing w:line="440" w:lineRule="exact"/>
              <w:jc w:val="center"/>
              <w:rPr>
                <w:rFonts w:ascii="宋体" w:hAnsi="宋体" w:cs="宋体"/>
                <w:sz w:val="24"/>
              </w:rPr>
            </w:pPr>
          </w:p>
        </w:tc>
        <w:tc>
          <w:tcPr>
            <w:tcW w:w="719" w:type="dxa"/>
            <w:noWrap/>
          </w:tcPr>
          <w:p w14:paraId="24C9C58C">
            <w:pPr>
              <w:spacing w:line="440" w:lineRule="exact"/>
              <w:jc w:val="center"/>
              <w:rPr>
                <w:rFonts w:ascii="宋体" w:hAnsi="宋体" w:cs="宋体"/>
                <w:sz w:val="24"/>
              </w:rPr>
            </w:pPr>
          </w:p>
        </w:tc>
        <w:tc>
          <w:tcPr>
            <w:tcW w:w="1232" w:type="dxa"/>
            <w:noWrap/>
          </w:tcPr>
          <w:p w14:paraId="6C5E6BB5">
            <w:pPr>
              <w:spacing w:line="440" w:lineRule="exact"/>
              <w:jc w:val="center"/>
              <w:rPr>
                <w:rFonts w:ascii="宋体" w:hAnsi="宋体" w:cs="宋体"/>
                <w:sz w:val="24"/>
              </w:rPr>
            </w:pPr>
          </w:p>
        </w:tc>
        <w:tc>
          <w:tcPr>
            <w:tcW w:w="1042" w:type="dxa"/>
            <w:noWrap/>
          </w:tcPr>
          <w:p w14:paraId="5FB9C244">
            <w:pPr>
              <w:spacing w:line="440" w:lineRule="exact"/>
              <w:jc w:val="center"/>
              <w:rPr>
                <w:rFonts w:ascii="宋体" w:hAnsi="宋体" w:cs="宋体"/>
                <w:sz w:val="24"/>
              </w:rPr>
            </w:pPr>
          </w:p>
        </w:tc>
        <w:tc>
          <w:tcPr>
            <w:tcW w:w="992" w:type="dxa"/>
            <w:noWrap/>
          </w:tcPr>
          <w:p w14:paraId="657FA79E">
            <w:pPr>
              <w:spacing w:line="440" w:lineRule="exact"/>
              <w:jc w:val="center"/>
              <w:rPr>
                <w:rFonts w:ascii="宋体" w:hAnsi="宋体" w:cs="宋体"/>
                <w:sz w:val="24"/>
              </w:rPr>
            </w:pPr>
          </w:p>
        </w:tc>
        <w:tc>
          <w:tcPr>
            <w:tcW w:w="1276" w:type="dxa"/>
            <w:noWrap/>
          </w:tcPr>
          <w:p w14:paraId="248CFF39">
            <w:pPr>
              <w:spacing w:line="440" w:lineRule="exact"/>
              <w:jc w:val="center"/>
              <w:rPr>
                <w:rFonts w:ascii="宋体" w:hAnsi="宋体" w:cs="宋体"/>
                <w:sz w:val="24"/>
              </w:rPr>
            </w:pPr>
          </w:p>
        </w:tc>
        <w:tc>
          <w:tcPr>
            <w:tcW w:w="1221" w:type="dxa"/>
            <w:noWrap/>
          </w:tcPr>
          <w:p w14:paraId="268D6444">
            <w:pPr>
              <w:spacing w:line="440" w:lineRule="exact"/>
              <w:jc w:val="center"/>
              <w:rPr>
                <w:rFonts w:ascii="宋体" w:hAnsi="宋体" w:cs="宋体"/>
                <w:sz w:val="24"/>
              </w:rPr>
            </w:pPr>
          </w:p>
        </w:tc>
        <w:tc>
          <w:tcPr>
            <w:tcW w:w="775" w:type="dxa"/>
            <w:noWrap/>
          </w:tcPr>
          <w:p w14:paraId="2C9E3A29">
            <w:pPr>
              <w:spacing w:line="440" w:lineRule="exact"/>
              <w:jc w:val="center"/>
              <w:rPr>
                <w:rFonts w:ascii="宋体" w:hAnsi="宋体" w:cs="宋体"/>
                <w:sz w:val="24"/>
              </w:rPr>
            </w:pPr>
          </w:p>
        </w:tc>
      </w:tr>
      <w:tr w14:paraId="2575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noWrap/>
          </w:tcPr>
          <w:p w14:paraId="7F4B9537">
            <w:pPr>
              <w:spacing w:line="440" w:lineRule="exact"/>
              <w:jc w:val="center"/>
              <w:rPr>
                <w:rFonts w:ascii="宋体" w:hAnsi="宋体" w:cs="宋体"/>
                <w:sz w:val="24"/>
              </w:rPr>
            </w:pPr>
          </w:p>
        </w:tc>
        <w:tc>
          <w:tcPr>
            <w:tcW w:w="721" w:type="dxa"/>
            <w:noWrap/>
          </w:tcPr>
          <w:p w14:paraId="2D229991">
            <w:pPr>
              <w:spacing w:line="440" w:lineRule="exact"/>
              <w:jc w:val="center"/>
              <w:rPr>
                <w:rFonts w:ascii="宋体" w:hAnsi="宋体" w:cs="宋体"/>
                <w:sz w:val="24"/>
              </w:rPr>
            </w:pPr>
          </w:p>
        </w:tc>
        <w:tc>
          <w:tcPr>
            <w:tcW w:w="719" w:type="dxa"/>
            <w:noWrap/>
          </w:tcPr>
          <w:p w14:paraId="324E47D0">
            <w:pPr>
              <w:spacing w:line="440" w:lineRule="exact"/>
              <w:jc w:val="center"/>
              <w:rPr>
                <w:rFonts w:ascii="宋体" w:hAnsi="宋体" w:cs="宋体"/>
                <w:sz w:val="24"/>
              </w:rPr>
            </w:pPr>
          </w:p>
        </w:tc>
        <w:tc>
          <w:tcPr>
            <w:tcW w:w="1232" w:type="dxa"/>
            <w:noWrap/>
          </w:tcPr>
          <w:p w14:paraId="4F04B5B5">
            <w:pPr>
              <w:spacing w:line="440" w:lineRule="exact"/>
              <w:jc w:val="center"/>
              <w:rPr>
                <w:rFonts w:ascii="宋体" w:hAnsi="宋体" w:cs="宋体"/>
                <w:sz w:val="24"/>
              </w:rPr>
            </w:pPr>
          </w:p>
        </w:tc>
        <w:tc>
          <w:tcPr>
            <w:tcW w:w="1042" w:type="dxa"/>
            <w:noWrap/>
          </w:tcPr>
          <w:p w14:paraId="2224ADBB">
            <w:pPr>
              <w:spacing w:line="440" w:lineRule="exact"/>
              <w:jc w:val="center"/>
              <w:rPr>
                <w:rFonts w:ascii="宋体" w:hAnsi="宋体" w:cs="宋体"/>
                <w:sz w:val="24"/>
              </w:rPr>
            </w:pPr>
          </w:p>
        </w:tc>
        <w:tc>
          <w:tcPr>
            <w:tcW w:w="992" w:type="dxa"/>
            <w:noWrap/>
          </w:tcPr>
          <w:p w14:paraId="0A9DC7E3">
            <w:pPr>
              <w:spacing w:line="440" w:lineRule="exact"/>
              <w:jc w:val="center"/>
              <w:rPr>
                <w:rFonts w:ascii="宋体" w:hAnsi="宋体" w:cs="宋体"/>
                <w:sz w:val="24"/>
              </w:rPr>
            </w:pPr>
          </w:p>
        </w:tc>
        <w:tc>
          <w:tcPr>
            <w:tcW w:w="1276" w:type="dxa"/>
            <w:noWrap/>
          </w:tcPr>
          <w:p w14:paraId="2D2DF4A2">
            <w:pPr>
              <w:spacing w:line="440" w:lineRule="exact"/>
              <w:jc w:val="center"/>
              <w:rPr>
                <w:rFonts w:ascii="宋体" w:hAnsi="宋体" w:cs="宋体"/>
                <w:sz w:val="24"/>
              </w:rPr>
            </w:pPr>
          </w:p>
        </w:tc>
        <w:tc>
          <w:tcPr>
            <w:tcW w:w="1221" w:type="dxa"/>
            <w:noWrap/>
          </w:tcPr>
          <w:p w14:paraId="3C94E0C3">
            <w:pPr>
              <w:spacing w:line="440" w:lineRule="exact"/>
              <w:jc w:val="center"/>
              <w:rPr>
                <w:rFonts w:ascii="宋体" w:hAnsi="宋体" w:cs="宋体"/>
                <w:sz w:val="24"/>
              </w:rPr>
            </w:pPr>
          </w:p>
        </w:tc>
        <w:tc>
          <w:tcPr>
            <w:tcW w:w="775" w:type="dxa"/>
            <w:noWrap/>
          </w:tcPr>
          <w:p w14:paraId="7BF767BC">
            <w:pPr>
              <w:spacing w:line="440" w:lineRule="exact"/>
              <w:jc w:val="center"/>
              <w:rPr>
                <w:rFonts w:ascii="宋体" w:hAnsi="宋体" w:cs="宋体"/>
                <w:sz w:val="24"/>
              </w:rPr>
            </w:pPr>
          </w:p>
        </w:tc>
      </w:tr>
      <w:tr w14:paraId="2032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tcPr>
          <w:p w14:paraId="3EEBD52A">
            <w:pPr>
              <w:spacing w:line="440" w:lineRule="exact"/>
              <w:jc w:val="center"/>
              <w:rPr>
                <w:rFonts w:ascii="宋体" w:hAnsi="宋体" w:cs="宋体"/>
                <w:sz w:val="24"/>
              </w:rPr>
            </w:pPr>
          </w:p>
        </w:tc>
        <w:tc>
          <w:tcPr>
            <w:tcW w:w="721" w:type="dxa"/>
            <w:tcBorders>
              <w:top w:val="single" w:color="auto" w:sz="4" w:space="0"/>
              <w:left w:val="single" w:color="auto" w:sz="4" w:space="0"/>
              <w:bottom w:val="single" w:color="auto" w:sz="4" w:space="0"/>
              <w:right w:val="single" w:color="auto" w:sz="4" w:space="0"/>
            </w:tcBorders>
            <w:noWrap/>
          </w:tcPr>
          <w:p w14:paraId="10ED1920">
            <w:pPr>
              <w:spacing w:line="440" w:lineRule="exact"/>
              <w:jc w:val="center"/>
              <w:rPr>
                <w:rFonts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tcPr>
          <w:p w14:paraId="10EB6D5B">
            <w:pPr>
              <w:spacing w:line="440" w:lineRule="exact"/>
              <w:jc w:val="center"/>
              <w:rPr>
                <w:rFonts w:ascii="宋体" w:hAnsi="宋体" w:cs="宋体"/>
                <w:sz w:val="24"/>
              </w:rPr>
            </w:pPr>
          </w:p>
        </w:tc>
        <w:tc>
          <w:tcPr>
            <w:tcW w:w="1232" w:type="dxa"/>
            <w:tcBorders>
              <w:top w:val="single" w:color="auto" w:sz="4" w:space="0"/>
              <w:left w:val="single" w:color="auto" w:sz="4" w:space="0"/>
              <w:bottom w:val="single" w:color="auto" w:sz="4" w:space="0"/>
              <w:right w:val="single" w:color="auto" w:sz="4" w:space="0"/>
            </w:tcBorders>
            <w:noWrap/>
          </w:tcPr>
          <w:p w14:paraId="1B59BBDA">
            <w:pPr>
              <w:spacing w:line="440" w:lineRule="exact"/>
              <w:jc w:val="center"/>
              <w:rPr>
                <w:rFonts w:ascii="宋体" w:hAnsi="宋体" w:cs="宋体"/>
                <w:sz w:val="24"/>
              </w:rPr>
            </w:pPr>
          </w:p>
        </w:tc>
        <w:tc>
          <w:tcPr>
            <w:tcW w:w="1042" w:type="dxa"/>
            <w:tcBorders>
              <w:top w:val="single" w:color="auto" w:sz="4" w:space="0"/>
              <w:left w:val="single" w:color="auto" w:sz="4" w:space="0"/>
              <w:bottom w:val="single" w:color="auto" w:sz="4" w:space="0"/>
              <w:right w:val="single" w:color="auto" w:sz="4" w:space="0"/>
            </w:tcBorders>
            <w:noWrap/>
          </w:tcPr>
          <w:p w14:paraId="196B6E7A">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tcPr>
          <w:p w14:paraId="0AE618A7">
            <w:pPr>
              <w:spacing w:line="440" w:lineRule="exact"/>
              <w:jc w:val="cente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tcPr>
          <w:p w14:paraId="55F9F7DE">
            <w:pPr>
              <w:spacing w:line="440" w:lineRule="exact"/>
              <w:jc w:val="center"/>
              <w:rPr>
                <w:rFonts w:ascii="宋体" w:hAnsi="宋体" w:cs="宋体"/>
                <w:sz w:val="24"/>
              </w:rPr>
            </w:pPr>
          </w:p>
        </w:tc>
        <w:tc>
          <w:tcPr>
            <w:tcW w:w="1221" w:type="dxa"/>
            <w:tcBorders>
              <w:top w:val="single" w:color="auto" w:sz="4" w:space="0"/>
              <w:left w:val="single" w:color="auto" w:sz="4" w:space="0"/>
              <w:bottom w:val="single" w:color="auto" w:sz="4" w:space="0"/>
              <w:right w:val="single" w:color="auto" w:sz="4" w:space="0"/>
            </w:tcBorders>
            <w:noWrap/>
          </w:tcPr>
          <w:p w14:paraId="39047AEA">
            <w:pPr>
              <w:spacing w:line="440" w:lineRule="exact"/>
              <w:jc w:val="center"/>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noWrap/>
          </w:tcPr>
          <w:p w14:paraId="25B6446B">
            <w:pPr>
              <w:spacing w:line="440" w:lineRule="exact"/>
              <w:jc w:val="center"/>
              <w:rPr>
                <w:rFonts w:ascii="宋体" w:hAnsi="宋体" w:cs="宋体"/>
                <w:sz w:val="24"/>
              </w:rPr>
            </w:pPr>
          </w:p>
        </w:tc>
      </w:tr>
      <w:tr w14:paraId="0B65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tcPr>
          <w:p w14:paraId="2B05A6D1">
            <w:pPr>
              <w:spacing w:line="440" w:lineRule="exact"/>
              <w:jc w:val="center"/>
              <w:rPr>
                <w:rFonts w:ascii="宋体" w:hAnsi="宋体" w:cs="宋体"/>
                <w:sz w:val="24"/>
              </w:rPr>
            </w:pPr>
          </w:p>
        </w:tc>
        <w:tc>
          <w:tcPr>
            <w:tcW w:w="721" w:type="dxa"/>
            <w:tcBorders>
              <w:top w:val="single" w:color="auto" w:sz="4" w:space="0"/>
              <w:left w:val="single" w:color="auto" w:sz="4" w:space="0"/>
              <w:bottom w:val="single" w:color="auto" w:sz="4" w:space="0"/>
              <w:right w:val="single" w:color="auto" w:sz="4" w:space="0"/>
            </w:tcBorders>
            <w:noWrap/>
          </w:tcPr>
          <w:p w14:paraId="43CCAAB0">
            <w:pPr>
              <w:spacing w:line="440" w:lineRule="exact"/>
              <w:jc w:val="center"/>
              <w:rPr>
                <w:rFonts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tcPr>
          <w:p w14:paraId="1E9AC80E">
            <w:pPr>
              <w:spacing w:line="440" w:lineRule="exact"/>
              <w:jc w:val="center"/>
              <w:rPr>
                <w:rFonts w:ascii="宋体" w:hAnsi="宋体" w:cs="宋体"/>
                <w:sz w:val="24"/>
              </w:rPr>
            </w:pPr>
          </w:p>
        </w:tc>
        <w:tc>
          <w:tcPr>
            <w:tcW w:w="1232" w:type="dxa"/>
            <w:tcBorders>
              <w:top w:val="single" w:color="auto" w:sz="4" w:space="0"/>
              <w:left w:val="single" w:color="auto" w:sz="4" w:space="0"/>
              <w:bottom w:val="single" w:color="auto" w:sz="4" w:space="0"/>
              <w:right w:val="single" w:color="auto" w:sz="4" w:space="0"/>
            </w:tcBorders>
            <w:noWrap/>
          </w:tcPr>
          <w:p w14:paraId="19645452">
            <w:pPr>
              <w:spacing w:line="440" w:lineRule="exact"/>
              <w:jc w:val="center"/>
              <w:rPr>
                <w:rFonts w:ascii="宋体" w:hAnsi="宋体" w:cs="宋体"/>
                <w:sz w:val="24"/>
              </w:rPr>
            </w:pPr>
          </w:p>
        </w:tc>
        <w:tc>
          <w:tcPr>
            <w:tcW w:w="1042" w:type="dxa"/>
            <w:tcBorders>
              <w:top w:val="single" w:color="auto" w:sz="4" w:space="0"/>
              <w:left w:val="single" w:color="auto" w:sz="4" w:space="0"/>
              <w:bottom w:val="single" w:color="auto" w:sz="4" w:space="0"/>
              <w:right w:val="single" w:color="auto" w:sz="4" w:space="0"/>
            </w:tcBorders>
            <w:noWrap/>
          </w:tcPr>
          <w:p w14:paraId="73D864FC">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tcPr>
          <w:p w14:paraId="5E62B0E8">
            <w:pPr>
              <w:spacing w:line="440" w:lineRule="exact"/>
              <w:jc w:val="cente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tcPr>
          <w:p w14:paraId="7B8DA592">
            <w:pPr>
              <w:spacing w:line="440" w:lineRule="exact"/>
              <w:jc w:val="center"/>
              <w:rPr>
                <w:rFonts w:ascii="宋体" w:hAnsi="宋体" w:cs="宋体"/>
                <w:sz w:val="24"/>
              </w:rPr>
            </w:pPr>
          </w:p>
        </w:tc>
        <w:tc>
          <w:tcPr>
            <w:tcW w:w="1221" w:type="dxa"/>
            <w:tcBorders>
              <w:top w:val="single" w:color="auto" w:sz="4" w:space="0"/>
              <w:left w:val="single" w:color="auto" w:sz="4" w:space="0"/>
              <w:bottom w:val="single" w:color="auto" w:sz="4" w:space="0"/>
              <w:right w:val="single" w:color="auto" w:sz="4" w:space="0"/>
            </w:tcBorders>
            <w:noWrap/>
          </w:tcPr>
          <w:p w14:paraId="2C047CEC">
            <w:pPr>
              <w:spacing w:line="440" w:lineRule="exact"/>
              <w:jc w:val="center"/>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noWrap/>
          </w:tcPr>
          <w:p w14:paraId="5AE921AA">
            <w:pPr>
              <w:spacing w:line="440" w:lineRule="exact"/>
              <w:jc w:val="center"/>
              <w:rPr>
                <w:rFonts w:ascii="宋体" w:hAnsi="宋体" w:cs="宋体"/>
                <w:sz w:val="24"/>
              </w:rPr>
            </w:pPr>
          </w:p>
        </w:tc>
      </w:tr>
      <w:tr w14:paraId="70C4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tcPr>
          <w:p w14:paraId="02AA1E4B">
            <w:pPr>
              <w:spacing w:line="440" w:lineRule="exact"/>
              <w:jc w:val="center"/>
              <w:rPr>
                <w:rFonts w:ascii="宋体" w:hAnsi="宋体" w:cs="宋体"/>
                <w:sz w:val="24"/>
              </w:rPr>
            </w:pPr>
          </w:p>
        </w:tc>
        <w:tc>
          <w:tcPr>
            <w:tcW w:w="721" w:type="dxa"/>
            <w:tcBorders>
              <w:top w:val="single" w:color="auto" w:sz="4" w:space="0"/>
              <w:left w:val="single" w:color="auto" w:sz="4" w:space="0"/>
              <w:bottom w:val="single" w:color="auto" w:sz="4" w:space="0"/>
              <w:right w:val="single" w:color="auto" w:sz="4" w:space="0"/>
            </w:tcBorders>
            <w:noWrap/>
          </w:tcPr>
          <w:p w14:paraId="45357A65">
            <w:pPr>
              <w:spacing w:line="440" w:lineRule="exact"/>
              <w:jc w:val="center"/>
              <w:rPr>
                <w:rFonts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tcPr>
          <w:p w14:paraId="0E2585C4">
            <w:pPr>
              <w:spacing w:line="440" w:lineRule="exact"/>
              <w:jc w:val="center"/>
              <w:rPr>
                <w:rFonts w:ascii="宋体" w:hAnsi="宋体" w:cs="宋体"/>
                <w:sz w:val="24"/>
              </w:rPr>
            </w:pPr>
          </w:p>
        </w:tc>
        <w:tc>
          <w:tcPr>
            <w:tcW w:w="1232" w:type="dxa"/>
            <w:tcBorders>
              <w:top w:val="single" w:color="auto" w:sz="4" w:space="0"/>
              <w:left w:val="single" w:color="auto" w:sz="4" w:space="0"/>
              <w:bottom w:val="single" w:color="auto" w:sz="4" w:space="0"/>
              <w:right w:val="single" w:color="auto" w:sz="4" w:space="0"/>
            </w:tcBorders>
            <w:noWrap/>
          </w:tcPr>
          <w:p w14:paraId="380A5D1A">
            <w:pPr>
              <w:spacing w:line="440" w:lineRule="exact"/>
              <w:jc w:val="center"/>
              <w:rPr>
                <w:rFonts w:ascii="宋体" w:hAnsi="宋体" w:cs="宋体"/>
                <w:sz w:val="24"/>
              </w:rPr>
            </w:pPr>
          </w:p>
        </w:tc>
        <w:tc>
          <w:tcPr>
            <w:tcW w:w="1042" w:type="dxa"/>
            <w:tcBorders>
              <w:top w:val="single" w:color="auto" w:sz="4" w:space="0"/>
              <w:left w:val="single" w:color="auto" w:sz="4" w:space="0"/>
              <w:bottom w:val="single" w:color="auto" w:sz="4" w:space="0"/>
              <w:right w:val="single" w:color="auto" w:sz="4" w:space="0"/>
            </w:tcBorders>
            <w:noWrap/>
          </w:tcPr>
          <w:p w14:paraId="42AAB726">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tcPr>
          <w:p w14:paraId="01464EE8">
            <w:pPr>
              <w:spacing w:line="440" w:lineRule="exact"/>
              <w:jc w:val="cente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tcPr>
          <w:p w14:paraId="1877D256">
            <w:pPr>
              <w:spacing w:line="440" w:lineRule="exact"/>
              <w:jc w:val="center"/>
              <w:rPr>
                <w:rFonts w:ascii="宋体" w:hAnsi="宋体" w:cs="宋体"/>
                <w:sz w:val="24"/>
              </w:rPr>
            </w:pPr>
          </w:p>
        </w:tc>
        <w:tc>
          <w:tcPr>
            <w:tcW w:w="1221" w:type="dxa"/>
            <w:tcBorders>
              <w:top w:val="single" w:color="auto" w:sz="4" w:space="0"/>
              <w:left w:val="single" w:color="auto" w:sz="4" w:space="0"/>
              <w:bottom w:val="single" w:color="auto" w:sz="4" w:space="0"/>
              <w:right w:val="single" w:color="auto" w:sz="4" w:space="0"/>
            </w:tcBorders>
            <w:noWrap/>
          </w:tcPr>
          <w:p w14:paraId="1872C694">
            <w:pPr>
              <w:spacing w:line="440" w:lineRule="exact"/>
              <w:jc w:val="center"/>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noWrap/>
          </w:tcPr>
          <w:p w14:paraId="4A7A890A">
            <w:pPr>
              <w:spacing w:line="440" w:lineRule="exact"/>
              <w:jc w:val="center"/>
              <w:rPr>
                <w:rFonts w:ascii="宋体" w:hAnsi="宋体" w:cs="宋体"/>
                <w:sz w:val="24"/>
              </w:rPr>
            </w:pPr>
          </w:p>
        </w:tc>
      </w:tr>
      <w:tr w14:paraId="3BC8F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tcPr>
          <w:p w14:paraId="43C0F090">
            <w:pPr>
              <w:spacing w:line="440" w:lineRule="exact"/>
              <w:jc w:val="center"/>
              <w:rPr>
                <w:rFonts w:ascii="宋体" w:hAnsi="宋体" w:cs="宋体"/>
                <w:sz w:val="24"/>
              </w:rPr>
            </w:pPr>
          </w:p>
        </w:tc>
        <w:tc>
          <w:tcPr>
            <w:tcW w:w="721" w:type="dxa"/>
            <w:tcBorders>
              <w:top w:val="single" w:color="auto" w:sz="4" w:space="0"/>
              <w:left w:val="single" w:color="auto" w:sz="4" w:space="0"/>
              <w:bottom w:val="single" w:color="auto" w:sz="4" w:space="0"/>
              <w:right w:val="single" w:color="auto" w:sz="4" w:space="0"/>
            </w:tcBorders>
            <w:noWrap/>
          </w:tcPr>
          <w:p w14:paraId="55B72800">
            <w:pPr>
              <w:spacing w:line="440" w:lineRule="exact"/>
              <w:jc w:val="center"/>
              <w:rPr>
                <w:rFonts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tcPr>
          <w:p w14:paraId="6173233D">
            <w:pPr>
              <w:spacing w:line="440" w:lineRule="exact"/>
              <w:jc w:val="center"/>
              <w:rPr>
                <w:rFonts w:ascii="宋体" w:hAnsi="宋体" w:cs="宋体"/>
                <w:sz w:val="24"/>
              </w:rPr>
            </w:pPr>
          </w:p>
        </w:tc>
        <w:tc>
          <w:tcPr>
            <w:tcW w:w="1232" w:type="dxa"/>
            <w:tcBorders>
              <w:top w:val="single" w:color="auto" w:sz="4" w:space="0"/>
              <w:left w:val="single" w:color="auto" w:sz="4" w:space="0"/>
              <w:bottom w:val="single" w:color="auto" w:sz="4" w:space="0"/>
              <w:right w:val="single" w:color="auto" w:sz="4" w:space="0"/>
            </w:tcBorders>
            <w:noWrap/>
          </w:tcPr>
          <w:p w14:paraId="0104475F">
            <w:pPr>
              <w:spacing w:line="440" w:lineRule="exact"/>
              <w:jc w:val="center"/>
              <w:rPr>
                <w:rFonts w:ascii="宋体" w:hAnsi="宋体" w:cs="宋体"/>
                <w:sz w:val="24"/>
              </w:rPr>
            </w:pPr>
          </w:p>
        </w:tc>
        <w:tc>
          <w:tcPr>
            <w:tcW w:w="1042" w:type="dxa"/>
            <w:tcBorders>
              <w:top w:val="single" w:color="auto" w:sz="4" w:space="0"/>
              <w:left w:val="single" w:color="auto" w:sz="4" w:space="0"/>
              <w:bottom w:val="single" w:color="auto" w:sz="4" w:space="0"/>
              <w:right w:val="single" w:color="auto" w:sz="4" w:space="0"/>
            </w:tcBorders>
            <w:noWrap/>
          </w:tcPr>
          <w:p w14:paraId="182228A7">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tcPr>
          <w:p w14:paraId="05634362">
            <w:pPr>
              <w:spacing w:line="440" w:lineRule="exact"/>
              <w:jc w:val="cente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tcPr>
          <w:p w14:paraId="04154268">
            <w:pPr>
              <w:spacing w:line="440" w:lineRule="exact"/>
              <w:jc w:val="center"/>
              <w:rPr>
                <w:rFonts w:ascii="宋体" w:hAnsi="宋体" w:cs="宋体"/>
                <w:sz w:val="24"/>
              </w:rPr>
            </w:pPr>
          </w:p>
        </w:tc>
        <w:tc>
          <w:tcPr>
            <w:tcW w:w="1221" w:type="dxa"/>
            <w:tcBorders>
              <w:top w:val="single" w:color="auto" w:sz="4" w:space="0"/>
              <w:left w:val="single" w:color="auto" w:sz="4" w:space="0"/>
              <w:bottom w:val="single" w:color="auto" w:sz="4" w:space="0"/>
              <w:right w:val="single" w:color="auto" w:sz="4" w:space="0"/>
            </w:tcBorders>
            <w:noWrap/>
          </w:tcPr>
          <w:p w14:paraId="7760C0EB">
            <w:pPr>
              <w:spacing w:line="440" w:lineRule="exact"/>
              <w:jc w:val="center"/>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noWrap/>
          </w:tcPr>
          <w:p w14:paraId="0EC4D937">
            <w:pPr>
              <w:spacing w:line="440" w:lineRule="exact"/>
              <w:jc w:val="center"/>
              <w:rPr>
                <w:rFonts w:ascii="宋体" w:hAnsi="宋体" w:cs="宋体"/>
                <w:sz w:val="24"/>
              </w:rPr>
            </w:pPr>
          </w:p>
        </w:tc>
      </w:tr>
      <w:tr w14:paraId="7323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tcPr>
          <w:p w14:paraId="229CA48C">
            <w:pPr>
              <w:spacing w:line="440" w:lineRule="exact"/>
              <w:jc w:val="center"/>
              <w:rPr>
                <w:rFonts w:ascii="宋体" w:hAnsi="宋体" w:cs="宋体"/>
                <w:sz w:val="24"/>
              </w:rPr>
            </w:pPr>
          </w:p>
        </w:tc>
        <w:tc>
          <w:tcPr>
            <w:tcW w:w="721" w:type="dxa"/>
            <w:tcBorders>
              <w:top w:val="single" w:color="auto" w:sz="4" w:space="0"/>
              <w:left w:val="single" w:color="auto" w:sz="4" w:space="0"/>
              <w:bottom w:val="single" w:color="auto" w:sz="4" w:space="0"/>
              <w:right w:val="single" w:color="auto" w:sz="4" w:space="0"/>
            </w:tcBorders>
            <w:noWrap/>
          </w:tcPr>
          <w:p w14:paraId="304B10DF">
            <w:pPr>
              <w:spacing w:line="440" w:lineRule="exact"/>
              <w:jc w:val="center"/>
              <w:rPr>
                <w:rFonts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tcPr>
          <w:p w14:paraId="1E56D76D">
            <w:pPr>
              <w:spacing w:line="440" w:lineRule="exact"/>
              <w:jc w:val="center"/>
              <w:rPr>
                <w:rFonts w:ascii="宋体" w:hAnsi="宋体" w:cs="宋体"/>
                <w:sz w:val="24"/>
              </w:rPr>
            </w:pPr>
          </w:p>
        </w:tc>
        <w:tc>
          <w:tcPr>
            <w:tcW w:w="1232" w:type="dxa"/>
            <w:tcBorders>
              <w:top w:val="single" w:color="auto" w:sz="4" w:space="0"/>
              <w:left w:val="single" w:color="auto" w:sz="4" w:space="0"/>
              <w:bottom w:val="single" w:color="auto" w:sz="4" w:space="0"/>
              <w:right w:val="single" w:color="auto" w:sz="4" w:space="0"/>
            </w:tcBorders>
            <w:noWrap/>
          </w:tcPr>
          <w:p w14:paraId="16565D7D">
            <w:pPr>
              <w:spacing w:line="440" w:lineRule="exact"/>
              <w:jc w:val="center"/>
              <w:rPr>
                <w:rFonts w:ascii="宋体" w:hAnsi="宋体" w:cs="宋体"/>
                <w:sz w:val="24"/>
              </w:rPr>
            </w:pPr>
          </w:p>
        </w:tc>
        <w:tc>
          <w:tcPr>
            <w:tcW w:w="1042" w:type="dxa"/>
            <w:tcBorders>
              <w:top w:val="single" w:color="auto" w:sz="4" w:space="0"/>
              <w:left w:val="single" w:color="auto" w:sz="4" w:space="0"/>
              <w:bottom w:val="single" w:color="auto" w:sz="4" w:space="0"/>
              <w:right w:val="single" w:color="auto" w:sz="4" w:space="0"/>
            </w:tcBorders>
            <w:noWrap/>
          </w:tcPr>
          <w:p w14:paraId="263D8020">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tcPr>
          <w:p w14:paraId="0FD9DB14">
            <w:pPr>
              <w:spacing w:line="440" w:lineRule="exact"/>
              <w:jc w:val="cente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tcPr>
          <w:p w14:paraId="39510920">
            <w:pPr>
              <w:spacing w:line="440" w:lineRule="exact"/>
              <w:jc w:val="center"/>
              <w:rPr>
                <w:rFonts w:ascii="宋体" w:hAnsi="宋体" w:cs="宋体"/>
                <w:sz w:val="24"/>
              </w:rPr>
            </w:pPr>
          </w:p>
        </w:tc>
        <w:tc>
          <w:tcPr>
            <w:tcW w:w="1221" w:type="dxa"/>
            <w:tcBorders>
              <w:top w:val="single" w:color="auto" w:sz="4" w:space="0"/>
              <w:left w:val="single" w:color="auto" w:sz="4" w:space="0"/>
              <w:bottom w:val="single" w:color="auto" w:sz="4" w:space="0"/>
              <w:right w:val="single" w:color="auto" w:sz="4" w:space="0"/>
            </w:tcBorders>
            <w:noWrap/>
          </w:tcPr>
          <w:p w14:paraId="40B4B286">
            <w:pPr>
              <w:spacing w:line="440" w:lineRule="exact"/>
              <w:jc w:val="center"/>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noWrap/>
          </w:tcPr>
          <w:p w14:paraId="2FABAB85">
            <w:pPr>
              <w:spacing w:line="440" w:lineRule="exact"/>
              <w:jc w:val="center"/>
              <w:rPr>
                <w:rFonts w:ascii="宋体" w:hAnsi="宋体" w:cs="宋体"/>
                <w:sz w:val="24"/>
              </w:rPr>
            </w:pPr>
          </w:p>
        </w:tc>
      </w:tr>
      <w:tr w14:paraId="6798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tcPr>
          <w:p w14:paraId="01F549E1">
            <w:pPr>
              <w:spacing w:line="440" w:lineRule="exact"/>
              <w:jc w:val="center"/>
              <w:rPr>
                <w:rFonts w:ascii="宋体" w:hAnsi="宋体" w:cs="宋体"/>
                <w:sz w:val="24"/>
              </w:rPr>
            </w:pPr>
          </w:p>
        </w:tc>
        <w:tc>
          <w:tcPr>
            <w:tcW w:w="721" w:type="dxa"/>
            <w:tcBorders>
              <w:top w:val="single" w:color="auto" w:sz="4" w:space="0"/>
              <w:left w:val="single" w:color="auto" w:sz="4" w:space="0"/>
              <w:bottom w:val="single" w:color="auto" w:sz="4" w:space="0"/>
              <w:right w:val="single" w:color="auto" w:sz="4" w:space="0"/>
            </w:tcBorders>
            <w:noWrap/>
          </w:tcPr>
          <w:p w14:paraId="0EE3E6BD">
            <w:pPr>
              <w:spacing w:line="440" w:lineRule="exact"/>
              <w:jc w:val="center"/>
              <w:rPr>
                <w:rFonts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tcPr>
          <w:p w14:paraId="508E1058">
            <w:pPr>
              <w:spacing w:line="440" w:lineRule="exact"/>
              <w:jc w:val="center"/>
              <w:rPr>
                <w:rFonts w:ascii="宋体" w:hAnsi="宋体" w:cs="宋体"/>
                <w:sz w:val="24"/>
              </w:rPr>
            </w:pPr>
          </w:p>
        </w:tc>
        <w:tc>
          <w:tcPr>
            <w:tcW w:w="1232" w:type="dxa"/>
            <w:tcBorders>
              <w:top w:val="single" w:color="auto" w:sz="4" w:space="0"/>
              <w:left w:val="single" w:color="auto" w:sz="4" w:space="0"/>
              <w:bottom w:val="single" w:color="auto" w:sz="4" w:space="0"/>
              <w:right w:val="single" w:color="auto" w:sz="4" w:space="0"/>
            </w:tcBorders>
            <w:noWrap/>
          </w:tcPr>
          <w:p w14:paraId="5102BDBD">
            <w:pPr>
              <w:spacing w:line="440" w:lineRule="exact"/>
              <w:jc w:val="center"/>
              <w:rPr>
                <w:rFonts w:ascii="宋体" w:hAnsi="宋体" w:cs="宋体"/>
                <w:sz w:val="24"/>
              </w:rPr>
            </w:pPr>
          </w:p>
        </w:tc>
        <w:tc>
          <w:tcPr>
            <w:tcW w:w="1042" w:type="dxa"/>
            <w:tcBorders>
              <w:top w:val="single" w:color="auto" w:sz="4" w:space="0"/>
              <w:left w:val="single" w:color="auto" w:sz="4" w:space="0"/>
              <w:bottom w:val="single" w:color="auto" w:sz="4" w:space="0"/>
              <w:right w:val="single" w:color="auto" w:sz="4" w:space="0"/>
            </w:tcBorders>
            <w:noWrap/>
          </w:tcPr>
          <w:p w14:paraId="3F107A9A">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tcPr>
          <w:p w14:paraId="485B4E58">
            <w:pPr>
              <w:spacing w:line="440" w:lineRule="exact"/>
              <w:jc w:val="cente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tcPr>
          <w:p w14:paraId="32A2B064">
            <w:pPr>
              <w:spacing w:line="440" w:lineRule="exact"/>
              <w:jc w:val="center"/>
              <w:rPr>
                <w:rFonts w:ascii="宋体" w:hAnsi="宋体" w:cs="宋体"/>
                <w:sz w:val="24"/>
              </w:rPr>
            </w:pPr>
          </w:p>
        </w:tc>
        <w:tc>
          <w:tcPr>
            <w:tcW w:w="1221" w:type="dxa"/>
            <w:tcBorders>
              <w:top w:val="single" w:color="auto" w:sz="4" w:space="0"/>
              <w:left w:val="single" w:color="auto" w:sz="4" w:space="0"/>
              <w:bottom w:val="single" w:color="auto" w:sz="4" w:space="0"/>
              <w:right w:val="single" w:color="auto" w:sz="4" w:space="0"/>
            </w:tcBorders>
            <w:noWrap/>
          </w:tcPr>
          <w:p w14:paraId="2B111B3C">
            <w:pPr>
              <w:spacing w:line="440" w:lineRule="exact"/>
              <w:jc w:val="center"/>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noWrap/>
          </w:tcPr>
          <w:p w14:paraId="3EF0B03A">
            <w:pPr>
              <w:spacing w:line="440" w:lineRule="exact"/>
              <w:jc w:val="center"/>
              <w:rPr>
                <w:rFonts w:ascii="宋体" w:hAnsi="宋体" w:cs="宋体"/>
                <w:sz w:val="24"/>
              </w:rPr>
            </w:pPr>
          </w:p>
        </w:tc>
      </w:tr>
      <w:tr w14:paraId="45A6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tcPr>
          <w:p w14:paraId="3F5D7F31">
            <w:pPr>
              <w:spacing w:line="440" w:lineRule="exact"/>
              <w:jc w:val="center"/>
              <w:rPr>
                <w:rFonts w:ascii="宋体" w:hAnsi="宋体" w:cs="宋体"/>
                <w:sz w:val="24"/>
              </w:rPr>
            </w:pPr>
          </w:p>
        </w:tc>
        <w:tc>
          <w:tcPr>
            <w:tcW w:w="721" w:type="dxa"/>
            <w:tcBorders>
              <w:top w:val="single" w:color="auto" w:sz="4" w:space="0"/>
              <w:left w:val="single" w:color="auto" w:sz="4" w:space="0"/>
              <w:bottom w:val="single" w:color="auto" w:sz="4" w:space="0"/>
              <w:right w:val="single" w:color="auto" w:sz="4" w:space="0"/>
            </w:tcBorders>
            <w:noWrap/>
          </w:tcPr>
          <w:p w14:paraId="171872BD">
            <w:pPr>
              <w:spacing w:line="440" w:lineRule="exact"/>
              <w:jc w:val="center"/>
              <w:rPr>
                <w:rFonts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tcPr>
          <w:p w14:paraId="093B1941">
            <w:pPr>
              <w:spacing w:line="440" w:lineRule="exact"/>
              <w:jc w:val="center"/>
              <w:rPr>
                <w:rFonts w:ascii="宋体" w:hAnsi="宋体" w:cs="宋体"/>
                <w:sz w:val="24"/>
              </w:rPr>
            </w:pPr>
          </w:p>
        </w:tc>
        <w:tc>
          <w:tcPr>
            <w:tcW w:w="1232" w:type="dxa"/>
            <w:tcBorders>
              <w:top w:val="single" w:color="auto" w:sz="4" w:space="0"/>
              <w:left w:val="single" w:color="auto" w:sz="4" w:space="0"/>
              <w:bottom w:val="single" w:color="auto" w:sz="4" w:space="0"/>
              <w:right w:val="single" w:color="auto" w:sz="4" w:space="0"/>
            </w:tcBorders>
            <w:noWrap/>
          </w:tcPr>
          <w:p w14:paraId="78D381B1">
            <w:pPr>
              <w:spacing w:line="440" w:lineRule="exact"/>
              <w:jc w:val="center"/>
              <w:rPr>
                <w:rFonts w:ascii="宋体" w:hAnsi="宋体" w:cs="宋体"/>
                <w:sz w:val="24"/>
              </w:rPr>
            </w:pPr>
          </w:p>
        </w:tc>
        <w:tc>
          <w:tcPr>
            <w:tcW w:w="1042" w:type="dxa"/>
            <w:tcBorders>
              <w:top w:val="single" w:color="auto" w:sz="4" w:space="0"/>
              <w:left w:val="single" w:color="auto" w:sz="4" w:space="0"/>
              <w:bottom w:val="single" w:color="auto" w:sz="4" w:space="0"/>
              <w:right w:val="single" w:color="auto" w:sz="4" w:space="0"/>
            </w:tcBorders>
            <w:noWrap/>
          </w:tcPr>
          <w:p w14:paraId="7C47EE71">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tcPr>
          <w:p w14:paraId="3D5F1204">
            <w:pPr>
              <w:spacing w:line="440" w:lineRule="exact"/>
              <w:jc w:val="cente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tcPr>
          <w:p w14:paraId="5A303652">
            <w:pPr>
              <w:spacing w:line="440" w:lineRule="exact"/>
              <w:jc w:val="center"/>
              <w:rPr>
                <w:rFonts w:ascii="宋体" w:hAnsi="宋体" w:cs="宋体"/>
                <w:sz w:val="24"/>
              </w:rPr>
            </w:pPr>
          </w:p>
        </w:tc>
        <w:tc>
          <w:tcPr>
            <w:tcW w:w="1221" w:type="dxa"/>
            <w:tcBorders>
              <w:top w:val="single" w:color="auto" w:sz="4" w:space="0"/>
              <w:left w:val="single" w:color="auto" w:sz="4" w:space="0"/>
              <w:bottom w:val="single" w:color="auto" w:sz="4" w:space="0"/>
              <w:right w:val="single" w:color="auto" w:sz="4" w:space="0"/>
            </w:tcBorders>
            <w:noWrap/>
          </w:tcPr>
          <w:p w14:paraId="553E8B79">
            <w:pPr>
              <w:spacing w:line="440" w:lineRule="exact"/>
              <w:jc w:val="center"/>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noWrap/>
          </w:tcPr>
          <w:p w14:paraId="41022C4F">
            <w:pPr>
              <w:spacing w:line="440" w:lineRule="exact"/>
              <w:jc w:val="center"/>
              <w:rPr>
                <w:rFonts w:ascii="宋体" w:hAnsi="宋体" w:cs="宋体"/>
                <w:sz w:val="24"/>
              </w:rPr>
            </w:pPr>
          </w:p>
        </w:tc>
      </w:tr>
      <w:tr w14:paraId="5FAF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tcPr>
          <w:p w14:paraId="1DDAE396">
            <w:pPr>
              <w:spacing w:line="440" w:lineRule="exact"/>
              <w:jc w:val="center"/>
              <w:rPr>
                <w:rFonts w:ascii="宋体" w:hAnsi="宋体" w:cs="宋体"/>
                <w:sz w:val="24"/>
              </w:rPr>
            </w:pPr>
          </w:p>
        </w:tc>
        <w:tc>
          <w:tcPr>
            <w:tcW w:w="721" w:type="dxa"/>
            <w:tcBorders>
              <w:top w:val="single" w:color="auto" w:sz="4" w:space="0"/>
              <w:left w:val="single" w:color="auto" w:sz="4" w:space="0"/>
              <w:bottom w:val="single" w:color="auto" w:sz="4" w:space="0"/>
              <w:right w:val="single" w:color="auto" w:sz="4" w:space="0"/>
            </w:tcBorders>
            <w:noWrap/>
          </w:tcPr>
          <w:p w14:paraId="6818E5A5">
            <w:pPr>
              <w:spacing w:line="440" w:lineRule="exact"/>
              <w:jc w:val="center"/>
              <w:rPr>
                <w:rFonts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tcPr>
          <w:p w14:paraId="6932B7B5">
            <w:pPr>
              <w:spacing w:line="440" w:lineRule="exact"/>
              <w:jc w:val="center"/>
              <w:rPr>
                <w:rFonts w:ascii="宋体" w:hAnsi="宋体" w:cs="宋体"/>
                <w:sz w:val="24"/>
              </w:rPr>
            </w:pPr>
          </w:p>
        </w:tc>
        <w:tc>
          <w:tcPr>
            <w:tcW w:w="1232" w:type="dxa"/>
            <w:tcBorders>
              <w:top w:val="single" w:color="auto" w:sz="4" w:space="0"/>
              <w:left w:val="single" w:color="auto" w:sz="4" w:space="0"/>
              <w:bottom w:val="single" w:color="auto" w:sz="4" w:space="0"/>
              <w:right w:val="single" w:color="auto" w:sz="4" w:space="0"/>
            </w:tcBorders>
            <w:noWrap/>
          </w:tcPr>
          <w:p w14:paraId="07B44C30">
            <w:pPr>
              <w:spacing w:line="440" w:lineRule="exact"/>
              <w:jc w:val="center"/>
              <w:rPr>
                <w:rFonts w:ascii="宋体" w:hAnsi="宋体" w:cs="宋体"/>
                <w:sz w:val="24"/>
              </w:rPr>
            </w:pPr>
          </w:p>
        </w:tc>
        <w:tc>
          <w:tcPr>
            <w:tcW w:w="1042" w:type="dxa"/>
            <w:tcBorders>
              <w:top w:val="single" w:color="auto" w:sz="4" w:space="0"/>
              <w:left w:val="single" w:color="auto" w:sz="4" w:space="0"/>
              <w:bottom w:val="single" w:color="auto" w:sz="4" w:space="0"/>
              <w:right w:val="single" w:color="auto" w:sz="4" w:space="0"/>
            </w:tcBorders>
            <w:noWrap/>
          </w:tcPr>
          <w:p w14:paraId="28EF51F2">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tcPr>
          <w:p w14:paraId="56BD5C54">
            <w:pPr>
              <w:spacing w:line="440" w:lineRule="exact"/>
              <w:jc w:val="cente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tcPr>
          <w:p w14:paraId="265BECB7">
            <w:pPr>
              <w:spacing w:line="440" w:lineRule="exact"/>
              <w:jc w:val="center"/>
              <w:rPr>
                <w:rFonts w:ascii="宋体" w:hAnsi="宋体" w:cs="宋体"/>
                <w:sz w:val="24"/>
              </w:rPr>
            </w:pPr>
          </w:p>
        </w:tc>
        <w:tc>
          <w:tcPr>
            <w:tcW w:w="1221" w:type="dxa"/>
            <w:tcBorders>
              <w:top w:val="single" w:color="auto" w:sz="4" w:space="0"/>
              <w:left w:val="single" w:color="auto" w:sz="4" w:space="0"/>
              <w:bottom w:val="single" w:color="auto" w:sz="4" w:space="0"/>
              <w:right w:val="single" w:color="auto" w:sz="4" w:space="0"/>
            </w:tcBorders>
            <w:noWrap/>
          </w:tcPr>
          <w:p w14:paraId="264ADF64">
            <w:pPr>
              <w:spacing w:line="440" w:lineRule="exact"/>
              <w:jc w:val="center"/>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noWrap/>
          </w:tcPr>
          <w:p w14:paraId="6D1F94B2">
            <w:pPr>
              <w:spacing w:line="440" w:lineRule="exact"/>
              <w:jc w:val="center"/>
              <w:rPr>
                <w:rFonts w:ascii="宋体" w:hAnsi="宋体" w:cs="宋体"/>
                <w:sz w:val="24"/>
              </w:rPr>
            </w:pPr>
          </w:p>
        </w:tc>
      </w:tr>
      <w:tr w14:paraId="0BA54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tcPr>
          <w:p w14:paraId="109F4666">
            <w:pPr>
              <w:spacing w:line="440" w:lineRule="exact"/>
              <w:jc w:val="center"/>
              <w:rPr>
                <w:rFonts w:ascii="宋体" w:hAnsi="宋体" w:cs="宋体"/>
                <w:sz w:val="24"/>
              </w:rPr>
            </w:pPr>
          </w:p>
        </w:tc>
        <w:tc>
          <w:tcPr>
            <w:tcW w:w="721" w:type="dxa"/>
            <w:tcBorders>
              <w:top w:val="single" w:color="auto" w:sz="4" w:space="0"/>
              <w:left w:val="single" w:color="auto" w:sz="4" w:space="0"/>
              <w:bottom w:val="single" w:color="auto" w:sz="4" w:space="0"/>
              <w:right w:val="single" w:color="auto" w:sz="4" w:space="0"/>
            </w:tcBorders>
            <w:noWrap/>
          </w:tcPr>
          <w:p w14:paraId="4C87744E">
            <w:pPr>
              <w:spacing w:line="440" w:lineRule="exact"/>
              <w:jc w:val="center"/>
              <w:rPr>
                <w:rFonts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tcPr>
          <w:p w14:paraId="12ED4E0F">
            <w:pPr>
              <w:spacing w:line="440" w:lineRule="exact"/>
              <w:jc w:val="center"/>
              <w:rPr>
                <w:rFonts w:ascii="宋体" w:hAnsi="宋体" w:cs="宋体"/>
                <w:sz w:val="24"/>
              </w:rPr>
            </w:pPr>
          </w:p>
        </w:tc>
        <w:tc>
          <w:tcPr>
            <w:tcW w:w="1232" w:type="dxa"/>
            <w:tcBorders>
              <w:top w:val="single" w:color="auto" w:sz="4" w:space="0"/>
              <w:left w:val="single" w:color="auto" w:sz="4" w:space="0"/>
              <w:bottom w:val="single" w:color="auto" w:sz="4" w:space="0"/>
              <w:right w:val="single" w:color="auto" w:sz="4" w:space="0"/>
            </w:tcBorders>
            <w:noWrap/>
          </w:tcPr>
          <w:p w14:paraId="188811EE">
            <w:pPr>
              <w:spacing w:line="440" w:lineRule="exact"/>
              <w:jc w:val="center"/>
              <w:rPr>
                <w:rFonts w:ascii="宋体" w:hAnsi="宋体" w:cs="宋体"/>
                <w:sz w:val="24"/>
              </w:rPr>
            </w:pPr>
          </w:p>
        </w:tc>
        <w:tc>
          <w:tcPr>
            <w:tcW w:w="1042" w:type="dxa"/>
            <w:tcBorders>
              <w:top w:val="single" w:color="auto" w:sz="4" w:space="0"/>
              <w:left w:val="single" w:color="auto" w:sz="4" w:space="0"/>
              <w:bottom w:val="single" w:color="auto" w:sz="4" w:space="0"/>
              <w:right w:val="single" w:color="auto" w:sz="4" w:space="0"/>
            </w:tcBorders>
            <w:noWrap/>
          </w:tcPr>
          <w:p w14:paraId="6101A9ED">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tcPr>
          <w:p w14:paraId="733C7DA1">
            <w:pPr>
              <w:spacing w:line="440" w:lineRule="exact"/>
              <w:jc w:val="cente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tcPr>
          <w:p w14:paraId="1DD225CC">
            <w:pPr>
              <w:spacing w:line="440" w:lineRule="exact"/>
              <w:jc w:val="center"/>
              <w:rPr>
                <w:rFonts w:ascii="宋体" w:hAnsi="宋体" w:cs="宋体"/>
                <w:sz w:val="24"/>
              </w:rPr>
            </w:pPr>
          </w:p>
        </w:tc>
        <w:tc>
          <w:tcPr>
            <w:tcW w:w="1221" w:type="dxa"/>
            <w:tcBorders>
              <w:top w:val="single" w:color="auto" w:sz="4" w:space="0"/>
              <w:left w:val="single" w:color="auto" w:sz="4" w:space="0"/>
              <w:bottom w:val="single" w:color="auto" w:sz="4" w:space="0"/>
              <w:right w:val="single" w:color="auto" w:sz="4" w:space="0"/>
            </w:tcBorders>
            <w:noWrap/>
          </w:tcPr>
          <w:p w14:paraId="2376158A">
            <w:pPr>
              <w:spacing w:line="440" w:lineRule="exact"/>
              <w:jc w:val="center"/>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noWrap/>
          </w:tcPr>
          <w:p w14:paraId="49192E90">
            <w:pPr>
              <w:spacing w:line="440" w:lineRule="exact"/>
              <w:jc w:val="center"/>
              <w:rPr>
                <w:rFonts w:ascii="宋体" w:hAnsi="宋体" w:cs="宋体"/>
                <w:sz w:val="24"/>
              </w:rPr>
            </w:pPr>
          </w:p>
        </w:tc>
      </w:tr>
      <w:tr w14:paraId="4741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dxa"/>
            <w:tcBorders>
              <w:top w:val="single" w:color="auto" w:sz="4" w:space="0"/>
              <w:left w:val="single" w:color="auto" w:sz="4" w:space="0"/>
              <w:bottom w:val="single" w:color="auto" w:sz="4" w:space="0"/>
              <w:right w:val="single" w:color="auto" w:sz="4" w:space="0"/>
            </w:tcBorders>
            <w:noWrap/>
          </w:tcPr>
          <w:p w14:paraId="2F30B083">
            <w:pPr>
              <w:spacing w:line="440" w:lineRule="exact"/>
              <w:jc w:val="center"/>
              <w:rPr>
                <w:rFonts w:ascii="宋体" w:hAnsi="宋体" w:cs="宋体"/>
                <w:sz w:val="24"/>
              </w:rPr>
            </w:pPr>
          </w:p>
        </w:tc>
        <w:tc>
          <w:tcPr>
            <w:tcW w:w="721" w:type="dxa"/>
            <w:tcBorders>
              <w:top w:val="single" w:color="auto" w:sz="4" w:space="0"/>
              <w:left w:val="single" w:color="auto" w:sz="4" w:space="0"/>
              <w:bottom w:val="single" w:color="auto" w:sz="4" w:space="0"/>
              <w:right w:val="single" w:color="auto" w:sz="4" w:space="0"/>
            </w:tcBorders>
            <w:noWrap/>
          </w:tcPr>
          <w:p w14:paraId="1BB1A5D5">
            <w:pPr>
              <w:spacing w:line="440" w:lineRule="exact"/>
              <w:jc w:val="center"/>
              <w:rPr>
                <w:rFonts w:ascii="宋体" w:hAnsi="宋体" w:cs="宋体"/>
                <w:sz w:val="24"/>
              </w:rPr>
            </w:pPr>
          </w:p>
        </w:tc>
        <w:tc>
          <w:tcPr>
            <w:tcW w:w="719" w:type="dxa"/>
            <w:tcBorders>
              <w:top w:val="single" w:color="auto" w:sz="4" w:space="0"/>
              <w:left w:val="single" w:color="auto" w:sz="4" w:space="0"/>
              <w:bottom w:val="single" w:color="auto" w:sz="4" w:space="0"/>
              <w:right w:val="single" w:color="auto" w:sz="4" w:space="0"/>
            </w:tcBorders>
            <w:noWrap/>
          </w:tcPr>
          <w:p w14:paraId="07AF4FDA">
            <w:pPr>
              <w:spacing w:line="440" w:lineRule="exact"/>
              <w:jc w:val="center"/>
              <w:rPr>
                <w:rFonts w:ascii="宋体" w:hAnsi="宋体" w:cs="宋体"/>
                <w:sz w:val="24"/>
              </w:rPr>
            </w:pPr>
          </w:p>
        </w:tc>
        <w:tc>
          <w:tcPr>
            <w:tcW w:w="1232" w:type="dxa"/>
            <w:tcBorders>
              <w:top w:val="single" w:color="auto" w:sz="4" w:space="0"/>
              <w:left w:val="single" w:color="auto" w:sz="4" w:space="0"/>
              <w:bottom w:val="single" w:color="auto" w:sz="4" w:space="0"/>
              <w:right w:val="single" w:color="auto" w:sz="4" w:space="0"/>
            </w:tcBorders>
            <w:noWrap/>
          </w:tcPr>
          <w:p w14:paraId="5E489AFA">
            <w:pPr>
              <w:spacing w:line="440" w:lineRule="exact"/>
              <w:jc w:val="center"/>
              <w:rPr>
                <w:rFonts w:ascii="宋体" w:hAnsi="宋体" w:cs="宋体"/>
                <w:sz w:val="24"/>
              </w:rPr>
            </w:pPr>
          </w:p>
        </w:tc>
        <w:tc>
          <w:tcPr>
            <w:tcW w:w="1042" w:type="dxa"/>
            <w:tcBorders>
              <w:top w:val="single" w:color="auto" w:sz="4" w:space="0"/>
              <w:left w:val="single" w:color="auto" w:sz="4" w:space="0"/>
              <w:bottom w:val="single" w:color="auto" w:sz="4" w:space="0"/>
              <w:right w:val="single" w:color="auto" w:sz="4" w:space="0"/>
            </w:tcBorders>
            <w:noWrap/>
          </w:tcPr>
          <w:p w14:paraId="39908012">
            <w:pPr>
              <w:spacing w:line="440" w:lineRule="exact"/>
              <w:jc w:val="center"/>
              <w:rPr>
                <w:rFonts w:ascii="宋体" w:hAnsi="宋体" w:cs="宋体"/>
                <w:sz w:val="24"/>
              </w:rPr>
            </w:pPr>
          </w:p>
        </w:tc>
        <w:tc>
          <w:tcPr>
            <w:tcW w:w="992" w:type="dxa"/>
            <w:tcBorders>
              <w:top w:val="single" w:color="auto" w:sz="4" w:space="0"/>
              <w:left w:val="single" w:color="auto" w:sz="4" w:space="0"/>
              <w:bottom w:val="single" w:color="auto" w:sz="4" w:space="0"/>
              <w:right w:val="single" w:color="auto" w:sz="4" w:space="0"/>
            </w:tcBorders>
            <w:noWrap/>
          </w:tcPr>
          <w:p w14:paraId="31F3D05F">
            <w:pPr>
              <w:spacing w:line="440" w:lineRule="exact"/>
              <w:jc w:val="center"/>
              <w:rPr>
                <w:rFonts w:ascii="宋体" w:hAnsi="宋体" w:cs="宋体"/>
                <w:sz w:val="24"/>
              </w:rPr>
            </w:pPr>
          </w:p>
        </w:tc>
        <w:tc>
          <w:tcPr>
            <w:tcW w:w="1276" w:type="dxa"/>
            <w:tcBorders>
              <w:top w:val="single" w:color="auto" w:sz="4" w:space="0"/>
              <w:left w:val="single" w:color="auto" w:sz="4" w:space="0"/>
              <w:bottom w:val="single" w:color="auto" w:sz="4" w:space="0"/>
              <w:right w:val="single" w:color="auto" w:sz="4" w:space="0"/>
            </w:tcBorders>
            <w:noWrap/>
          </w:tcPr>
          <w:p w14:paraId="2054A0B5">
            <w:pPr>
              <w:spacing w:line="440" w:lineRule="exact"/>
              <w:jc w:val="center"/>
              <w:rPr>
                <w:rFonts w:ascii="宋体" w:hAnsi="宋体" w:cs="宋体"/>
                <w:sz w:val="24"/>
              </w:rPr>
            </w:pPr>
          </w:p>
        </w:tc>
        <w:tc>
          <w:tcPr>
            <w:tcW w:w="1221" w:type="dxa"/>
            <w:tcBorders>
              <w:top w:val="single" w:color="auto" w:sz="4" w:space="0"/>
              <w:left w:val="single" w:color="auto" w:sz="4" w:space="0"/>
              <w:bottom w:val="single" w:color="auto" w:sz="4" w:space="0"/>
              <w:right w:val="single" w:color="auto" w:sz="4" w:space="0"/>
            </w:tcBorders>
            <w:noWrap/>
          </w:tcPr>
          <w:p w14:paraId="7D3B910E">
            <w:pPr>
              <w:spacing w:line="440" w:lineRule="exact"/>
              <w:jc w:val="center"/>
              <w:rPr>
                <w:rFonts w:ascii="宋体" w:hAnsi="宋体" w:cs="宋体"/>
                <w:sz w:val="24"/>
              </w:rPr>
            </w:pPr>
          </w:p>
        </w:tc>
        <w:tc>
          <w:tcPr>
            <w:tcW w:w="775" w:type="dxa"/>
            <w:tcBorders>
              <w:top w:val="single" w:color="auto" w:sz="4" w:space="0"/>
              <w:left w:val="single" w:color="auto" w:sz="4" w:space="0"/>
              <w:bottom w:val="single" w:color="auto" w:sz="4" w:space="0"/>
              <w:right w:val="single" w:color="auto" w:sz="4" w:space="0"/>
            </w:tcBorders>
            <w:noWrap/>
          </w:tcPr>
          <w:p w14:paraId="30AC59B5">
            <w:pPr>
              <w:spacing w:line="440" w:lineRule="exact"/>
              <w:jc w:val="center"/>
              <w:rPr>
                <w:rFonts w:ascii="宋体" w:hAnsi="宋体" w:cs="宋体"/>
                <w:sz w:val="24"/>
              </w:rPr>
            </w:pPr>
          </w:p>
        </w:tc>
      </w:tr>
    </w:tbl>
    <w:p w14:paraId="68F4E581">
      <w:pPr>
        <w:keepNext/>
        <w:keepLines/>
        <w:spacing w:before="260" w:after="260" w:line="408" w:lineRule="auto"/>
        <w:jc w:val="center"/>
        <w:outlineLvl w:val="2"/>
        <w:rPr>
          <w:rFonts w:ascii="宋体" w:hAnsi="宋体" w:cs="宋体"/>
          <w:b/>
          <w:bCs/>
          <w:kern w:val="0"/>
          <w:sz w:val="32"/>
          <w:szCs w:val="32"/>
        </w:rPr>
      </w:pPr>
      <w:bookmarkStart w:id="523" w:name="_Toc179632825"/>
      <w:bookmarkStart w:id="524" w:name="_Toc152042594"/>
      <w:bookmarkStart w:id="525" w:name="_Toc247085889"/>
      <w:bookmarkStart w:id="526" w:name="_Toc296602616"/>
      <w:bookmarkStart w:id="527" w:name="_Toc246997114"/>
      <w:bookmarkStart w:id="528" w:name="_Toc144974873"/>
      <w:bookmarkStart w:id="529" w:name="_Toc246996371"/>
      <w:bookmarkStart w:id="530" w:name="_Toc152045805"/>
    </w:p>
    <w:p w14:paraId="010D824F">
      <w:pPr>
        <w:rPr>
          <w:rFonts w:ascii="宋体" w:hAnsi="宋体" w:cs="宋体"/>
          <w:szCs w:val="21"/>
        </w:rPr>
      </w:pPr>
    </w:p>
    <w:p w14:paraId="5AA413CE">
      <w:pPr>
        <w:rPr>
          <w:rFonts w:ascii="宋体" w:hAnsi="宋体" w:cs="宋体"/>
          <w:szCs w:val="21"/>
        </w:rPr>
      </w:pPr>
    </w:p>
    <w:p w14:paraId="5A521CF8">
      <w:pPr>
        <w:keepNext/>
        <w:keepLines/>
        <w:spacing w:before="260" w:after="260" w:line="408" w:lineRule="auto"/>
        <w:jc w:val="center"/>
        <w:outlineLvl w:val="2"/>
        <w:rPr>
          <w:rFonts w:ascii="宋体" w:hAnsi="宋体" w:cs="宋体"/>
          <w:b/>
          <w:bCs/>
          <w:kern w:val="0"/>
          <w:sz w:val="32"/>
          <w:szCs w:val="32"/>
        </w:rPr>
      </w:pPr>
      <w:bookmarkStart w:id="531" w:name="_Toc20339"/>
      <w:bookmarkStart w:id="532" w:name="_Toc171014050"/>
      <w:bookmarkStart w:id="533" w:name="_Toc77586878"/>
      <w:bookmarkStart w:id="534" w:name="_Toc77586976"/>
      <w:r>
        <w:rPr>
          <w:rFonts w:hint="eastAsia" w:ascii="宋体" w:hAnsi="宋体" w:cs="宋体"/>
          <w:b/>
          <w:bCs/>
          <w:kern w:val="0"/>
          <w:sz w:val="32"/>
          <w:szCs w:val="32"/>
        </w:rPr>
        <w:t>（二）项目经理简历表</w:t>
      </w:r>
      <w:bookmarkEnd w:id="523"/>
      <w:bookmarkEnd w:id="524"/>
      <w:bookmarkEnd w:id="525"/>
      <w:bookmarkEnd w:id="526"/>
      <w:bookmarkEnd w:id="527"/>
      <w:bookmarkEnd w:id="528"/>
      <w:bookmarkEnd w:id="529"/>
      <w:bookmarkEnd w:id="530"/>
      <w:bookmarkEnd w:id="531"/>
      <w:bookmarkEnd w:id="532"/>
      <w:bookmarkEnd w:id="533"/>
      <w:bookmarkEnd w:id="534"/>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211D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ign w:val="center"/>
          </w:tcPr>
          <w:p w14:paraId="47F4EE04">
            <w:pPr>
              <w:spacing w:line="440" w:lineRule="exact"/>
              <w:jc w:val="center"/>
              <w:rPr>
                <w:rFonts w:ascii="宋体" w:hAnsi="宋体" w:cs="宋体"/>
                <w:sz w:val="24"/>
              </w:rPr>
            </w:pPr>
            <w:r>
              <w:rPr>
                <w:rFonts w:hint="eastAsia" w:ascii="宋体" w:hAnsi="宋体" w:cs="宋体"/>
                <w:sz w:val="24"/>
              </w:rPr>
              <w:t>姓  名</w:t>
            </w:r>
          </w:p>
        </w:tc>
        <w:tc>
          <w:tcPr>
            <w:tcW w:w="1079" w:type="dxa"/>
            <w:gridSpan w:val="2"/>
            <w:noWrap/>
            <w:vAlign w:val="center"/>
          </w:tcPr>
          <w:p w14:paraId="228BF10B">
            <w:pPr>
              <w:spacing w:line="440" w:lineRule="exact"/>
              <w:jc w:val="center"/>
              <w:rPr>
                <w:rFonts w:ascii="宋体" w:hAnsi="宋体" w:cs="宋体"/>
                <w:sz w:val="24"/>
              </w:rPr>
            </w:pPr>
          </w:p>
        </w:tc>
        <w:tc>
          <w:tcPr>
            <w:tcW w:w="927" w:type="dxa"/>
            <w:noWrap/>
            <w:vAlign w:val="center"/>
          </w:tcPr>
          <w:p w14:paraId="4A56F2B0">
            <w:pPr>
              <w:spacing w:line="440" w:lineRule="exact"/>
              <w:jc w:val="center"/>
              <w:rPr>
                <w:rFonts w:ascii="宋体" w:hAnsi="宋体" w:cs="宋体"/>
                <w:sz w:val="24"/>
              </w:rPr>
            </w:pPr>
            <w:r>
              <w:rPr>
                <w:rFonts w:hint="eastAsia" w:ascii="宋体" w:hAnsi="宋体" w:cs="宋体"/>
                <w:sz w:val="24"/>
              </w:rPr>
              <w:t>年 龄</w:t>
            </w:r>
          </w:p>
        </w:tc>
        <w:tc>
          <w:tcPr>
            <w:tcW w:w="1065" w:type="dxa"/>
            <w:noWrap/>
            <w:vAlign w:val="center"/>
          </w:tcPr>
          <w:p w14:paraId="7A1F0C9C">
            <w:pPr>
              <w:spacing w:line="440" w:lineRule="exact"/>
              <w:jc w:val="center"/>
              <w:rPr>
                <w:rFonts w:ascii="宋体" w:hAnsi="宋体" w:cs="宋体"/>
                <w:sz w:val="24"/>
              </w:rPr>
            </w:pPr>
          </w:p>
        </w:tc>
        <w:tc>
          <w:tcPr>
            <w:tcW w:w="2130" w:type="dxa"/>
            <w:gridSpan w:val="3"/>
            <w:noWrap/>
            <w:vAlign w:val="center"/>
          </w:tcPr>
          <w:p w14:paraId="3382AF20">
            <w:pPr>
              <w:spacing w:line="440" w:lineRule="exact"/>
              <w:jc w:val="center"/>
              <w:rPr>
                <w:rFonts w:ascii="宋体" w:hAnsi="宋体" w:cs="宋体"/>
                <w:sz w:val="24"/>
              </w:rPr>
            </w:pPr>
            <w:r>
              <w:rPr>
                <w:rFonts w:hint="eastAsia" w:ascii="宋体" w:hAnsi="宋体" w:cs="宋体"/>
                <w:sz w:val="24"/>
              </w:rPr>
              <w:t>学历</w:t>
            </w:r>
          </w:p>
        </w:tc>
        <w:tc>
          <w:tcPr>
            <w:tcW w:w="2135" w:type="dxa"/>
            <w:noWrap/>
            <w:vAlign w:val="center"/>
          </w:tcPr>
          <w:p w14:paraId="1E3D4B4F">
            <w:pPr>
              <w:spacing w:line="440" w:lineRule="exact"/>
              <w:rPr>
                <w:rFonts w:ascii="宋体" w:hAnsi="宋体" w:cs="宋体"/>
                <w:sz w:val="24"/>
              </w:rPr>
            </w:pPr>
          </w:p>
        </w:tc>
      </w:tr>
      <w:tr w14:paraId="247E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ign w:val="center"/>
          </w:tcPr>
          <w:p w14:paraId="1F2C2DBB">
            <w:pPr>
              <w:spacing w:line="440" w:lineRule="exact"/>
              <w:jc w:val="center"/>
              <w:rPr>
                <w:rFonts w:ascii="宋体" w:hAnsi="宋体" w:cs="宋体"/>
                <w:sz w:val="24"/>
              </w:rPr>
            </w:pPr>
            <w:r>
              <w:rPr>
                <w:rFonts w:hint="eastAsia" w:ascii="宋体" w:hAnsi="宋体" w:cs="宋体"/>
                <w:sz w:val="24"/>
              </w:rPr>
              <w:t>职  称</w:t>
            </w:r>
          </w:p>
        </w:tc>
        <w:tc>
          <w:tcPr>
            <w:tcW w:w="1079" w:type="dxa"/>
            <w:gridSpan w:val="2"/>
            <w:noWrap/>
            <w:vAlign w:val="center"/>
          </w:tcPr>
          <w:p w14:paraId="36033C8B">
            <w:pPr>
              <w:spacing w:line="440" w:lineRule="exact"/>
              <w:jc w:val="center"/>
              <w:rPr>
                <w:rFonts w:ascii="宋体" w:hAnsi="宋体" w:cs="宋体"/>
                <w:sz w:val="24"/>
              </w:rPr>
            </w:pPr>
          </w:p>
        </w:tc>
        <w:tc>
          <w:tcPr>
            <w:tcW w:w="927" w:type="dxa"/>
            <w:noWrap/>
            <w:vAlign w:val="center"/>
          </w:tcPr>
          <w:p w14:paraId="2151CDDF">
            <w:pPr>
              <w:spacing w:line="440" w:lineRule="exact"/>
              <w:jc w:val="center"/>
              <w:rPr>
                <w:rFonts w:ascii="宋体" w:hAnsi="宋体" w:cs="宋体"/>
                <w:sz w:val="24"/>
              </w:rPr>
            </w:pPr>
            <w:r>
              <w:rPr>
                <w:rFonts w:hint="eastAsia" w:ascii="宋体" w:hAnsi="宋体" w:cs="宋体"/>
                <w:sz w:val="24"/>
              </w:rPr>
              <w:t>职 务</w:t>
            </w:r>
          </w:p>
        </w:tc>
        <w:tc>
          <w:tcPr>
            <w:tcW w:w="1065" w:type="dxa"/>
            <w:noWrap/>
            <w:vAlign w:val="center"/>
          </w:tcPr>
          <w:p w14:paraId="0B2E4FEB">
            <w:pPr>
              <w:spacing w:line="440" w:lineRule="exact"/>
              <w:jc w:val="center"/>
              <w:rPr>
                <w:rFonts w:ascii="宋体" w:hAnsi="宋体" w:cs="宋体"/>
                <w:sz w:val="24"/>
              </w:rPr>
            </w:pPr>
          </w:p>
        </w:tc>
        <w:tc>
          <w:tcPr>
            <w:tcW w:w="2130" w:type="dxa"/>
            <w:gridSpan w:val="3"/>
            <w:noWrap/>
            <w:vAlign w:val="center"/>
          </w:tcPr>
          <w:p w14:paraId="7B74B2B1">
            <w:pPr>
              <w:spacing w:line="440" w:lineRule="exact"/>
              <w:jc w:val="center"/>
              <w:rPr>
                <w:rFonts w:ascii="宋体" w:hAnsi="宋体" w:cs="宋体"/>
                <w:sz w:val="24"/>
              </w:rPr>
            </w:pPr>
            <w:r>
              <w:rPr>
                <w:rFonts w:hint="eastAsia" w:ascii="宋体" w:hAnsi="宋体" w:cs="宋体"/>
                <w:sz w:val="24"/>
              </w:rPr>
              <w:t>拟在本合同任职</w:t>
            </w:r>
          </w:p>
        </w:tc>
        <w:tc>
          <w:tcPr>
            <w:tcW w:w="2135" w:type="dxa"/>
            <w:noWrap/>
            <w:vAlign w:val="center"/>
          </w:tcPr>
          <w:p w14:paraId="7D3EB44F">
            <w:pPr>
              <w:spacing w:line="440" w:lineRule="exact"/>
              <w:rPr>
                <w:rFonts w:ascii="宋体" w:hAnsi="宋体" w:cs="宋体"/>
                <w:sz w:val="24"/>
              </w:rPr>
            </w:pPr>
          </w:p>
        </w:tc>
      </w:tr>
      <w:tr w14:paraId="7588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ign w:val="center"/>
          </w:tcPr>
          <w:p w14:paraId="7648F27F">
            <w:pPr>
              <w:spacing w:line="440" w:lineRule="exact"/>
              <w:rPr>
                <w:rFonts w:ascii="宋体" w:hAnsi="宋体" w:cs="宋体"/>
                <w:sz w:val="24"/>
              </w:rPr>
            </w:pPr>
            <w:r>
              <w:rPr>
                <w:rFonts w:hint="eastAsia" w:ascii="宋体" w:hAnsi="宋体" w:cs="宋体"/>
                <w:sz w:val="24"/>
              </w:rPr>
              <w:t>毕业学校</w:t>
            </w:r>
          </w:p>
        </w:tc>
        <w:tc>
          <w:tcPr>
            <w:tcW w:w="7336" w:type="dxa"/>
            <w:gridSpan w:val="8"/>
            <w:noWrap/>
          </w:tcPr>
          <w:p w14:paraId="46084111">
            <w:pPr>
              <w:spacing w:line="440" w:lineRule="exact"/>
              <w:rPr>
                <w:rFonts w:ascii="宋体" w:hAnsi="宋体" w:cs="宋体"/>
                <w:sz w:val="24"/>
              </w:rPr>
            </w:pPr>
            <w:r>
              <w:rPr>
                <w:rFonts w:hint="eastAsia" w:ascii="宋体" w:hAnsi="宋体" w:cs="宋体"/>
                <w:sz w:val="24"/>
              </w:rPr>
              <w:t xml:space="preserve">       年毕业于            学校        专业</w:t>
            </w:r>
          </w:p>
        </w:tc>
      </w:tr>
      <w:tr w14:paraId="6A84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ign w:val="center"/>
          </w:tcPr>
          <w:p w14:paraId="647512AE">
            <w:pPr>
              <w:spacing w:line="440" w:lineRule="exact"/>
              <w:jc w:val="center"/>
              <w:rPr>
                <w:rFonts w:ascii="宋体" w:hAnsi="宋体" w:cs="宋体"/>
                <w:sz w:val="24"/>
              </w:rPr>
            </w:pPr>
            <w:r>
              <w:rPr>
                <w:rFonts w:hint="eastAsia" w:ascii="宋体" w:hAnsi="宋体" w:cs="宋体"/>
                <w:sz w:val="24"/>
              </w:rPr>
              <w:t>主要工作经历</w:t>
            </w:r>
          </w:p>
        </w:tc>
      </w:tr>
      <w:tr w14:paraId="62AE0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ign w:val="center"/>
          </w:tcPr>
          <w:p w14:paraId="382C6609">
            <w:pPr>
              <w:spacing w:line="440" w:lineRule="exact"/>
              <w:jc w:val="center"/>
              <w:rPr>
                <w:rFonts w:ascii="宋体" w:hAnsi="宋体" w:cs="宋体"/>
                <w:sz w:val="24"/>
              </w:rPr>
            </w:pPr>
            <w:r>
              <w:rPr>
                <w:rFonts w:hint="eastAsia" w:ascii="宋体" w:hAnsi="宋体" w:cs="宋体"/>
                <w:sz w:val="24"/>
              </w:rPr>
              <w:t>时  间</w:t>
            </w:r>
          </w:p>
        </w:tc>
        <w:tc>
          <w:tcPr>
            <w:tcW w:w="3420" w:type="dxa"/>
            <w:gridSpan w:val="4"/>
            <w:noWrap/>
            <w:vAlign w:val="center"/>
          </w:tcPr>
          <w:p w14:paraId="4DEC6E10">
            <w:pPr>
              <w:spacing w:line="440" w:lineRule="exact"/>
              <w:jc w:val="center"/>
              <w:rPr>
                <w:rFonts w:ascii="宋体" w:hAnsi="宋体" w:cs="宋体"/>
                <w:sz w:val="24"/>
              </w:rPr>
            </w:pPr>
            <w:r>
              <w:rPr>
                <w:rFonts w:hint="eastAsia" w:ascii="宋体" w:hAnsi="宋体" w:cs="宋体"/>
                <w:sz w:val="24"/>
              </w:rPr>
              <w:t>参加过的类似项目</w:t>
            </w:r>
          </w:p>
        </w:tc>
        <w:tc>
          <w:tcPr>
            <w:tcW w:w="1261" w:type="dxa"/>
            <w:noWrap/>
            <w:vAlign w:val="center"/>
          </w:tcPr>
          <w:p w14:paraId="4E09FF82">
            <w:pPr>
              <w:spacing w:line="440" w:lineRule="exact"/>
              <w:jc w:val="center"/>
              <w:rPr>
                <w:rFonts w:ascii="宋体" w:hAnsi="宋体" w:cs="宋体"/>
                <w:sz w:val="24"/>
              </w:rPr>
            </w:pPr>
            <w:r>
              <w:rPr>
                <w:rFonts w:hint="eastAsia" w:ascii="宋体" w:hAnsi="宋体" w:cs="宋体"/>
                <w:sz w:val="24"/>
              </w:rPr>
              <w:t>担任职务</w:t>
            </w:r>
          </w:p>
        </w:tc>
        <w:tc>
          <w:tcPr>
            <w:tcW w:w="2296" w:type="dxa"/>
            <w:gridSpan w:val="2"/>
            <w:noWrap/>
            <w:vAlign w:val="center"/>
          </w:tcPr>
          <w:p w14:paraId="138169A2">
            <w:pPr>
              <w:spacing w:line="440" w:lineRule="exact"/>
              <w:jc w:val="center"/>
              <w:rPr>
                <w:rFonts w:ascii="宋体" w:hAnsi="宋体" w:cs="宋体"/>
                <w:sz w:val="24"/>
              </w:rPr>
            </w:pPr>
            <w:r>
              <w:rPr>
                <w:rFonts w:hint="eastAsia" w:ascii="宋体" w:hAnsi="宋体" w:cs="宋体"/>
                <w:sz w:val="24"/>
              </w:rPr>
              <w:t>发包人及联系电话</w:t>
            </w:r>
          </w:p>
        </w:tc>
      </w:tr>
      <w:tr w14:paraId="4B75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1B61C9E4">
            <w:pPr>
              <w:spacing w:line="440" w:lineRule="exact"/>
              <w:rPr>
                <w:rFonts w:ascii="宋体" w:hAnsi="宋体" w:cs="宋体"/>
                <w:sz w:val="24"/>
              </w:rPr>
            </w:pPr>
          </w:p>
        </w:tc>
        <w:tc>
          <w:tcPr>
            <w:tcW w:w="3420" w:type="dxa"/>
            <w:gridSpan w:val="4"/>
            <w:noWrap/>
          </w:tcPr>
          <w:p w14:paraId="7322684B">
            <w:pPr>
              <w:spacing w:line="440" w:lineRule="exact"/>
              <w:rPr>
                <w:rFonts w:ascii="宋体" w:hAnsi="宋体" w:cs="宋体"/>
                <w:sz w:val="24"/>
              </w:rPr>
            </w:pPr>
          </w:p>
        </w:tc>
        <w:tc>
          <w:tcPr>
            <w:tcW w:w="1261" w:type="dxa"/>
            <w:noWrap/>
          </w:tcPr>
          <w:p w14:paraId="3EBFB944">
            <w:pPr>
              <w:spacing w:line="440" w:lineRule="exact"/>
              <w:rPr>
                <w:rFonts w:ascii="宋体" w:hAnsi="宋体" w:cs="宋体"/>
                <w:sz w:val="24"/>
              </w:rPr>
            </w:pPr>
          </w:p>
        </w:tc>
        <w:tc>
          <w:tcPr>
            <w:tcW w:w="2296" w:type="dxa"/>
            <w:gridSpan w:val="2"/>
            <w:noWrap/>
          </w:tcPr>
          <w:p w14:paraId="61D2BA1D">
            <w:pPr>
              <w:spacing w:line="440" w:lineRule="exact"/>
              <w:rPr>
                <w:rFonts w:ascii="宋体" w:hAnsi="宋体" w:cs="宋体"/>
                <w:sz w:val="24"/>
              </w:rPr>
            </w:pPr>
          </w:p>
        </w:tc>
      </w:tr>
      <w:tr w14:paraId="6ABD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41B93C78">
            <w:pPr>
              <w:spacing w:line="440" w:lineRule="exact"/>
              <w:rPr>
                <w:rFonts w:ascii="宋体" w:hAnsi="宋体" w:cs="宋体"/>
                <w:sz w:val="24"/>
              </w:rPr>
            </w:pPr>
          </w:p>
        </w:tc>
        <w:tc>
          <w:tcPr>
            <w:tcW w:w="3420" w:type="dxa"/>
            <w:gridSpan w:val="4"/>
            <w:noWrap/>
          </w:tcPr>
          <w:p w14:paraId="5CC84AC4">
            <w:pPr>
              <w:spacing w:line="440" w:lineRule="exact"/>
              <w:rPr>
                <w:rFonts w:ascii="宋体" w:hAnsi="宋体" w:cs="宋体"/>
                <w:sz w:val="24"/>
              </w:rPr>
            </w:pPr>
          </w:p>
        </w:tc>
        <w:tc>
          <w:tcPr>
            <w:tcW w:w="1261" w:type="dxa"/>
            <w:noWrap/>
          </w:tcPr>
          <w:p w14:paraId="679E2CB0">
            <w:pPr>
              <w:spacing w:line="440" w:lineRule="exact"/>
              <w:rPr>
                <w:rFonts w:ascii="宋体" w:hAnsi="宋体" w:cs="宋体"/>
                <w:sz w:val="24"/>
              </w:rPr>
            </w:pPr>
          </w:p>
        </w:tc>
        <w:tc>
          <w:tcPr>
            <w:tcW w:w="2296" w:type="dxa"/>
            <w:gridSpan w:val="2"/>
            <w:noWrap/>
          </w:tcPr>
          <w:p w14:paraId="12CAFD36">
            <w:pPr>
              <w:spacing w:line="440" w:lineRule="exact"/>
              <w:rPr>
                <w:rFonts w:ascii="宋体" w:hAnsi="宋体" w:cs="宋体"/>
                <w:sz w:val="24"/>
              </w:rPr>
            </w:pPr>
          </w:p>
        </w:tc>
      </w:tr>
      <w:tr w14:paraId="1667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5D5B703A">
            <w:pPr>
              <w:spacing w:line="440" w:lineRule="exact"/>
              <w:rPr>
                <w:rFonts w:ascii="宋体" w:hAnsi="宋体" w:cs="宋体"/>
                <w:sz w:val="24"/>
              </w:rPr>
            </w:pPr>
          </w:p>
        </w:tc>
        <w:tc>
          <w:tcPr>
            <w:tcW w:w="3420" w:type="dxa"/>
            <w:gridSpan w:val="4"/>
            <w:noWrap/>
          </w:tcPr>
          <w:p w14:paraId="56197321">
            <w:pPr>
              <w:spacing w:line="440" w:lineRule="exact"/>
              <w:rPr>
                <w:rFonts w:ascii="宋体" w:hAnsi="宋体" w:cs="宋体"/>
                <w:sz w:val="24"/>
              </w:rPr>
            </w:pPr>
          </w:p>
        </w:tc>
        <w:tc>
          <w:tcPr>
            <w:tcW w:w="1261" w:type="dxa"/>
            <w:noWrap/>
          </w:tcPr>
          <w:p w14:paraId="3F9EC78F">
            <w:pPr>
              <w:spacing w:line="440" w:lineRule="exact"/>
              <w:rPr>
                <w:rFonts w:ascii="宋体" w:hAnsi="宋体" w:cs="宋体"/>
                <w:sz w:val="24"/>
              </w:rPr>
            </w:pPr>
          </w:p>
        </w:tc>
        <w:tc>
          <w:tcPr>
            <w:tcW w:w="2296" w:type="dxa"/>
            <w:gridSpan w:val="2"/>
            <w:noWrap/>
          </w:tcPr>
          <w:p w14:paraId="33E2870A">
            <w:pPr>
              <w:spacing w:line="440" w:lineRule="exact"/>
              <w:rPr>
                <w:rFonts w:ascii="宋体" w:hAnsi="宋体" w:cs="宋体"/>
                <w:sz w:val="24"/>
              </w:rPr>
            </w:pPr>
          </w:p>
        </w:tc>
      </w:tr>
      <w:tr w14:paraId="0C1C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40469723">
            <w:pPr>
              <w:spacing w:line="440" w:lineRule="exact"/>
              <w:rPr>
                <w:rFonts w:ascii="宋体" w:hAnsi="宋体" w:cs="宋体"/>
                <w:sz w:val="24"/>
              </w:rPr>
            </w:pPr>
          </w:p>
        </w:tc>
        <w:tc>
          <w:tcPr>
            <w:tcW w:w="3420" w:type="dxa"/>
            <w:gridSpan w:val="4"/>
            <w:noWrap/>
          </w:tcPr>
          <w:p w14:paraId="675CDFF5">
            <w:pPr>
              <w:spacing w:line="440" w:lineRule="exact"/>
              <w:rPr>
                <w:rFonts w:ascii="宋体" w:hAnsi="宋体" w:cs="宋体"/>
                <w:sz w:val="24"/>
              </w:rPr>
            </w:pPr>
          </w:p>
        </w:tc>
        <w:tc>
          <w:tcPr>
            <w:tcW w:w="1261" w:type="dxa"/>
            <w:noWrap/>
          </w:tcPr>
          <w:p w14:paraId="2C677D04">
            <w:pPr>
              <w:spacing w:line="440" w:lineRule="exact"/>
              <w:rPr>
                <w:rFonts w:ascii="宋体" w:hAnsi="宋体" w:cs="宋体"/>
                <w:sz w:val="24"/>
              </w:rPr>
            </w:pPr>
          </w:p>
        </w:tc>
        <w:tc>
          <w:tcPr>
            <w:tcW w:w="2296" w:type="dxa"/>
            <w:gridSpan w:val="2"/>
            <w:noWrap/>
          </w:tcPr>
          <w:p w14:paraId="1E9F20FB">
            <w:pPr>
              <w:spacing w:line="440" w:lineRule="exact"/>
              <w:rPr>
                <w:rFonts w:ascii="宋体" w:hAnsi="宋体" w:cs="宋体"/>
                <w:sz w:val="24"/>
              </w:rPr>
            </w:pPr>
          </w:p>
        </w:tc>
      </w:tr>
      <w:tr w14:paraId="09E4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03FAC540">
            <w:pPr>
              <w:spacing w:line="440" w:lineRule="exact"/>
              <w:rPr>
                <w:rFonts w:ascii="宋体" w:hAnsi="宋体" w:cs="宋体"/>
                <w:sz w:val="24"/>
              </w:rPr>
            </w:pPr>
          </w:p>
        </w:tc>
        <w:tc>
          <w:tcPr>
            <w:tcW w:w="3420" w:type="dxa"/>
            <w:gridSpan w:val="4"/>
            <w:noWrap/>
          </w:tcPr>
          <w:p w14:paraId="19022525">
            <w:pPr>
              <w:spacing w:line="440" w:lineRule="exact"/>
              <w:rPr>
                <w:rFonts w:ascii="宋体" w:hAnsi="宋体" w:cs="宋体"/>
                <w:sz w:val="24"/>
              </w:rPr>
            </w:pPr>
          </w:p>
        </w:tc>
        <w:tc>
          <w:tcPr>
            <w:tcW w:w="1261" w:type="dxa"/>
            <w:noWrap/>
          </w:tcPr>
          <w:p w14:paraId="3C68D50E">
            <w:pPr>
              <w:spacing w:line="440" w:lineRule="exact"/>
              <w:rPr>
                <w:rFonts w:ascii="宋体" w:hAnsi="宋体" w:cs="宋体"/>
                <w:sz w:val="24"/>
              </w:rPr>
            </w:pPr>
          </w:p>
        </w:tc>
        <w:tc>
          <w:tcPr>
            <w:tcW w:w="2296" w:type="dxa"/>
            <w:gridSpan w:val="2"/>
            <w:noWrap/>
          </w:tcPr>
          <w:p w14:paraId="3E361441">
            <w:pPr>
              <w:spacing w:line="440" w:lineRule="exact"/>
              <w:rPr>
                <w:rFonts w:ascii="宋体" w:hAnsi="宋体" w:cs="宋体"/>
                <w:sz w:val="24"/>
              </w:rPr>
            </w:pPr>
          </w:p>
        </w:tc>
      </w:tr>
      <w:tr w14:paraId="349C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1DDD33A7">
            <w:pPr>
              <w:spacing w:line="440" w:lineRule="exact"/>
              <w:rPr>
                <w:rFonts w:ascii="宋体" w:hAnsi="宋体" w:cs="宋体"/>
                <w:sz w:val="24"/>
              </w:rPr>
            </w:pPr>
          </w:p>
        </w:tc>
        <w:tc>
          <w:tcPr>
            <w:tcW w:w="3420" w:type="dxa"/>
            <w:gridSpan w:val="4"/>
            <w:noWrap/>
          </w:tcPr>
          <w:p w14:paraId="24611358">
            <w:pPr>
              <w:spacing w:line="440" w:lineRule="exact"/>
              <w:rPr>
                <w:rFonts w:ascii="宋体" w:hAnsi="宋体" w:cs="宋体"/>
                <w:sz w:val="24"/>
              </w:rPr>
            </w:pPr>
          </w:p>
        </w:tc>
        <w:tc>
          <w:tcPr>
            <w:tcW w:w="1261" w:type="dxa"/>
            <w:noWrap/>
          </w:tcPr>
          <w:p w14:paraId="74E1D442">
            <w:pPr>
              <w:spacing w:line="440" w:lineRule="exact"/>
              <w:rPr>
                <w:rFonts w:ascii="宋体" w:hAnsi="宋体" w:cs="宋体"/>
                <w:sz w:val="24"/>
              </w:rPr>
            </w:pPr>
          </w:p>
        </w:tc>
        <w:tc>
          <w:tcPr>
            <w:tcW w:w="2296" w:type="dxa"/>
            <w:gridSpan w:val="2"/>
            <w:noWrap/>
          </w:tcPr>
          <w:p w14:paraId="4A532C25">
            <w:pPr>
              <w:spacing w:line="440" w:lineRule="exact"/>
              <w:rPr>
                <w:rFonts w:ascii="宋体" w:hAnsi="宋体" w:cs="宋体"/>
                <w:sz w:val="24"/>
              </w:rPr>
            </w:pPr>
          </w:p>
        </w:tc>
      </w:tr>
      <w:tr w14:paraId="24A5E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047B6B05">
            <w:pPr>
              <w:spacing w:line="440" w:lineRule="exact"/>
              <w:rPr>
                <w:rFonts w:ascii="宋体" w:hAnsi="宋体" w:cs="宋体"/>
                <w:sz w:val="24"/>
              </w:rPr>
            </w:pPr>
          </w:p>
        </w:tc>
        <w:tc>
          <w:tcPr>
            <w:tcW w:w="3420" w:type="dxa"/>
            <w:gridSpan w:val="4"/>
            <w:noWrap/>
          </w:tcPr>
          <w:p w14:paraId="2CC3CDD8">
            <w:pPr>
              <w:spacing w:line="440" w:lineRule="exact"/>
              <w:rPr>
                <w:rFonts w:ascii="宋体" w:hAnsi="宋体" w:cs="宋体"/>
                <w:sz w:val="24"/>
              </w:rPr>
            </w:pPr>
          </w:p>
        </w:tc>
        <w:tc>
          <w:tcPr>
            <w:tcW w:w="1261" w:type="dxa"/>
            <w:noWrap/>
          </w:tcPr>
          <w:p w14:paraId="2B362938">
            <w:pPr>
              <w:spacing w:line="440" w:lineRule="exact"/>
              <w:rPr>
                <w:rFonts w:ascii="宋体" w:hAnsi="宋体" w:cs="宋体"/>
                <w:sz w:val="24"/>
              </w:rPr>
            </w:pPr>
          </w:p>
        </w:tc>
        <w:tc>
          <w:tcPr>
            <w:tcW w:w="2296" w:type="dxa"/>
            <w:gridSpan w:val="2"/>
            <w:noWrap/>
          </w:tcPr>
          <w:p w14:paraId="41867991">
            <w:pPr>
              <w:spacing w:line="440" w:lineRule="exact"/>
              <w:rPr>
                <w:rFonts w:ascii="宋体" w:hAnsi="宋体" w:cs="宋体"/>
                <w:sz w:val="24"/>
              </w:rPr>
            </w:pPr>
          </w:p>
        </w:tc>
      </w:tr>
      <w:tr w14:paraId="6B58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77FA4131">
            <w:pPr>
              <w:spacing w:line="440" w:lineRule="exact"/>
              <w:rPr>
                <w:rFonts w:ascii="宋体" w:hAnsi="宋体" w:cs="宋体"/>
                <w:sz w:val="24"/>
              </w:rPr>
            </w:pPr>
          </w:p>
        </w:tc>
        <w:tc>
          <w:tcPr>
            <w:tcW w:w="3420" w:type="dxa"/>
            <w:gridSpan w:val="4"/>
            <w:noWrap/>
          </w:tcPr>
          <w:p w14:paraId="0DF5979B">
            <w:pPr>
              <w:spacing w:line="440" w:lineRule="exact"/>
              <w:rPr>
                <w:rFonts w:ascii="宋体" w:hAnsi="宋体" w:cs="宋体"/>
                <w:sz w:val="24"/>
              </w:rPr>
            </w:pPr>
          </w:p>
        </w:tc>
        <w:tc>
          <w:tcPr>
            <w:tcW w:w="1261" w:type="dxa"/>
            <w:noWrap/>
          </w:tcPr>
          <w:p w14:paraId="7755FC30">
            <w:pPr>
              <w:spacing w:line="440" w:lineRule="exact"/>
              <w:rPr>
                <w:rFonts w:ascii="宋体" w:hAnsi="宋体" w:cs="宋体"/>
                <w:sz w:val="24"/>
              </w:rPr>
            </w:pPr>
          </w:p>
        </w:tc>
        <w:tc>
          <w:tcPr>
            <w:tcW w:w="2296" w:type="dxa"/>
            <w:gridSpan w:val="2"/>
            <w:noWrap/>
          </w:tcPr>
          <w:p w14:paraId="4595EAA7">
            <w:pPr>
              <w:spacing w:line="440" w:lineRule="exact"/>
              <w:rPr>
                <w:rFonts w:ascii="宋体" w:hAnsi="宋体" w:cs="宋体"/>
                <w:sz w:val="24"/>
              </w:rPr>
            </w:pPr>
          </w:p>
        </w:tc>
      </w:tr>
      <w:tr w14:paraId="3186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429B4719">
            <w:pPr>
              <w:spacing w:line="440" w:lineRule="exact"/>
              <w:rPr>
                <w:rFonts w:ascii="宋体" w:hAnsi="宋体" w:cs="宋体"/>
                <w:sz w:val="24"/>
              </w:rPr>
            </w:pPr>
          </w:p>
        </w:tc>
        <w:tc>
          <w:tcPr>
            <w:tcW w:w="3420" w:type="dxa"/>
            <w:gridSpan w:val="4"/>
            <w:noWrap/>
          </w:tcPr>
          <w:p w14:paraId="4C686FC3">
            <w:pPr>
              <w:spacing w:line="440" w:lineRule="exact"/>
              <w:rPr>
                <w:rFonts w:ascii="宋体" w:hAnsi="宋体" w:cs="宋体"/>
                <w:sz w:val="24"/>
              </w:rPr>
            </w:pPr>
          </w:p>
        </w:tc>
        <w:tc>
          <w:tcPr>
            <w:tcW w:w="1261" w:type="dxa"/>
            <w:noWrap/>
          </w:tcPr>
          <w:p w14:paraId="1107C4F3">
            <w:pPr>
              <w:spacing w:line="440" w:lineRule="exact"/>
              <w:rPr>
                <w:rFonts w:ascii="宋体" w:hAnsi="宋体" w:cs="宋体"/>
                <w:sz w:val="24"/>
              </w:rPr>
            </w:pPr>
          </w:p>
        </w:tc>
        <w:tc>
          <w:tcPr>
            <w:tcW w:w="2296" w:type="dxa"/>
            <w:gridSpan w:val="2"/>
            <w:noWrap/>
          </w:tcPr>
          <w:p w14:paraId="5210E818">
            <w:pPr>
              <w:spacing w:line="440" w:lineRule="exact"/>
              <w:rPr>
                <w:rFonts w:ascii="宋体" w:hAnsi="宋体" w:cs="宋体"/>
                <w:sz w:val="24"/>
              </w:rPr>
            </w:pPr>
          </w:p>
        </w:tc>
      </w:tr>
      <w:tr w14:paraId="238F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506A998A">
            <w:pPr>
              <w:spacing w:line="440" w:lineRule="exact"/>
              <w:rPr>
                <w:rFonts w:ascii="宋体" w:hAnsi="宋体" w:cs="宋体"/>
                <w:sz w:val="24"/>
              </w:rPr>
            </w:pPr>
          </w:p>
        </w:tc>
        <w:tc>
          <w:tcPr>
            <w:tcW w:w="3420" w:type="dxa"/>
            <w:gridSpan w:val="4"/>
            <w:noWrap/>
          </w:tcPr>
          <w:p w14:paraId="2962E012">
            <w:pPr>
              <w:spacing w:line="440" w:lineRule="exact"/>
              <w:rPr>
                <w:rFonts w:ascii="宋体" w:hAnsi="宋体" w:cs="宋体"/>
                <w:sz w:val="24"/>
              </w:rPr>
            </w:pPr>
          </w:p>
        </w:tc>
        <w:tc>
          <w:tcPr>
            <w:tcW w:w="1261" w:type="dxa"/>
            <w:noWrap/>
          </w:tcPr>
          <w:p w14:paraId="0169C6B4">
            <w:pPr>
              <w:spacing w:line="440" w:lineRule="exact"/>
              <w:rPr>
                <w:rFonts w:ascii="宋体" w:hAnsi="宋体" w:cs="宋体"/>
                <w:sz w:val="24"/>
              </w:rPr>
            </w:pPr>
          </w:p>
        </w:tc>
        <w:tc>
          <w:tcPr>
            <w:tcW w:w="2296" w:type="dxa"/>
            <w:gridSpan w:val="2"/>
            <w:noWrap/>
          </w:tcPr>
          <w:p w14:paraId="6218F549">
            <w:pPr>
              <w:spacing w:line="440" w:lineRule="exact"/>
              <w:rPr>
                <w:rFonts w:ascii="宋体" w:hAnsi="宋体" w:cs="宋体"/>
                <w:sz w:val="24"/>
              </w:rPr>
            </w:pPr>
          </w:p>
        </w:tc>
      </w:tr>
      <w:tr w14:paraId="02CB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536AC386">
            <w:pPr>
              <w:spacing w:line="440" w:lineRule="exact"/>
              <w:rPr>
                <w:rFonts w:ascii="宋体" w:hAnsi="宋体" w:cs="宋体"/>
                <w:sz w:val="24"/>
              </w:rPr>
            </w:pPr>
          </w:p>
        </w:tc>
        <w:tc>
          <w:tcPr>
            <w:tcW w:w="3420" w:type="dxa"/>
            <w:gridSpan w:val="4"/>
            <w:noWrap/>
          </w:tcPr>
          <w:p w14:paraId="5F833740">
            <w:pPr>
              <w:spacing w:line="440" w:lineRule="exact"/>
              <w:rPr>
                <w:rFonts w:ascii="宋体" w:hAnsi="宋体" w:cs="宋体"/>
                <w:sz w:val="24"/>
              </w:rPr>
            </w:pPr>
          </w:p>
        </w:tc>
        <w:tc>
          <w:tcPr>
            <w:tcW w:w="1261" w:type="dxa"/>
            <w:noWrap/>
          </w:tcPr>
          <w:p w14:paraId="76FB918F">
            <w:pPr>
              <w:spacing w:line="440" w:lineRule="exact"/>
              <w:rPr>
                <w:rFonts w:ascii="宋体" w:hAnsi="宋体" w:cs="宋体"/>
                <w:sz w:val="24"/>
              </w:rPr>
            </w:pPr>
          </w:p>
        </w:tc>
        <w:tc>
          <w:tcPr>
            <w:tcW w:w="2296" w:type="dxa"/>
            <w:gridSpan w:val="2"/>
            <w:noWrap/>
          </w:tcPr>
          <w:p w14:paraId="5C111CED">
            <w:pPr>
              <w:spacing w:line="440" w:lineRule="exact"/>
              <w:rPr>
                <w:rFonts w:ascii="宋体" w:hAnsi="宋体" w:cs="宋体"/>
                <w:sz w:val="24"/>
              </w:rPr>
            </w:pPr>
          </w:p>
        </w:tc>
      </w:tr>
      <w:tr w14:paraId="31DD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tcPr>
          <w:p w14:paraId="0C2FE92E">
            <w:pPr>
              <w:spacing w:line="440" w:lineRule="exact"/>
              <w:rPr>
                <w:rFonts w:ascii="宋体" w:hAnsi="宋体" w:cs="宋体"/>
                <w:sz w:val="24"/>
              </w:rPr>
            </w:pPr>
          </w:p>
        </w:tc>
        <w:tc>
          <w:tcPr>
            <w:tcW w:w="3420" w:type="dxa"/>
            <w:gridSpan w:val="4"/>
            <w:noWrap/>
          </w:tcPr>
          <w:p w14:paraId="02E6E14C">
            <w:pPr>
              <w:spacing w:line="440" w:lineRule="exact"/>
              <w:rPr>
                <w:rFonts w:ascii="宋体" w:hAnsi="宋体" w:cs="宋体"/>
                <w:sz w:val="24"/>
              </w:rPr>
            </w:pPr>
          </w:p>
        </w:tc>
        <w:tc>
          <w:tcPr>
            <w:tcW w:w="1261" w:type="dxa"/>
            <w:noWrap/>
          </w:tcPr>
          <w:p w14:paraId="25CA5771">
            <w:pPr>
              <w:spacing w:line="440" w:lineRule="exact"/>
              <w:rPr>
                <w:rFonts w:ascii="宋体" w:hAnsi="宋体" w:cs="宋体"/>
                <w:sz w:val="24"/>
              </w:rPr>
            </w:pPr>
          </w:p>
        </w:tc>
        <w:tc>
          <w:tcPr>
            <w:tcW w:w="2296" w:type="dxa"/>
            <w:gridSpan w:val="2"/>
            <w:noWrap/>
          </w:tcPr>
          <w:p w14:paraId="54CBDE07">
            <w:pPr>
              <w:spacing w:line="440" w:lineRule="exact"/>
              <w:rPr>
                <w:rFonts w:ascii="宋体" w:hAnsi="宋体" w:cs="宋体"/>
                <w:sz w:val="24"/>
              </w:rPr>
            </w:pPr>
          </w:p>
        </w:tc>
      </w:tr>
    </w:tbl>
    <w:p w14:paraId="6D944C9B">
      <w:pPr>
        <w:spacing w:line="360" w:lineRule="auto"/>
        <w:rPr>
          <w:rFonts w:ascii="宋体" w:hAnsi="宋体" w:cs="宋体"/>
          <w:sz w:val="27"/>
          <w:szCs w:val="27"/>
        </w:rPr>
      </w:pPr>
    </w:p>
    <w:p w14:paraId="5843C0E6">
      <w:pPr>
        <w:shd w:val="clear" w:color="auto" w:fill="FFFFFF"/>
        <w:tabs>
          <w:tab w:val="right" w:pos="6077"/>
        </w:tabs>
        <w:autoSpaceDE w:val="0"/>
        <w:autoSpaceDN w:val="0"/>
        <w:spacing w:line="560" w:lineRule="exact"/>
        <w:jc w:val="center"/>
        <w:outlineLvl w:val="1"/>
        <w:rPr>
          <w:rFonts w:ascii="宋体" w:hAnsi="宋体" w:cs="宋体"/>
          <w:b/>
          <w:bCs/>
          <w:kern w:val="28"/>
          <w:sz w:val="30"/>
          <w:szCs w:val="30"/>
        </w:rPr>
      </w:pPr>
      <w:r>
        <w:rPr>
          <w:rFonts w:hint="eastAsia" w:ascii="宋体" w:hAnsi="宋体" w:cs="宋体"/>
          <w:szCs w:val="21"/>
        </w:rPr>
        <w:br w:type="page"/>
      </w:r>
      <w:bookmarkStart w:id="535" w:name="_Toc171014051"/>
      <w:bookmarkStart w:id="536" w:name="_Toc6931"/>
      <w:r>
        <w:rPr>
          <w:rFonts w:hint="eastAsia" w:ascii="宋体" w:hAnsi="宋体" w:cs="宋体"/>
          <w:b/>
          <w:bCs/>
          <w:kern w:val="28"/>
          <w:sz w:val="30"/>
          <w:szCs w:val="30"/>
        </w:rPr>
        <w:t>七、投标人基本情况</w:t>
      </w:r>
      <w:bookmarkEnd w:id="535"/>
      <w:bookmarkEnd w:id="536"/>
    </w:p>
    <w:p w14:paraId="02940471">
      <w:pPr>
        <w:keepNext/>
        <w:keepLines/>
        <w:spacing w:before="260" w:after="260" w:line="408" w:lineRule="auto"/>
        <w:jc w:val="left"/>
        <w:outlineLvl w:val="2"/>
        <w:rPr>
          <w:rFonts w:ascii="宋体" w:hAnsi="宋体" w:cs="宋体"/>
          <w:b/>
          <w:bCs/>
          <w:kern w:val="0"/>
          <w:sz w:val="32"/>
          <w:szCs w:val="32"/>
        </w:rPr>
      </w:pPr>
      <w:bookmarkStart w:id="537" w:name="_Toc171014052"/>
      <w:bookmarkStart w:id="538" w:name="_Toc246996373"/>
      <w:bookmarkStart w:id="539" w:name="_Toc123"/>
      <w:bookmarkStart w:id="540" w:name="_Toc296602618"/>
      <w:bookmarkStart w:id="541" w:name="_Toc77586880"/>
      <w:bookmarkStart w:id="542" w:name="_Toc246997116"/>
      <w:bookmarkStart w:id="543" w:name="_Toc247085891"/>
      <w:bookmarkStart w:id="544" w:name="_Toc144974876"/>
      <w:bookmarkStart w:id="545" w:name="_Toc77586978"/>
      <w:bookmarkStart w:id="546" w:name="_Toc152042597"/>
      <w:bookmarkStart w:id="547" w:name="_Toc179632828"/>
      <w:bookmarkStart w:id="548" w:name="_Toc152045808"/>
      <w:r>
        <w:rPr>
          <w:rFonts w:hint="eastAsia" w:ascii="宋体" w:hAnsi="宋体" w:cs="宋体"/>
          <w:b/>
          <w:bCs/>
          <w:kern w:val="0"/>
          <w:sz w:val="32"/>
          <w:szCs w:val="32"/>
        </w:rPr>
        <w:t>（一）供应商基本情况表</w:t>
      </w:r>
      <w:bookmarkEnd w:id="537"/>
      <w:bookmarkEnd w:id="538"/>
      <w:bookmarkEnd w:id="539"/>
      <w:bookmarkEnd w:id="540"/>
      <w:bookmarkEnd w:id="541"/>
      <w:bookmarkEnd w:id="542"/>
      <w:bookmarkEnd w:id="543"/>
      <w:bookmarkEnd w:id="544"/>
      <w:bookmarkEnd w:id="545"/>
      <w:bookmarkEnd w:id="546"/>
      <w:bookmarkEnd w:id="547"/>
      <w:bookmarkEnd w:id="548"/>
    </w:p>
    <w:tbl>
      <w:tblPr>
        <w:tblStyle w:val="11"/>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88"/>
        <w:gridCol w:w="661"/>
        <w:gridCol w:w="840"/>
        <w:gridCol w:w="420"/>
        <w:gridCol w:w="311"/>
        <w:gridCol w:w="1179"/>
        <w:gridCol w:w="389"/>
        <w:gridCol w:w="860"/>
        <w:gridCol w:w="992"/>
      </w:tblGrid>
      <w:tr w14:paraId="2A73D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1DAD665B">
            <w:pPr>
              <w:topLinePunct/>
              <w:spacing w:line="440" w:lineRule="exact"/>
              <w:jc w:val="center"/>
              <w:rPr>
                <w:rFonts w:ascii="宋体" w:hAnsi="宋体" w:cs="宋体"/>
                <w:sz w:val="24"/>
              </w:rPr>
            </w:pPr>
            <w:r>
              <w:rPr>
                <w:rFonts w:hint="eastAsia" w:ascii="宋体" w:hAnsi="宋体" w:cs="宋体"/>
                <w:sz w:val="24"/>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14:paraId="0EB8B9D4">
            <w:pPr>
              <w:topLinePunct/>
              <w:spacing w:line="440" w:lineRule="exact"/>
              <w:jc w:val="center"/>
              <w:rPr>
                <w:rFonts w:ascii="宋体" w:hAnsi="宋体" w:cs="宋体"/>
                <w:sz w:val="24"/>
              </w:rPr>
            </w:pPr>
          </w:p>
        </w:tc>
      </w:tr>
      <w:tr w14:paraId="68A58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59D7A732">
            <w:pPr>
              <w:topLinePunct/>
              <w:spacing w:line="440" w:lineRule="exact"/>
              <w:jc w:val="center"/>
              <w:rPr>
                <w:rFonts w:ascii="宋体" w:hAnsi="宋体" w:cs="宋体"/>
                <w:sz w:val="24"/>
              </w:rPr>
            </w:pPr>
            <w:r>
              <w:rPr>
                <w:rFonts w:hint="eastAsia" w:ascii="宋体" w:hAnsi="宋体" w:cs="宋体"/>
                <w:sz w:val="24"/>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14:paraId="2DCE6743">
            <w:pPr>
              <w:topLinePunct/>
              <w:spacing w:line="440" w:lineRule="exact"/>
              <w:jc w:val="center"/>
              <w:rPr>
                <w:rFonts w:ascii="宋体" w:hAnsi="宋体" w:cs="宋体"/>
                <w:sz w:val="24"/>
              </w:rPr>
            </w:pPr>
          </w:p>
        </w:tc>
        <w:tc>
          <w:tcPr>
            <w:tcW w:w="1179" w:type="dxa"/>
            <w:tcBorders>
              <w:top w:val="single" w:color="auto" w:sz="4" w:space="0"/>
              <w:left w:val="single" w:color="auto" w:sz="4" w:space="0"/>
              <w:bottom w:val="single" w:color="auto" w:sz="4" w:space="0"/>
              <w:right w:val="single" w:color="auto" w:sz="4" w:space="0"/>
            </w:tcBorders>
            <w:noWrap/>
            <w:vAlign w:val="center"/>
          </w:tcPr>
          <w:p w14:paraId="4776B254">
            <w:pPr>
              <w:topLinePunct/>
              <w:spacing w:line="440" w:lineRule="exact"/>
              <w:jc w:val="center"/>
              <w:rPr>
                <w:rFonts w:ascii="宋体" w:hAnsi="宋体" w:cs="宋体"/>
                <w:sz w:val="24"/>
              </w:rPr>
            </w:pPr>
            <w:r>
              <w:rPr>
                <w:rFonts w:hint="eastAsia" w:ascii="宋体" w:hAnsi="宋体" w:cs="宋体"/>
                <w:sz w:val="24"/>
              </w:rPr>
              <w:t>邮政编码</w:t>
            </w:r>
          </w:p>
        </w:tc>
        <w:tc>
          <w:tcPr>
            <w:tcW w:w="2241" w:type="dxa"/>
            <w:gridSpan w:val="3"/>
            <w:tcBorders>
              <w:top w:val="single" w:color="auto" w:sz="4" w:space="0"/>
              <w:left w:val="single" w:color="auto" w:sz="4" w:space="0"/>
              <w:bottom w:val="single" w:color="auto" w:sz="4" w:space="0"/>
              <w:right w:val="single" w:color="auto" w:sz="4" w:space="0"/>
            </w:tcBorders>
            <w:noWrap/>
            <w:vAlign w:val="center"/>
          </w:tcPr>
          <w:p w14:paraId="0840BEBC">
            <w:pPr>
              <w:topLinePunct/>
              <w:spacing w:line="440" w:lineRule="exact"/>
              <w:jc w:val="center"/>
              <w:rPr>
                <w:rFonts w:ascii="宋体" w:hAnsi="宋体" w:cs="宋体"/>
                <w:sz w:val="24"/>
              </w:rPr>
            </w:pPr>
          </w:p>
        </w:tc>
      </w:tr>
      <w:tr w14:paraId="2B17B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14:paraId="63D776AB">
            <w:pPr>
              <w:topLinePunct/>
              <w:spacing w:line="440" w:lineRule="exact"/>
              <w:jc w:val="center"/>
              <w:rPr>
                <w:rFonts w:ascii="宋体" w:hAnsi="宋体" w:cs="宋体"/>
                <w:sz w:val="24"/>
              </w:rPr>
            </w:pPr>
            <w:r>
              <w:rPr>
                <w:rFonts w:hint="eastAsia" w:ascii="宋体" w:hAnsi="宋体" w:cs="宋体"/>
                <w:sz w:val="24"/>
              </w:rPr>
              <w:t>联系方式</w:t>
            </w:r>
          </w:p>
        </w:tc>
        <w:tc>
          <w:tcPr>
            <w:tcW w:w="1188" w:type="dxa"/>
            <w:tcBorders>
              <w:top w:val="single" w:color="auto" w:sz="4" w:space="0"/>
              <w:left w:val="single" w:color="auto" w:sz="4" w:space="0"/>
              <w:bottom w:val="single" w:color="auto" w:sz="4" w:space="0"/>
              <w:right w:val="single" w:color="auto" w:sz="4" w:space="0"/>
            </w:tcBorders>
            <w:noWrap/>
            <w:vAlign w:val="center"/>
          </w:tcPr>
          <w:p w14:paraId="56449383">
            <w:pPr>
              <w:topLinePunct/>
              <w:spacing w:line="440" w:lineRule="exact"/>
              <w:jc w:val="center"/>
              <w:rPr>
                <w:rFonts w:ascii="宋体" w:hAnsi="宋体" w:cs="宋体"/>
                <w:sz w:val="24"/>
              </w:rPr>
            </w:pPr>
            <w:r>
              <w:rPr>
                <w:rFonts w:hint="eastAsia" w:ascii="宋体" w:hAnsi="宋体" w:cs="宋体"/>
                <w:sz w:val="24"/>
              </w:rPr>
              <w:t>联系人</w:t>
            </w:r>
          </w:p>
        </w:tc>
        <w:tc>
          <w:tcPr>
            <w:tcW w:w="2232" w:type="dxa"/>
            <w:gridSpan w:val="4"/>
            <w:tcBorders>
              <w:top w:val="single" w:color="auto" w:sz="4" w:space="0"/>
              <w:left w:val="single" w:color="auto" w:sz="4" w:space="0"/>
              <w:bottom w:val="single" w:color="auto" w:sz="4" w:space="0"/>
              <w:right w:val="single" w:color="auto" w:sz="4" w:space="0"/>
            </w:tcBorders>
            <w:noWrap/>
            <w:vAlign w:val="center"/>
          </w:tcPr>
          <w:p w14:paraId="18DAB703">
            <w:pPr>
              <w:topLinePunct/>
              <w:spacing w:line="440" w:lineRule="exact"/>
              <w:jc w:val="center"/>
              <w:rPr>
                <w:rFonts w:ascii="宋体" w:hAnsi="宋体" w:cs="宋体"/>
                <w:sz w:val="24"/>
              </w:rPr>
            </w:pPr>
          </w:p>
        </w:tc>
        <w:tc>
          <w:tcPr>
            <w:tcW w:w="1179" w:type="dxa"/>
            <w:tcBorders>
              <w:top w:val="single" w:color="auto" w:sz="4" w:space="0"/>
              <w:left w:val="single" w:color="auto" w:sz="4" w:space="0"/>
              <w:bottom w:val="single" w:color="auto" w:sz="4" w:space="0"/>
              <w:right w:val="single" w:color="auto" w:sz="4" w:space="0"/>
            </w:tcBorders>
            <w:noWrap/>
            <w:vAlign w:val="center"/>
          </w:tcPr>
          <w:p w14:paraId="45EF0552">
            <w:pPr>
              <w:topLinePunct/>
              <w:spacing w:line="440" w:lineRule="exact"/>
              <w:jc w:val="center"/>
              <w:rPr>
                <w:rFonts w:ascii="宋体" w:hAnsi="宋体" w:cs="宋体"/>
                <w:sz w:val="24"/>
              </w:rPr>
            </w:pPr>
            <w:r>
              <w:rPr>
                <w:rFonts w:hint="eastAsia" w:ascii="宋体" w:hAnsi="宋体" w:cs="宋体"/>
                <w:sz w:val="24"/>
              </w:rPr>
              <w:t>电 话</w:t>
            </w:r>
          </w:p>
        </w:tc>
        <w:tc>
          <w:tcPr>
            <w:tcW w:w="2241" w:type="dxa"/>
            <w:gridSpan w:val="3"/>
            <w:tcBorders>
              <w:top w:val="single" w:color="auto" w:sz="4" w:space="0"/>
              <w:left w:val="single" w:color="auto" w:sz="4" w:space="0"/>
              <w:bottom w:val="single" w:color="auto" w:sz="4" w:space="0"/>
              <w:right w:val="single" w:color="auto" w:sz="4" w:space="0"/>
            </w:tcBorders>
            <w:noWrap/>
            <w:vAlign w:val="center"/>
          </w:tcPr>
          <w:p w14:paraId="7C80853E">
            <w:pPr>
              <w:topLinePunct/>
              <w:spacing w:line="440" w:lineRule="exact"/>
              <w:jc w:val="center"/>
              <w:rPr>
                <w:rFonts w:ascii="宋体" w:hAnsi="宋体" w:cs="宋体"/>
                <w:sz w:val="24"/>
              </w:rPr>
            </w:pPr>
          </w:p>
        </w:tc>
      </w:tr>
      <w:tr w14:paraId="5AA7BD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14:paraId="47A4D3DE">
            <w:pPr>
              <w:topLinePunct/>
              <w:spacing w:line="440" w:lineRule="exact"/>
              <w:jc w:val="center"/>
              <w:rPr>
                <w:rFonts w:ascii="宋体" w:hAnsi="宋体" w:cs="宋体"/>
                <w:sz w:val="24"/>
              </w:rPr>
            </w:pPr>
          </w:p>
        </w:tc>
        <w:tc>
          <w:tcPr>
            <w:tcW w:w="1188" w:type="dxa"/>
            <w:tcBorders>
              <w:top w:val="single" w:color="auto" w:sz="4" w:space="0"/>
              <w:left w:val="single" w:color="auto" w:sz="4" w:space="0"/>
              <w:bottom w:val="single" w:color="auto" w:sz="4" w:space="0"/>
              <w:right w:val="single" w:color="auto" w:sz="4" w:space="0"/>
            </w:tcBorders>
            <w:noWrap/>
            <w:vAlign w:val="center"/>
          </w:tcPr>
          <w:p w14:paraId="41F69DA3">
            <w:pPr>
              <w:topLinePunct/>
              <w:spacing w:line="440" w:lineRule="exact"/>
              <w:jc w:val="center"/>
              <w:rPr>
                <w:rFonts w:ascii="宋体" w:hAnsi="宋体" w:cs="宋体"/>
                <w:sz w:val="24"/>
              </w:rPr>
            </w:pPr>
            <w:r>
              <w:rPr>
                <w:rFonts w:hint="eastAsia" w:ascii="宋体" w:hAnsi="宋体" w:cs="宋体"/>
                <w:sz w:val="24"/>
              </w:rPr>
              <w:t>传  真</w:t>
            </w:r>
          </w:p>
        </w:tc>
        <w:tc>
          <w:tcPr>
            <w:tcW w:w="2232" w:type="dxa"/>
            <w:gridSpan w:val="4"/>
            <w:tcBorders>
              <w:top w:val="single" w:color="auto" w:sz="4" w:space="0"/>
              <w:left w:val="single" w:color="auto" w:sz="4" w:space="0"/>
              <w:bottom w:val="single" w:color="auto" w:sz="4" w:space="0"/>
              <w:right w:val="single" w:color="auto" w:sz="4" w:space="0"/>
            </w:tcBorders>
            <w:noWrap/>
            <w:vAlign w:val="center"/>
          </w:tcPr>
          <w:p w14:paraId="19DC0677">
            <w:pPr>
              <w:topLinePunct/>
              <w:spacing w:line="440" w:lineRule="exact"/>
              <w:jc w:val="center"/>
              <w:rPr>
                <w:rFonts w:ascii="宋体" w:hAnsi="宋体" w:cs="宋体"/>
                <w:sz w:val="24"/>
              </w:rPr>
            </w:pPr>
          </w:p>
        </w:tc>
        <w:tc>
          <w:tcPr>
            <w:tcW w:w="1179" w:type="dxa"/>
            <w:tcBorders>
              <w:top w:val="single" w:color="auto" w:sz="4" w:space="0"/>
              <w:left w:val="single" w:color="auto" w:sz="4" w:space="0"/>
              <w:bottom w:val="single" w:color="auto" w:sz="4" w:space="0"/>
              <w:right w:val="single" w:color="auto" w:sz="4" w:space="0"/>
            </w:tcBorders>
            <w:noWrap/>
            <w:vAlign w:val="center"/>
          </w:tcPr>
          <w:p w14:paraId="10FA493B">
            <w:pPr>
              <w:topLinePunct/>
              <w:spacing w:line="440" w:lineRule="exact"/>
              <w:jc w:val="center"/>
              <w:rPr>
                <w:rFonts w:ascii="宋体" w:hAnsi="宋体" w:cs="宋体"/>
                <w:sz w:val="24"/>
              </w:rPr>
            </w:pPr>
            <w:r>
              <w:rPr>
                <w:rFonts w:hint="eastAsia" w:ascii="宋体" w:hAnsi="宋体" w:cs="宋体"/>
                <w:sz w:val="24"/>
              </w:rPr>
              <w:t>网 址</w:t>
            </w:r>
          </w:p>
        </w:tc>
        <w:tc>
          <w:tcPr>
            <w:tcW w:w="2241" w:type="dxa"/>
            <w:gridSpan w:val="3"/>
            <w:tcBorders>
              <w:top w:val="single" w:color="auto" w:sz="4" w:space="0"/>
              <w:left w:val="single" w:color="auto" w:sz="4" w:space="0"/>
              <w:bottom w:val="single" w:color="auto" w:sz="4" w:space="0"/>
              <w:right w:val="single" w:color="auto" w:sz="4" w:space="0"/>
            </w:tcBorders>
            <w:noWrap/>
            <w:vAlign w:val="center"/>
          </w:tcPr>
          <w:p w14:paraId="3BBF2041">
            <w:pPr>
              <w:topLinePunct/>
              <w:spacing w:line="440" w:lineRule="exact"/>
              <w:jc w:val="center"/>
              <w:rPr>
                <w:rFonts w:ascii="宋体" w:hAnsi="宋体" w:cs="宋体"/>
                <w:sz w:val="24"/>
              </w:rPr>
            </w:pPr>
          </w:p>
        </w:tc>
      </w:tr>
      <w:tr w14:paraId="1BC5B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6DA2AC3E">
            <w:pPr>
              <w:topLinePunct/>
              <w:spacing w:line="440" w:lineRule="exact"/>
              <w:jc w:val="center"/>
              <w:rPr>
                <w:rFonts w:ascii="宋体" w:hAnsi="宋体" w:cs="宋体"/>
                <w:sz w:val="24"/>
              </w:rPr>
            </w:pPr>
            <w:r>
              <w:rPr>
                <w:rFonts w:hint="eastAsia" w:ascii="宋体" w:hAnsi="宋体" w:cs="宋体"/>
                <w:sz w:val="24"/>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14:paraId="25DF1C94">
            <w:pPr>
              <w:topLinePunct/>
              <w:spacing w:line="440" w:lineRule="exact"/>
              <w:jc w:val="center"/>
              <w:rPr>
                <w:rFonts w:ascii="宋体" w:hAnsi="宋体" w:cs="宋体"/>
                <w:sz w:val="24"/>
              </w:rPr>
            </w:pPr>
          </w:p>
        </w:tc>
      </w:tr>
      <w:tr w14:paraId="22C6F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0088E518">
            <w:pPr>
              <w:topLinePunct/>
              <w:spacing w:line="440" w:lineRule="exact"/>
              <w:jc w:val="center"/>
              <w:rPr>
                <w:rFonts w:ascii="宋体" w:hAnsi="宋体" w:cs="宋体"/>
                <w:sz w:val="24"/>
              </w:rPr>
            </w:pPr>
            <w:r>
              <w:rPr>
                <w:rFonts w:hint="eastAsia" w:ascii="宋体" w:hAnsi="宋体" w:cs="宋体"/>
                <w:sz w:val="24"/>
              </w:rPr>
              <w:t>法定代表人</w:t>
            </w:r>
          </w:p>
        </w:tc>
        <w:tc>
          <w:tcPr>
            <w:tcW w:w="1188" w:type="dxa"/>
            <w:tcBorders>
              <w:top w:val="single" w:color="auto" w:sz="4" w:space="0"/>
              <w:left w:val="single" w:color="auto" w:sz="4" w:space="0"/>
              <w:bottom w:val="single" w:color="auto" w:sz="4" w:space="0"/>
              <w:right w:val="single" w:color="auto" w:sz="4" w:space="0"/>
            </w:tcBorders>
            <w:noWrap/>
            <w:vAlign w:val="center"/>
          </w:tcPr>
          <w:p w14:paraId="113061FA">
            <w:pPr>
              <w:topLinePunct/>
              <w:spacing w:line="440" w:lineRule="exact"/>
              <w:jc w:val="center"/>
              <w:rPr>
                <w:rFonts w:ascii="宋体" w:hAnsi="宋体" w:cs="宋体"/>
                <w:sz w:val="24"/>
              </w:rPr>
            </w:pPr>
            <w:r>
              <w:rPr>
                <w:rFonts w:hint="eastAsia" w:ascii="宋体" w:hAnsi="宋体" w:cs="宋体"/>
                <w:sz w:val="24"/>
              </w:rPr>
              <w:t>姓名</w:t>
            </w:r>
          </w:p>
        </w:tc>
        <w:tc>
          <w:tcPr>
            <w:tcW w:w="661" w:type="dxa"/>
            <w:tcBorders>
              <w:top w:val="single" w:color="auto" w:sz="4" w:space="0"/>
              <w:left w:val="single" w:color="auto" w:sz="4" w:space="0"/>
              <w:bottom w:val="single" w:color="auto" w:sz="4" w:space="0"/>
              <w:right w:val="single" w:color="auto" w:sz="4" w:space="0"/>
            </w:tcBorders>
            <w:noWrap/>
            <w:vAlign w:val="center"/>
          </w:tcPr>
          <w:p w14:paraId="374614B2">
            <w:pPr>
              <w:topLinePunct/>
              <w:spacing w:line="440" w:lineRule="exact"/>
              <w:jc w:val="center"/>
              <w:rPr>
                <w:rFonts w:ascii="宋体" w:hAnsi="宋体" w:cs="宋体"/>
                <w:sz w:val="24"/>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14:paraId="14FCEB1F">
            <w:pPr>
              <w:topLinePunct/>
              <w:spacing w:line="440" w:lineRule="exact"/>
              <w:jc w:val="center"/>
              <w:rPr>
                <w:rFonts w:ascii="宋体" w:hAnsi="宋体" w:cs="宋体"/>
                <w:sz w:val="24"/>
              </w:rPr>
            </w:pPr>
            <w:r>
              <w:rPr>
                <w:rFonts w:hint="eastAsia" w:ascii="宋体" w:hAnsi="宋体" w:cs="宋体"/>
                <w:sz w:val="24"/>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14:paraId="7AFFD720">
            <w:pPr>
              <w:topLinePunct/>
              <w:spacing w:line="440" w:lineRule="exact"/>
              <w:jc w:val="center"/>
              <w:rPr>
                <w:rFonts w:ascii="宋体" w:hAnsi="宋体" w:cs="宋体"/>
                <w:sz w:val="24"/>
              </w:rPr>
            </w:pPr>
          </w:p>
        </w:tc>
        <w:tc>
          <w:tcPr>
            <w:tcW w:w="860" w:type="dxa"/>
            <w:tcBorders>
              <w:top w:val="single" w:color="auto" w:sz="4" w:space="0"/>
              <w:left w:val="single" w:color="auto" w:sz="4" w:space="0"/>
              <w:bottom w:val="single" w:color="auto" w:sz="4" w:space="0"/>
              <w:right w:val="single" w:color="auto" w:sz="4" w:space="0"/>
            </w:tcBorders>
            <w:noWrap/>
            <w:vAlign w:val="center"/>
          </w:tcPr>
          <w:p w14:paraId="4EF2D383">
            <w:pPr>
              <w:topLinePunct/>
              <w:spacing w:line="440" w:lineRule="exact"/>
              <w:jc w:val="center"/>
              <w:rPr>
                <w:rFonts w:ascii="宋体" w:hAnsi="宋体" w:cs="宋体"/>
                <w:sz w:val="24"/>
              </w:rPr>
            </w:pPr>
            <w:r>
              <w:rPr>
                <w:rFonts w:hint="eastAsia" w:ascii="宋体" w:hAnsi="宋体" w:cs="宋体"/>
                <w:sz w:val="24"/>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14:paraId="07414023">
            <w:pPr>
              <w:topLinePunct/>
              <w:spacing w:line="440" w:lineRule="exact"/>
              <w:jc w:val="center"/>
              <w:rPr>
                <w:rFonts w:ascii="宋体" w:hAnsi="宋体" w:cs="宋体"/>
                <w:sz w:val="24"/>
              </w:rPr>
            </w:pPr>
          </w:p>
        </w:tc>
      </w:tr>
      <w:tr w14:paraId="0B8C8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50FBBDA8">
            <w:pPr>
              <w:topLinePunct/>
              <w:spacing w:line="440" w:lineRule="exact"/>
              <w:jc w:val="center"/>
              <w:rPr>
                <w:rFonts w:ascii="宋体" w:hAnsi="宋体" w:cs="宋体"/>
                <w:sz w:val="24"/>
              </w:rPr>
            </w:pPr>
            <w:r>
              <w:rPr>
                <w:rFonts w:hint="eastAsia" w:ascii="宋体" w:hAnsi="宋体" w:cs="宋体"/>
                <w:sz w:val="24"/>
              </w:rPr>
              <w:t>技术负责人</w:t>
            </w:r>
          </w:p>
        </w:tc>
        <w:tc>
          <w:tcPr>
            <w:tcW w:w="1188" w:type="dxa"/>
            <w:tcBorders>
              <w:top w:val="single" w:color="auto" w:sz="4" w:space="0"/>
              <w:left w:val="single" w:color="auto" w:sz="4" w:space="0"/>
              <w:bottom w:val="single" w:color="auto" w:sz="4" w:space="0"/>
              <w:right w:val="single" w:color="auto" w:sz="4" w:space="0"/>
            </w:tcBorders>
            <w:noWrap/>
            <w:vAlign w:val="center"/>
          </w:tcPr>
          <w:p w14:paraId="3B08C339">
            <w:pPr>
              <w:topLinePunct/>
              <w:spacing w:line="440" w:lineRule="exact"/>
              <w:jc w:val="center"/>
              <w:rPr>
                <w:rFonts w:ascii="宋体" w:hAnsi="宋体" w:cs="宋体"/>
                <w:sz w:val="24"/>
              </w:rPr>
            </w:pPr>
            <w:r>
              <w:rPr>
                <w:rFonts w:hint="eastAsia" w:ascii="宋体" w:hAnsi="宋体" w:cs="宋体"/>
                <w:sz w:val="24"/>
              </w:rPr>
              <w:t>姓名</w:t>
            </w:r>
          </w:p>
        </w:tc>
        <w:tc>
          <w:tcPr>
            <w:tcW w:w="661" w:type="dxa"/>
            <w:tcBorders>
              <w:top w:val="single" w:color="auto" w:sz="4" w:space="0"/>
              <w:left w:val="single" w:color="auto" w:sz="4" w:space="0"/>
              <w:bottom w:val="single" w:color="auto" w:sz="4" w:space="0"/>
              <w:right w:val="single" w:color="auto" w:sz="4" w:space="0"/>
            </w:tcBorders>
            <w:noWrap/>
            <w:vAlign w:val="center"/>
          </w:tcPr>
          <w:p w14:paraId="75626655">
            <w:pPr>
              <w:topLinePunct/>
              <w:spacing w:line="440" w:lineRule="exact"/>
              <w:jc w:val="center"/>
              <w:rPr>
                <w:rFonts w:ascii="宋体" w:hAnsi="宋体" w:cs="宋体"/>
                <w:sz w:val="24"/>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14:paraId="297A263A">
            <w:pPr>
              <w:topLinePunct/>
              <w:spacing w:line="440" w:lineRule="exact"/>
              <w:jc w:val="center"/>
              <w:rPr>
                <w:rFonts w:ascii="宋体" w:hAnsi="宋体" w:cs="宋体"/>
                <w:sz w:val="24"/>
              </w:rPr>
            </w:pPr>
            <w:r>
              <w:rPr>
                <w:rFonts w:hint="eastAsia" w:ascii="宋体" w:hAnsi="宋体" w:cs="宋体"/>
                <w:sz w:val="24"/>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14:paraId="3C315A4D">
            <w:pPr>
              <w:topLinePunct/>
              <w:spacing w:line="440" w:lineRule="exact"/>
              <w:jc w:val="center"/>
              <w:rPr>
                <w:rFonts w:ascii="宋体" w:hAnsi="宋体" w:cs="宋体"/>
                <w:sz w:val="24"/>
              </w:rPr>
            </w:pPr>
          </w:p>
        </w:tc>
        <w:tc>
          <w:tcPr>
            <w:tcW w:w="860" w:type="dxa"/>
            <w:tcBorders>
              <w:top w:val="single" w:color="auto" w:sz="4" w:space="0"/>
              <w:left w:val="single" w:color="auto" w:sz="4" w:space="0"/>
              <w:bottom w:val="single" w:color="auto" w:sz="4" w:space="0"/>
              <w:right w:val="single" w:color="auto" w:sz="4" w:space="0"/>
            </w:tcBorders>
            <w:noWrap/>
            <w:vAlign w:val="center"/>
          </w:tcPr>
          <w:p w14:paraId="629869F3">
            <w:pPr>
              <w:topLinePunct/>
              <w:spacing w:line="440" w:lineRule="exact"/>
              <w:jc w:val="center"/>
              <w:rPr>
                <w:rFonts w:ascii="宋体" w:hAnsi="宋体" w:cs="宋体"/>
                <w:sz w:val="24"/>
              </w:rPr>
            </w:pPr>
            <w:r>
              <w:rPr>
                <w:rFonts w:hint="eastAsia" w:ascii="宋体" w:hAnsi="宋体" w:cs="宋体"/>
                <w:sz w:val="24"/>
              </w:rPr>
              <w:t>电话</w:t>
            </w:r>
          </w:p>
        </w:tc>
        <w:tc>
          <w:tcPr>
            <w:tcW w:w="992" w:type="dxa"/>
            <w:tcBorders>
              <w:top w:val="single" w:color="auto" w:sz="4" w:space="0"/>
              <w:left w:val="single" w:color="auto" w:sz="4" w:space="0"/>
              <w:bottom w:val="single" w:color="auto" w:sz="4" w:space="0"/>
              <w:right w:val="single" w:color="auto" w:sz="4" w:space="0"/>
            </w:tcBorders>
            <w:noWrap/>
            <w:vAlign w:val="center"/>
          </w:tcPr>
          <w:p w14:paraId="4DEF017C">
            <w:pPr>
              <w:topLinePunct/>
              <w:spacing w:line="440" w:lineRule="exact"/>
              <w:jc w:val="center"/>
              <w:rPr>
                <w:rFonts w:ascii="宋体" w:hAnsi="宋体" w:cs="宋体"/>
                <w:sz w:val="24"/>
              </w:rPr>
            </w:pPr>
          </w:p>
        </w:tc>
      </w:tr>
      <w:tr w14:paraId="6E19B4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6BE24E3C">
            <w:pPr>
              <w:topLinePunct/>
              <w:spacing w:line="440" w:lineRule="exact"/>
              <w:jc w:val="center"/>
              <w:rPr>
                <w:rFonts w:ascii="宋体" w:hAnsi="宋体" w:cs="宋体"/>
                <w:sz w:val="24"/>
              </w:rPr>
            </w:pPr>
            <w:r>
              <w:rPr>
                <w:rFonts w:hint="eastAsia" w:ascii="宋体" w:hAnsi="宋体" w:cs="宋体"/>
                <w:sz w:val="24"/>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14:paraId="7CC17FFF">
            <w:pPr>
              <w:topLinePunct/>
              <w:spacing w:line="440" w:lineRule="exact"/>
              <w:jc w:val="center"/>
              <w:rPr>
                <w:rFonts w:ascii="宋体" w:hAnsi="宋体" w:cs="宋体"/>
                <w:sz w:val="24"/>
              </w:rPr>
            </w:pPr>
          </w:p>
        </w:tc>
        <w:tc>
          <w:tcPr>
            <w:tcW w:w="4991" w:type="dxa"/>
            <w:gridSpan w:val="7"/>
            <w:tcBorders>
              <w:top w:val="single" w:color="auto" w:sz="4" w:space="0"/>
              <w:left w:val="single" w:color="auto" w:sz="4" w:space="0"/>
              <w:bottom w:val="single" w:color="auto" w:sz="4" w:space="0"/>
              <w:right w:val="single" w:color="auto" w:sz="4" w:space="0"/>
            </w:tcBorders>
            <w:noWrap/>
            <w:vAlign w:val="center"/>
          </w:tcPr>
          <w:p w14:paraId="6D9872DC">
            <w:pPr>
              <w:topLinePunct/>
              <w:spacing w:line="440" w:lineRule="exact"/>
              <w:ind w:firstLine="120" w:firstLineChars="50"/>
              <w:jc w:val="center"/>
              <w:rPr>
                <w:rFonts w:ascii="宋体" w:hAnsi="宋体" w:cs="宋体"/>
                <w:sz w:val="24"/>
              </w:rPr>
            </w:pPr>
            <w:r>
              <w:rPr>
                <w:rFonts w:hint="eastAsia" w:ascii="宋体" w:hAnsi="宋体" w:cs="宋体"/>
                <w:sz w:val="24"/>
              </w:rPr>
              <w:t>员工总人数：</w:t>
            </w:r>
          </w:p>
        </w:tc>
      </w:tr>
      <w:tr w14:paraId="6AF3A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20B609BD">
            <w:pPr>
              <w:topLinePunct/>
              <w:spacing w:line="440" w:lineRule="exact"/>
              <w:jc w:val="center"/>
              <w:rPr>
                <w:rFonts w:ascii="宋体" w:hAnsi="宋体" w:cs="宋体"/>
                <w:sz w:val="24"/>
              </w:rPr>
            </w:pPr>
            <w:r>
              <w:rPr>
                <w:rFonts w:hint="eastAsia" w:ascii="宋体" w:hAnsi="宋体" w:cs="宋体"/>
                <w:sz w:val="24"/>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14:paraId="593CDFDD">
            <w:pPr>
              <w:topLinePunct/>
              <w:spacing w:line="440" w:lineRule="exact"/>
              <w:jc w:val="center"/>
              <w:rPr>
                <w:rFonts w:ascii="宋体" w:hAnsi="宋体" w:cs="宋体"/>
                <w:sz w:val="24"/>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14:paraId="7EFFDE4F">
            <w:pPr>
              <w:topLinePunct/>
              <w:spacing w:line="440" w:lineRule="exact"/>
              <w:jc w:val="center"/>
              <w:rPr>
                <w:rFonts w:ascii="宋体" w:hAnsi="宋体" w:cs="宋体"/>
                <w:sz w:val="24"/>
              </w:rPr>
            </w:pPr>
            <w:r>
              <w:rPr>
                <w:rFonts w:hint="eastAsia" w:ascii="宋体" w:hAnsi="宋体" w:cs="宋体"/>
                <w:sz w:val="24"/>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14:paraId="1F713E78">
            <w:pPr>
              <w:topLinePunct/>
              <w:spacing w:line="440" w:lineRule="exact"/>
              <w:jc w:val="center"/>
              <w:rPr>
                <w:rFonts w:ascii="宋体" w:hAnsi="宋体" w:cs="宋体"/>
                <w:sz w:val="24"/>
              </w:rPr>
            </w:pPr>
            <w:r>
              <w:rPr>
                <w:rFonts w:hint="eastAsia" w:ascii="宋体" w:hAnsi="宋体" w:cs="宋体"/>
                <w:sz w:val="24"/>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14:paraId="15F3878E">
            <w:pPr>
              <w:topLinePunct/>
              <w:spacing w:line="440" w:lineRule="exact"/>
              <w:jc w:val="center"/>
              <w:rPr>
                <w:rFonts w:ascii="宋体" w:hAnsi="宋体" w:cs="宋体"/>
                <w:sz w:val="24"/>
              </w:rPr>
            </w:pPr>
          </w:p>
        </w:tc>
      </w:tr>
      <w:tr w14:paraId="60486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7007E690">
            <w:pPr>
              <w:topLinePunct/>
              <w:spacing w:line="440" w:lineRule="exact"/>
              <w:jc w:val="center"/>
              <w:rPr>
                <w:rFonts w:ascii="宋体" w:hAnsi="宋体" w:cs="宋体"/>
                <w:sz w:val="24"/>
              </w:rPr>
            </w:pPr>
            <w:r>
              <w:rPr>
                <w:rFonts w:hint="eastAsia" w:ascii="宋体" w:hAnsi="宋体" w:cs="宋体"/>
                <w:sz w:val="24"/>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14:paraId="403377BA">
            <w:pPr>
              <w:topLinePunct/>
              <w:spacing w:line="440" w:lineRule="exact"/>
              <w:jc w:val="center"/>
              <w:rPr>
                <w:rFonts w:ascii="宋体" w:hAnsi="宋体" w:cs="宋体"/>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14:paraId="481DBEAE">
            <w:pPr>
              <w:topLinePunct/>
              <w:spacing w:line="440" w:lineRule="exact"/>
              <w:jc w:val="center"/>
              <w:rPr>
                <w:rFonts w:ascii="宋体" w:hAnsi="宋体" w:cs="宋体"/>
                <w:sz w:val="24"/>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14:paraId="43316FDF">
            <w:pPr>
              <w:topLinePunct/>
              <w:spacing w:line="440" w:lineRule="exact"/>
              <w:jc w:val="center"/>
              <w:rPr>
                <w:rFonts w:ascii="宋体" w:hAnsi="宋体" w:cs="宋体"/>
                <w:sz w:val="24"/>
              </w:rPr>
            </w:pPr>
            <w:r>
              <w:rPr>
                <w:rFonts w:hint="eastAsia" w:ascii="宋体" w:hAnsi="宋体" w:cs="宋体"/>
                <w:sz w:val="24"/>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14:paraId="607C9717">
            <w:pPr>
              <w:topLinePunct/>
              <w:spacing w:line="440" w:lineRule="exact"/>
              <w:jc w:val="center"/>
              <w:rPr>
                <w:rFonts w:ascii="宋体" w:hAnsi="宋体" w:cs="宋体"/>
                <w:sz w:val="24"/>
              </w:rPr>
            </w:pPr>
          </w:p>
        </w:tc>
      </w:tr>
      <w:tr w14:paraId="3A6B6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70929A5B">
            <w:pPr>
              <w:topLinePunct/>
              <w:spacing w:line="440" w:lineRule="exact"/>
              <w:jc w:val="center"/>
              <w:rPr>
                <w:rFonts w:ascii="宋体" w:hAnsi="宋体" w:cs="宋体"/>
                <w:sz w:val="24"/>
              </w:rPr>
            </w:pPr>
            <w:r>
              <w:rPr>
                <w:rFonts w:hint="eastAsia" w:ascii="宋体" w:hAnsi="宋体" w:cs="宋体"/>
                <w:sz w:val="24"/>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14:paraId="303824F1">
            <w:pPr>
              <w:topLinePunct/>
              <w:spacing w:line="440" w:lineRule="exact"/>
              <w:jc w:val="center"/>
              <w:rPr>
                <w:rFonts w:ascii="宋体" w:hAnsi="宋体" w:cs="宋体"/>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14:paraId="1AB9B9D7">
            <w:pPr>
              <w:topLinePunct/>
              <w:spacing w:line="440" w:lineRule="exact"/>
              <w:jc w:val="center"/>
              <w:rPr>
                <w:rFonts w:ascii="宋体" w:hAnsi="宋体" w:cs="宋体"/>
                <w:sz w:val="24"/>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14:paraId="2EB28A02">
            <w:pPr>
              <w:topLinePunct/>
              <w:spacing w:line="440" w:lineRule="exact"/>
              <w:jc w:val="center"/>
              <w:rPr>
                <w:rFonts w:ascii="宋体" w:hAnsi="宋体" w:cs="宋体"/>
                <w:sz w:val="24"/>
              </w:rPr>
            </w:pPr>
            <w:r>
              <w:rPr>
                <w:rFonts w:hint="eastAsia" w:ascii="宋体" w:hAnsi="宋体" w:cs="宋体"/>
                <w:sz w:val="24"/>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14:paraId="06DD59CC">
            <w:pPr>
              <w:topLinePunct/>
              <w:spacing w:line="440" w:lineRule="exact"/>
              <w:jc w:val="center"/>
              <w:rPr>
                <w:rFonts w:ascii="宋体" w:hAnsi="宋体" w:cs="宋体"/>
                <w:sz w:val="24"/>
              </w:rPr>
            </w:pPr>
          </w:p>
        </w:tc>
      </w:tr>
      <w:tr w14:paraId="5F220C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125E138B">
            <w:pPr>
              <w:topLinePunct/>
              <w:spacing w:line="440" w:lineRule="exact"/>
              <w:jc w:val="center"/>
              <w:rPr>
                <w:rFonts w:ascii="宋体" w:hAnsi="宋体" w:cs="宋体"/>
                <w:sz w:val="24"/>
              </w:rPr>
            </w:pPr>
            <w:r>
              <w:rPr>
                <w:rFonts w:hint="eastAsia" w:ascii="宋体" w:hAnsi="宋体" w:cs="宋体"/>
                <w:sz w:val="24"/>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14:paraId="1C98E2DA">
            <w:pPr>
              <w:topLinePunct/>
              <w:spacing w:line="440" w:lineRule="exact"/>
              <w:jc w:val="center"/>
              <w:rPr>
                <w:rFonts w:ascii="宋体" w:hAnsi="宋体" w:cs="宋体"/>
                <w:sz w:val="24"/>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14:paraId="13C876E6">
            <w:pPr>
              <w:topLinePunct/>
              <w:spacing w:line="440" w:lineRule="exact"/>
              <w:jc w:val="center"/>
              <w:rPr>
                <w:rFonts w:ascii="宋体" w:hAnsi="宋体" w:cs="宋体"/>
                <w:sz w:val="24"/>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14:paraId="2F0A0D63">
            <w:pPr>
              <w:topLinePunct/>
              <w:spacing w:line="440" w:lineRule="exact"/>
              <w:jc w:val="center"/>
              <w:rPr>
                <w:rFonts w:ascii="宋体" w:hAnsi="宋体" w:cs="宋体"/>
                <w:sz w:val="24"/>
              </w:rPr>
            </w:pPr>
            <w:r>
              <w:rPr>
                <w:rFonts w:hint="eastAsia" w:ascii="宋体" w:hAnsi="宋体" w:cs="宋体"/>
                <w:sz w:val="24"/>
              </w:rPr>
              <w:t>技  工</w:t>
            </w:r>
          </w:p>
        </w:tc>
        <w:tc>
          <w:tcPr>
            <w:tcW w:w="1852" w:type="dxa"/>
            <w:gridSpan w:val="2"/>
            <w:tcBorders>
              <w:top w:val="single" w:color="auto" w:sz="4" w:space="0"/>
              <w:left w:val="single" w:color="auto" w:sz="4" w:space="0"/>
              <w:bottom w:val="single" w:color="auto" w:sz="4" w:space="0"/>
              <w:right w:val="single" w:color="auto" w:sz="4" w:space="0"/>
            </w:tcBorders>
            <w:noWrap/>
            <w:vAlign w:val="center"/>
          </w:tcPr>
          <w:p w14:paraId="1275B0B9">
            <w:pPr>
              <w:topLinePunct/>
              <w:spacing w:line="440" w:lineRule="exact"/>
              <w:jc w:val="center"/>
              <w:rPr>
                <w:rFonts w:ascii="宋体" w:hAnsi="宋体" w:cs="宋体"/>
                <w:sz w:val="24"/>
              </w:rPr>
            </w:pPr>
          </w:p>
        </w:tc>
      </w:tr>
      <w:tr w14:paraId="488D10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jc w:val="center"/>
        </w:trPr>
        <w:tc>
          <w:tcPr>
            <w:tcW w:w="1728" w:type="dxa"/>
            <w:tcBorders>
              <w:top w:val="single" w:color="auto" w:sz="4" w:space="0"/>
              <w:left w:val="single" w:color="auto" w:sz="4" w:space="0"/>
              <w:right w:val="single" w:color="auto" w:sz="4" w:space="0"/>
            </w:tcBorders>
            <w:noWrap/>
            <w:vAlign w:val="center"/>
          </w:tcPr>
          <w:p w14:paraId="2E6DB01A">
            <w:pPr>
              <w:topLinePunct/>
              <w:spacing w:line="440" w:lineRule="exact"/>
              <w:ind w:firstLine="240" w:firstLineChars="100"/>
              <w:jc w:val="center"/>
              <w:rPr>
                <w:rFonts w:ascii="宋体" w:hAnsi="宋体" w:cs="宋体"/>
                <w:sz w:val="24"/>
              </w:rPr>
            </w:pPr>
            <w:r>
              <w:rPr>
                <w:rFonts w:hint="eastAsia" w:ascii="宋体" w:hAnsi="宋体" w:cs="宋体"/>
                <w:sz w:val="24"/>
              </w:rPr>
              <w:t>经营范围</w:t>
            </w:r>
          </w:p>
        </w:tc>
        <w:tc>
          <w:tcPr>
            <w:tcW w:w="6840" w:type="dxa"/>
            <w:gridSpan w:val="9"/>
            <w:tcBorders>
              <w:top w:val="single" w:color="auto" w:sz="4" w:space="0"/>
              <w:left w:val="single" w:color="auto" w:sz="4" w:space="0"/>
              <w:right w:val="single" w:color="auto" w:sz="4" w:space="0"/>
            </w:tcBorders>
            <w:noWrap/>
            <w:vAlign w:val="center"/>
          </w:tcPr>
          <w:p w14:paraId="4C5473C3">
            <w:pPr>
              <w:topLinePunct/>
              <w:spacing w:line="440" w:lineRule="exact"/>
              <w:jc w:val="center"/>
              <w:rPr>
                <w:rFonts w:ascii="宋体" w:hAnsi="宋体" w:cs="宋体"/>
                <w:sz w:val="24"/>
              </w:rPr>
            </w:pPr>
          </w:p>
          <w:p w14:paraId="0245D690">
            <w:pPr>
              <w:topLinePunct/>
              <w:spacing w:line="440" w:lineRule="exact"/>
              <w:jc w:val="center"/>
              <w:rPr>
                <w:rFonts w:ascii="宋体" w:hAnsi="宋体" w:cs="宋体"/>
                <w:sz w:val="24"/>
              </w:rPr>
            </w:pPr>
          </w:p>
          <w:p w14:paraId="66C92581">
            <w:pPr>
              <w:topLinePunct/>
              <w:spacing w:line="440" w:lineRule="exact"/>
              <w:jc w:val="center"/>
              <w:rPr>
                <w:rFonts w:ascii="宋体" w:hAnsi="宋体" w:cs="宋体"/>
                <w:sz w:val="24"/>
              </w:rPr>
            </w:pPr>
          </w:p>
          <w:p w14:paraId="3065FF8F">
            <w:pPr>
              <w:topLinePunct/>
              <w:spacing w:line="440" w:lineRule="exact"/>
              <w:jc w:val="center"/>
              <w:rPr>
                <w:rFonts w:ascii="宋体" w:hAnsi="宋体" w:cs="宋体"/>
                <w:sz w:val="24"/>
              </w:rPr>
            </w:pPr>
          </w:p>
          <w:p w14:paraId="49EE3B77">
            <w:pPr>
              <w:topLinePunct/>
              <w:spacing w:line="440" w:lineRule="exact"/>
              <w:rPr>
                <w:rFonts w:ascii="宋体" w:hAnsi="宋体" w:cs="宋体"/>
                <w:sz w:val="24"/>
              </w:rPr>
            </w:pPr>
          </w:p>
        </w:tc>
      </w:tr>
      <w:tr w14:paraId="0934BB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14:paraId="1BCB1F17">
            <w:pPr>
              <w:topLinePunct/>
              <w:spacing w:line="440" w:lineRule="exact"/>
              <w:jc w:val="center"/>
              <w:rPr>
                <w:rFonts w:ascii="宋体" w:hAnsi="宋体" w:cs="宋体"/>
                <w:sz w:val="24"/>
              </w:rPr>
            </w:pPr>
            <w:r>
              <w:rPr>
                <w:rFonts w:hint="eastAsia" w:ascii="宋体" w:hAnsi="宋体" w:cs="宋体"/>
                <w:sz w:val="24"/>
              </w:rPr>
              <w:t>备注</w:t>
            </w:r>
          </w:p>
        </w:tc>
        <w:tc>
          <w:tcPr>
            <w:tcW w:w="6840" w:type="dxa"/>
            <w:gridSpan w:val="9"/>
            <w:tcBorders>
              <w:top w:val="single" w:color="auto" w:sz="4" w:space="0"/>
              <w:left w:val="single" w:color="auto" w:sz="4" w:space="0"/>
              <w:bottom w:val="single" w:color="auto" w:sz="4" w:space="0"/>
              <w:right w:val="single" w:color="auto" w:sz="4" w:space="0"/>
            </w:tcBorders>
            <w:noWrap/>
            <w:vAlign w:val="center"/>
          </w:tcPr>
          <w:p w14:paraId="7031A9DB">
            <w:pPr>
              <w:topLinePunct/>
              <w:spacing w:line="440" w:lineRule="exact"/>
              <w:rPr>
                <w:rFonts w:ascii="宋体" w:hAnsi="宋体" w:cs="宋体"/>
                <w:b/>
                <w:sz w:val="24"/>
              </w:rPr>
            </w:pPr>
          </w:p>
        </w:tc>
      </w:tr>
    </w:tbl>
    <w:p w14:paraId="4E44CF40">
      <w:pPr>
        <w:topLinePunct/>
        <w:spacing w:line="440" w:lineRule="exact"/>
        <w:rPr>
          <w:rFonts w:ascii="宋体" w:hAnsi="宋体" w:cs="宋体"/>
          <w:sz w:val="20"/>
          <w:szCs w:val="21"/>
        </w:rPr>
      </w:pPr>
    </w:p>
    <w:p w14:paraId="5925E68E">
      <w:pPr>
        <w:spacing w:line="440" w:lineRule="exact"/>
        <w:jc w:val="left"/>
        <w:rPr>
          <w:rFonts w:ascii="宋体" w:hAnsi="宋体" w:cs="宋体"/>
          <w:b/>
          <w:bCs/>
          <w:sz w:val="32"/>
          <w:szCs w:val="32"/>
        </w:rPr>
      </w:pPr>
      <w:r>
        <w:rPr>
          <w:rFonts w:hint="eastAsia" w:ascii="宋体" w:hAnsi="宋体" w:cs="宋体"/>
          <w:sz w:val="20"/>
          <w:szCs w:val="20"/>
        </w:rPr>
        <w:br w:type="page"/>
      </w:r>
      <w:bookmarkStart w:id="549" w:name="_Toc247514302"/>
      <w:bookmarkStart w:id="550" w:name="_Toc296602620"/>
      <w:bookmarkStart w:id="551" w:name="_Toc152045810"/>
      <w:bookmarkStart w:id="552" w:name="_Toc247527850"/>
      <w:bookmarkStart w:id="553" w:name="_Toc265953296"/>
      <w:bookmarkStart w:id="554" w:name="_Toc144974878"/>
      <w:bookmarkStart w:id="555" w:name="_Toc152042599"/>
      <w:r>
        <w:rPr>
          <w:rFonts w:hint="eastAsia" w:ascii="宋体" w:hAnsi="宋体" w:cs="宋体"/>
          <w:b/>
          <w:bCs/>
          <w:sz w:val="32"/>
          <w:szCs w:val="32"/>
        </w:rPr>
        <w:t>（二）近年财务状况表</w:t>
      </w:r>
    </w:p>
    <w:p w14:paraId="383BBB53">
      <w:pPr>
        <w:spacing w:line="600" w:lineRule="exact"/>
        <w:ind w:firstLine="480" w:firstLineChars="200"/>
        <w:jc w:val="left"/>
        <w:rPr>
          <w:rFonts w:ascii="宋体" w:hAnsi="宋体" w:cs="宋体"/>
          <w:sz w:val="24"/>
        </w:rPr>
      </w:pPr>
      <w:r>
        <w:rPr>
          <w:rFonts w:hint="eastAsia" w:ascii="宋体" w:hAnsi="宋体" w:cs="宋体"/>
          <w:sz w:val="24"/>
        </w:rPr>
        <w:t>（2022年1月1日以来任意一年的财务证明材料，没有经审计的财务报告可提供财务报表或银行出具的资信证明，</w:t>
      </w:r>
      <w:r>
        <w:rPr>
          <w:rFonts w:ascii="宋体" w:hAnsi="宋体" w:cs="宋体"/>
          <w:sz w:val="24"/>
        </w:rPr>
        <w:t>新办企业以企业注册成立之日起提供</w:t>
      </w:r>
      <w:r>
        <w:rPr>
          <w:rFonts w:hint="eastAsia" w:ascii="宋体" w:hAnsi="宋体" w:cs="宋体"/>
          <w:sz w:val="24"/>
        </w:rPr>
        <w:t>)；</w:t>
      </w:r>
    </w:p>
    <w:p w14:paraId="0A576144">
      <w:pPr>
        <w:spacing w:line="440" w:lineRule="exact"/>
        <w:ind w:firstLine="600" w:firstLineChars="250"/>
        <w:jc w:val="left"/>
        <w:rPr>
          <w:rFonts w:ascii="宋体" w:hAnsi="宋体" w:cs="宋体"/>
          <w:bCs/>
          <w:sz w:val="24"/>
          <w:szCs w:val="32"/>
        </w:rPr>
      </w:pPr>
    </w:p>
    <w:p w14:paraId="71E1CA63">
      <w:pPr>
        <w:spacing w:line="440" w:lineRule="exact"/>
        <w:ind w:firstLine="600" w:firstLineChars="250"/>
        <w:jc w:val="left"/>
        <w:rPr>
          <w:rFonts w:ascii="宋体" w:hAnsi="宋体" w:cs="宋体"/>
          <w:bCs/>
          <w:sz w:val="24"/>
          <w:szCs w:val="32"/>
        </w:rPr>
      </w:pPr>
    </w:p>
    <w:p w14:paraId="490F3A5C">
      <w:pPr>
        <w:spacing w:line="440" w:lineRule="exact"/>
        <w:ind w:firstLine="600" w:firstLineChars="250"/>
        <w:jc w:val="left"/>
        <w:rPr>
          <w:rFonts w:ascii="宋体" w:hAnsi="宋体" w:cs="宋体"/>
          <w:bCs/>
          <w:sz w:val="24"/>
          <w:szCs w:val="32"/>
        </w:rPr>
      </w:pPr>
    </w:p>
    <w:p w14:paraId="575A22FB">
      <w:pPr>
        <w:widowControl/>
        <w:jc w:val="left"/>
        <w:rPr>
          <w:rFonts w:ascii="宋体" w:hAnsi="宋体"/>
        </w:rPr>
      </w:pPr>
    </w:p>
    <w:p w14:paraId="5CB7D27D">
      <w:pPr>
        <w:spacing w:line="440" w:lineRule="exact"/>
        <w:jc w:val="left"/>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（三）近年完成的类似项目情况表</w:t>
      </w:r>
      <w:bookmarkEnd w:id="549"/>
      <w:bookmarkEnd w:id="550"/>
      <w:bookmarkEnd w:id="551"/>
      <w:bookmarkEnd w:id="552"/>
      <w:bookmarkEnd w:id="553"/>
      <w:bookmarkEnd w:id="554"/>
      <w:bookmarkEnd w:id="555"/>
    </w:p>
    <w:p w14:paraId="48A7D3B8">
      <w:pPr>
        <w:spacing w:line="440" w:lineRule="exact"/>
        <w:jc w:val="center"/>
        <w:rPr>
          <w:rFonts w:ascii="宋体" w:hAnsi="宋体" w:cs="宋体"/>
          <w:sz w:val="23"/>
          <w:szCs w:val="23"/>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0C236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11" w:type="dxa"/>
            <w:noWrap/>
            <w:vAlign w:val="center"/>
          </w:tcPr>
          <w:p w14:paraId="16F43ADF">
            <w:pPr>
              <w:topLinePunct/>
              <w:spacing w:line="440" w:lineRule="exact"/>
              <w:jc w:val="center"/>
              <w:rPr>
                <w:rFonts w:ascii="宋体" w:hAnsi="宋体" w:cs="宋体"/>
                <w:sz w:val="24"/>
                <w:szCs w:val="21"/>
              </w:rPr>
            </w:pPr>
            <w:r>
              <w:rPr>
                <w:rFonts w:hint="eastAsia" w:ascii="宋体" w:hAnsi="宋体" w:cs="宋体"/>
                <w:sz w:val="24"/>
                <w:szCs w:val="21"/>
              </w:rPr>
              <w:t>项目名称</w:t>
            </w:r>
          </w:p>
        </w:tc>
        <w:tc>
          <w:tcPr>
            <w:tcW w:w="6211" w:type="dxa"/>
            <w:noWrap/>
          </w:tcPr>
          <w:p w14:paraId="215EECC1">
            <w:pPr>
              <w:topLinePunct/>
              <w:spacing w:line="440" w:lineRule="exact"/>
              <w:rPr>
                <w:rFonts w:ascii="宋体" w:hAnsi="宋体" w:cs="宋体"/>
                <w:sz w:val="24"/>
                <w:szCs w:val="21"/>
              </w:rPr>
            </w:pPr>
          </w:p>
        </w:tc>
      </w:tr>
      <w:tr w14:paraId="74BB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311" w:type="dxa"/>
            <w:noWrap/>
            <w:vAlign w:val="center"/>
          </w:tcPr>
          <w:p w14:paraId="5509F966">
            <w:pPr>
              <w:topLinePunct/>
              <w:spacing w:line="440" w:lineRule="exact"/>
              <w:jc w:val="center"/>
              <w:rPr>
                <w:rFonts w:ascii="宋体" w:hAnsi="宋体" w:cs="宋体"/>
                <w:sz w:val="24"/>
                <w:szCs w:val="21"/>
              </w:rPr>
            </w:pPr>
            <w:r>
              <w:rPr>
                <w:rFonts w:hint="eastAsia" w:ascii="宋体" w:hAnsi="宋体" w:cs="宋体"/>
                <w:sz w:val="24"/>
                <w:szCs w:val="21"/>
              </w:rPr>
              <w:t>项目所在地</w:t>
            </w:r>
          </w:p>
        </w:tc>
        <w:tc>
          <w:tcPr>
            <w:tcW w:w="6211" w:type="dxa"/>
            <w:noWrap/>
          </w:tcPr>
          <w:p w14:paraId="2729ED52">
            <w:pPr>
              <w:topLinePunct/>
              <w:spacing w:line="440" w:lineRule="exact"/>
              <w:rPr>
                <w:rFonts w:ascii="宋体" w:hAnsi="宋体" w:cs="宋体"/>
                <w:sz w:val="24"/>
                <w:szCs w:val="21"/>
              </w:rPr>
            </w:pPr>
          </w:p>
        </w:tc>
      </w:tr>
      <w:tr w14:paraId="3920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11" w:type="dxa"/>
            <w:noWrap/>
            <w:vAlign w:val="center"/>
          </w:tcPr>
          <w:p w14:paraId="6363EA3C">
            <w:pPr>
              <w:topLinePunct/>
              <w:spacing w:line="440" w:lineRule="exact"/>
              <w:jc w:val="center"/>
              <w:rPr>
                <w:rFonts w:ascii="宋体" w:hAnsi="宋体" w:cs="宋体"/>
                <w:sz w:val="24"/>
                <w:szCs w:val="21"/>
              </w:rPr>
            </w:pPr>
            <w:r>
              <w:rPr>
                <w:rFonts w:hint="eastAsia" w:ascii="宋体" w:hAnsi="宋体" w:cs="宋体"/>
                <w:sz w:val="24"/>
                <w:szCs w:val="21"/>
              </w:rPr>
              <w:t>发包人名称</w:t>
            </w:r>
          </w:p>
        </w:tc>
        <w:tc>
          <w:tcPr>
            <w:tcW w:w="6211" w:type="dxa"/>
            <w:noWrap/>
          </w:tcPr>
          <w:p w14:paraId="59E73B28">
            <w:pPr>
              <w:topLinePunct/>
              <w:spacing w:line="440" w:lineRule="exact"/>
              <w:rPr>
                <w:rFonts w:ascii="宋体" w:hAnsi="宋体" w:cs="宋体"/>
                <w:sz w:val="24"/>
                <w:szCs w:val="21"/>
              </w:rPr>
            </w:pPr>
          </w:p>
        </w:tc>
      </w:tr>
      <w:tr w14:paraId="7256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11" w:type="dxa"/>
            <w:noWrap/>
            <w:vAlign w:val="center"/>
          </w:tcPr>
          <w:p w14:paraId="0AB3A132">
            <w:pPr>
              <w:topLinePunct/>
              <w:spacing w:line="440" w:lineRule="exact"/>
              <w:jc w:val="center"/>
              <w:rPr>
                <w:rFonts w:ascii="宋体" w:hAnsi="宋体" w:cs="宋体"/>
                <w:sz w:val="24"/>
                <w:szCs w:val="21"/>
              </w:rPr>
            </w:pPr>
            <w:r>
              <w:rPr>
                <w:rFonts w:hint="eastAsia" w:ascii="宋体" w:hAnsi="宋体" w:cs="宋体"/>
                <w:sz w:val="24"/>
                <w:szCs w:val="21"/>
              </w:rPr>
              <w:t>发包人地址</w:t>
            </w:r>
          </w:p>
        </w:tc>
        <w:tc>
          <w:tcPr>
            <w:tcW w:w="6211" w:type="dxa"/>
            <w:noWrap/>
          </w:tcPr>
          <w:p w14:paraId="31B3A8B5">
            <w:pPr>
              <w:topLinePunct/>
              <w:spacing w:line="440" w:lineRule="exact"/>
              <w:rPr>
                <w:rFonts w:ascii="宋体" w:hAnsi="宋体" w:cs="宋体"/>
                <w:sz w:val="24"/>
                <w:szCs w:val="21"/>
              </w:rPr>
            </w:pPr>
          </w:p>
        </w:tc>
      </w:tr>
      <w:tr w14:paraId="52BA3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311" w:type="dxa"/>
            <w:noWrap/>
            <w:vAlign w:val="center"/>
          </w:tcPr>
          <w:p w14:paraId="57C294A6">
            <w:pPr>
              <w:topLinePunct/>
              <w:spacing w:line="440" w:lineRule="exact"/>
              <w:jc w:val="center"/>
              <w:rPr>
                <w:rFonts w:ascii="宋体" w:hAnsi="宋体" w:cs="宋体"/>
                <w:sz w:val="24"/>
                <w:szCs w:val="21"/>
              </w:rPr>
            </w:pPr>
            <w:r>
              <w:rPr>
                <w:rFonts w:hint="eastAsia" w:ascii="宋体" w:hAnsi="宋体" w:cs="宋体"/>
                <w:sz w:val="24"/>
                <w:szCs w:val="21"/>
              </w:rPr>
              <w:t>发包人电话</w:t>
            </w:r>
          </w:p>
        </w:tc>
        <w:tc>
          <w:tcPr>
            <w:tcW w:w="6211" w:type="dxa"/>
            <w:noWrap/>
          </w:tcPr>
          <w:p w14:paraId="27EF8537">
            <w:pPr>
              <w:topLinePunct/>
              <w:spacing w:line="440" w:lineRule="exact"/>
              <w:rPr>
                <w:rFonts w:ascii="宋体" w:hAnsi="宋体" w:cs="宋体"/>
                <w:sz w:val="24"/>
                <w:szCs w:val="21"/>
              </w:rPr>
            </w:pPr>
          </w:p>
        </w:tc>
      </w:tr>
      <w:tr w14:paraId="56AF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311" w:type="dxa"/>
            <w:noWrap/>
            <w:vAlign w:val="center"/>
          </w:tcPr>
          <w:p w14:paraId="516D1CD3">
            <w:pPr>
              <w:topLinePunct/>
              <w:spacing w:line="440" w:lineRule="exact"/>
              <w:jc w:val="center"/>
              <w:rPr>
                <w:rFonts w:ascii="宋体" w:hAnsi="宋体" w:cs="宋体"/>
                <w:sz w:val="24"/>
                <w:szCs w:val="21"/>
              </w:rPr>
            </w:pPr>
            <w:r>
              <w:rPr>
                <w:rFonts w:hint="eastAsia" w:ascii="宋体" w:hAnsi="宋体" w:cs="宋体"/>
                <w:sz w:val="24"/>
                <w:szCs w:val="21"/>
              </w:rPr>
              <w:t>合同价格</w:t>
            </w:r>
          </w:p>
        </w:tc>
        <w:tc>
          <w:tcPr>
            <w:tcW w:w="6211" w:type="dxa"/>
            <w:noWrap/>
          </w:tcPr>
          <w:p w14:paraId="254B24B9">
            <w:pPr>
              <w:topLinePunct/>
              <w:spacing w:line="440" w:lineRule="exact"/>
              <w:rPr>
                <w:rFonts w:ascii="宋体" w:hAnsi="宋体" w:cs="宋体"/>
                <w:sz w:val="24"/>
                <w:szCs w:val="21"/>
              </w:rPr>
            </w:pPr>
          </w:p>
        </w:tc>
      </w:tr>
      <w:tr w14:paraId="6F6A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311" w:type="dxa"/>
            <w:noWrap/>
            <w:vAlign w:val="center"/>
          </w:tcPr>
          <w:p w14:paraId="0B493D4F">
            <w:pPr>
              <w:topLinePunct/>
              <w:spacing w:line="440" w:lineRule="exact"/>
              <w:jc w:val="center"/>
              <w:rPr>
                <w:rFonts w:ascii="宋体" w:hAnsi="宋体" w:cs="宋体"/>
                <w:sz w:val="24"/>
                <w:szCs w:val="21"/>
              </w:rPr>
            </w:pPr>
            <w:r>
              <w:rPr>
                <w:rFonts w:hint="eastAsia" w:ascii="宋体" w:hAnsi="宋体" w:cs="宋体"/>
                <w:sz w:val="24"/>
                <w:szCs w:val="21"/>
              </w:rPr>
              <w:t>开工日期</w:t>
            </w:r>
          </w:p>
        </w:tc>
        <w:tc>
          <w:tcPr>
            <w:tcW w:w="6211" w:type="dxa"/>
            <w:noWrap/>
          </w:tcPr>
          <w:p w14:paraId="55013ED0">
            <w:pPr>
              <w:topLinePunct/>
              <w:spacing w:line="440" w:lineRule="exact"/>
              <w:rPr>
                <w:rFonts w:ascii="宋体" w:hAnsi="宋体" w:cs="宋体"/>
                <w:sz w:val="24"/>
                <w:szCs w:val="21"/>
              </w:rPr>
            </w:pPr>
          </w:p>
        </w:tc>
      </w:tr>
      <w:tr w14:paraId="1A88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11" w:type="dxa"/>
            <w:noWrap/>
            <w:vAlign w:val="center"/>
          </w:tcPr>
          <w:p w14:paraId="24D1ABA5">
            <w:pPr>
              <w:topLinePunct/>
              <w:spacing w:line="440" w:lineRule="exact"/>
              <w:jc w:val="center"/>
              <w:rPr>
                <w:rFonts w:ascii="宋体" w:hAnsi="宋体" w:cs="宋体"/>
                <w:sz w:val="24"/>
                <w:szCs w:val="21"/>
              </w:rPr>
            </w:pPr>
            <w:r>
              <w:rPr>
                <w:rFonts w:hint="eastAsia" w:ascii="宋体" w:hAnsi="宋体" w:cs="宋体"/>
                <w:sz w:val="24"/>
                <w:szCs w:val="21"/>
              </w:rPr>
              <w:t>竣工日期</w:t>
            </w:r>
          </w:p>
        </w:tc>
        <w:tc>
          <w:tcPr>
            <w:tcW w:w="6211" w:type="dxa"/>
            <w:noWrap/>
          </w:tcPr>
          <w:p w14:paraId="5C890F77">
            <w:pPr>
              <w:topLinePunct/>
              <w:spacing w:line="440" w:lineRule="exact"/>
              <w:rPr>
                <w:rFonts w:ascii="宋体" w:hAnsi="宋体" w:cs="宋体"/>
                <w:sz w:val="24"/>
                <w:szCs w:val="21"/>
              </w:rPr>
            </w:pPr>
          </w:p>
        </w:tc>
      </w:tr>
      <w:tr w14:paraId="3A89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311" w:type="dxa"/>
            <w:noWrap/>
            <w:vAlign w:val="center"/>
          </w:tcPr>
          <w:p w14:paraId="37344B6B">
            <w:pPr>
              <w:topLinePunct/>
              <w:spacing w:line="440" w:lineRule="exact"/>
              <w:jc w:val="center"/>
              <w:rPr>
                <w:rFonts w:ascii="宋体" w:hAnsi="宋体" w:cs="宋体"/>
                <w:sz w:val="24"/>
                <w:szCs w:val="21"/>
              </w:rPr>
            </w:pPr>
            <w:r>
              <w:rPr>
                <w:rFonts w:hint="eastAsia" w:ascii="宋体" w:hAnsi="宋体" w:cs="宋体"/>
                <w:sz w:val="24"/>
                <w:szCs w:val="21"/>
              </w:rPr>
              <w:t>承担的工作</w:t>
            </w:r>
          </w:p>
        </w:tc>
        <w:tc>
          <w:tcPr>
            <w:tcW w:w="6211" w:type="dxa"/>
            <w:noWrap/>
          </w:tcPr>
          <w:p w14:paraId="40A45D6E">
            <w:pPr>
              <w:topLinePunct/>
              <w:spacing w:line="440" w:lineRule="exact"/>
              <w:rPr>
                <w:rFonts w:ascii="宋体" w:hAnsi="宋体" w:cs="宋体"/>
                <w:sz w:val="24"/>
                <w:szCs w:val="21"/>
              </w:rPr>
            </w:pPr>
          </w:p>
        </w:tc>
      </w:tr>
      <w:tr w14:paraId="32BE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311" w:type="dxa"/>
            <w:noWrap/>
            <w:vAlign w:val="center"/>
          </w:tcPr>
          <w:p w14:paraId="00EA3B45">
            <w:pPr>
              <w:topLinePunct/>
              <w:spacing w:line="440" w:lineRule="exact"/>
              <w:jc w:val="center"/>
              <w:rPr>
                <w:rFonts w:ascii="宋体" w:hAnsi="宋体" w:cs="宋体"/>
                <w:sz w:val="24"/>
                <w:szCs w:val="21"/>
              </w:rPr>
            </w:pPr>
            <w:r>
              <w:rPr>
                <w:rFonts w:hint="eastAsia" w:ascii="宋体" w:hAnsi="宋体" w:cs="宋体"/>
                <w:sz w:val="24"/>
                <w:szCs w:val="21"/>
              </w:rPr>
              <w:t>工程质量</w:t>
            </w:r>
          </w:p>
        </w:tc>
        <w:tc>
          <w:tcPr>
            <w:tcW w:w="6211" w:type="dxa"/>
            <w:noWrap/>
          </w:tcPr>
          <w:p w14:paraId="5F048DDA">
            <w:pPr>
              <w:topLinePunct/>
              <w:spacing w:line="440" w:lineRule="exact"/>
              <w:rPr>
                <w:rFonts w:ascii="宋体" w:hAnsi="宋体" w:cs="宋体"/>
                <w:sz w:val="24"/>
                <w:szCs w:val="21"/>
              </w:rPr>
            </w:pPr>
          </w:p>
        </w:tc>
      </w:tr>
      <w:tr w14:paraId="4960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311" w:type="dxa"/>
            <w:noWrap/>
            <w:vAlign w:val="center"/>
          </w:tcPr>
          <w:p w14:paraId="65ADE664">
            <w:pPr>
              <w:topLinePunct/>
              <w:spacing w:line="440" w:lineRule="exact"/>
              <w:jc w:val="center"/>
              <w:rPr>
                <w:rFonts w:ascii="宋体" w:hAnsi="宋体" w:cs="宋体"/>
                <w:sz w:val="24"/>
                <w:szCs w:val="21"/>
              </w:rPr>
            </w:pPr>
            <w:r>
              <w:rPr>
                <w:rFonts w:hint="eastAsia" w:ascii="宋体" w:hAnsi="宋体" w:cs="宋体"/>
                <w:sz w:val="24"/>
                <w:szCs w:val="21"/>
              </w:rPr>
              <w:t>项目经理</w:t>
            </w:r>
          </w:p>
        </w:tc>
        <w:tc>
          <w:tcPr>
            <w:tcW w:w="6211" w:type="dxa"/>
            <w:noWrap/>
          </w:tcPr>
          <w:p w14:paraId="3E4F21E0">
            <w:pPr>
              <w:topLinePunct/>
              <w:spacing w:line="440" w:lineRule="exact"/>
              <w:rPr>
                <w:rFonts w:ascii="宋体" w:hAnsi="宋体" w:cs="宋体"/>
                <w:sz w:val="24"/>
                <w:szCs w:val="21"/>
              </w:rPr>
            </w:pPr>
          </w:p>
        </w:tc>
      </w:tr>
      <w:tr w14:paraId="2CEF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311" w:type="dxa"/>
            <w:noWrap/>
            <w:vAlign w:val="center"/>
          </w:tcPr>
          <w:p w14:paraId="562E5EBC">
            <w:pPr>
              <w:topLinePunct/>
              <w:spacing w:line="440" w:lineRule="exact"/>
              <w:jc w:val="center"/>
              <w:rPr>
                <w:rFonts w:ascii="宋体" w:hAnsi="宋体" w:cs="宋体"/>
                <w:sz w:val="24"/>
                <w:szCs w:val="21"/>
              </w:rPr>
            </w:pPr>
            <w:r>
              <w:rPr>
                <w:rFonts w:hint="eastAsia" w:ascii="宋体" w:hAnsi="宋体" w:cs="宋体"/>
                <w:sz w:val="24"/>
                <w:szCs w:val="21"/>
              </w:rPr>
              <w:t>技术负责人</w:t>
            </w:r>
          </w:p>
        </w:tc>
        <w:tc>
          <w:tcPr>
            <w:tcW w:w="6211" w:type="dxa"/>
            <w:noWrap/>
          </w:tcPr>
          <w:p w14:paraId="5EBF3952">
            <w:pPr>
              <w:topLinePunct/>
              <w:spacing w:line="440" w:lineRule="exact"/>
              <w:rPr>
                <w:rFonts w:ascii="宋体" w:hAnsi="宋体" w:cs="宋体"/>
                <w:sz w:val="24"/>
                <w:szCs w:val="21"/>
              </w:rPr>
            </w:pPr>
          </w:p>
        </w:tc>
      </w:tr>
      <w:tr w14:paraId="484E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jc w:val="center"/>
        </w:trPr>
        <w:tc>
          <w:tcPr>
            <w:tcW w:w="2311" w:type="dxa"/>
            <w:noWrap/>
            <w:vAlign w:val="center"/>
          </w:tcPr>
          <w:p w14:paraId="392F83A5">
            <w:pPr>
              <w:topLinePunct/>
              <w:spacing w:line="440" w:lineRule="exact"/>
              <w:jc w:val="center"/>
              <w:rPr>
                <w:rFonts w:ascii="宋体" w:hAnsi="宋体" w:cs="宋体"/>
                <w:sz w:val="24"/>
                <w:szCs w:val="21"/>
              </w:rPr>
            </w:pPr>
            <w:r>
              <w:rPr>
                <w:rFonts w:hint="eastAsia" w:ascii="宋体" w:hAnsi="宋体" w:cs="宋体"/>
                <w:sz w:val="24"/>
                <w:szCs w:val="21"/>
              </w:rPr>
              <w:t>项目描述</w:t>
            </w:r>
          </w:p>
        </w:tc>
        <w:tc>
          <w:tcPr>
            <w:tcW w:w="6211" w:type="dxa"/>
            <w:noWrap/>
          </w:tcPr>
          <w:p w14:paraId="295A5BE3">
            <w:pPr>
              <w:topLinePunct/>
              <w:spacing w:line="440" w:lineRule="exact"/>
              <w:rPr>
                <w:rFonts w:ascii="宋体" w:hAnsi="宋体" w:cs="宋体"/>
                <w:sz w:val="24"/>
                <w:szCs w:val="21"/>
              </w:rPr>
            </w:pPr>
          </w:p>
          <w:p w14:paraId="64840539">
            <w:pPr>
              <w:topLinePunct/>
              <w:spacing w:line="440" w:lineRule="exact"/>
              <w:rPr>
                <w:rFonts w:ascii="宋体" w:hAnsi="宋体" w:cs="宋体"/>
                <w:sz w:val="24"/>
                <w:szCs w:val="21"/>
              </w:rPr>
            </w:pPr>
          </w:p>
          <w:p w14:paraId="4B362563">
            <w:pPr>
              <w:topLinePunct/>
              <w:spacing w:line="440" w:lineRule="exact"/>
              <w:rPr>
                <w:rFonts w:ascii="宋体" w:hAnsi="宋体" w:cs="宋体"/>
                <w:sz w:val="24"/>
                <w:szCs w:val="21"/>
              </w:rPr>
            </w:pPr>
          </w:p>
          <w:p w14:paraId="032C2F7F">
            <w:pPr>
              <w:topLinePunct/>
              <w:spacing w:line="440" w:lineRule="exact"/>
              <w:rPr>
                <w:rFonts w:ascii="宋体" w:hAnsi="宋体" w:cs="宋体"/>
                <w:sz w:val="24"/>
                <w:szCs w:val="21"/>
              </w:rPr>
            </w:pPr>
          </w:p>
        </w:tc>
      </w:tr>
      <w:tr w14:paraId="62C59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311" w:type="dxa"/>
            <w:noWrap/>
            <w:vAlign w:val="center"/>
          </w:tcPr>
          <w:p w14:paraId="0FFE5D82">
            <w:pPr>
              <w:topLinePunct/>
              <w:spacing w:line="440" w:lineRule="exact"/>
              <w:jc w:val="center"/>
              <w:rPr>
                <w:rFonts w:ascii="宋体" w:hAnsi="宋体" w:cs="宋体"/>
                <w:sz w:val="24"/>
                <w:szCs w:val="21"/>
              </w:rPr>
            </w:pPr>
            <w:r>
              <w:rPr>
                <w:rFonts w:hint="eastAsia" w:ascii="宋体" w:hAnsi="宋体" w:cs="宋体"/>
                <w:sz w:val="24"/>
                <w:szCs w:val="21"/>
              </w:rPr>
              <w:t>备注</w:t>
            </w:r>
          </w:p>
        </w:tc>
        <w:tc>
          <w:tcPr>
            <w:tcW w:w="6211" w:type="dxa"/>
            <w:noWrap/>
          </w:tcPr>
          <w:p w14:paraId="2091CF97">
            <w:pPr>
              <w:topLinePunct/>
              <w:spacing w:line="440" w:lineRule="exact"/>
              <w:rPr>
                <w:rFonts w:ascii="宋体" w:hAnsi="宋体" w:cs="宋体"/>
                <w:sz w:val="24"/>
                <w:szCs w:val="21"/>
              </w:rPr>
            </w:pPr>
          </w:p>
        </w:tc>
      </w:tr>
    </w:tbl>
    <w:p w14:paraId="6E53C127">
      <w:pPr>
        <w:keepNext/>
        <w:keepLines/>
        <w:spacing w:before="260" w:after="260" w:line="408" w:lineRule="auto"/>
        <w:ind w:firstLine="321" w:firstLineChars="100"/>
        <w:outlineLvl w:val="2"/>
        <w:rPr>
          <w:rFonts w:ascii="宋体" w:hAnsi="宋体" w:cs="宋体"/>
          <w:b/>
          <w:bCs/>
          <w:kern w:val="0"/>
          <w:sz w:val="20"/>
          <w:szCs w:val="20"/>
        </w:rPr>
      </w:pPr>
      <w:bookmarkStart w:id="556" w:name="_Toc152042600"/>
      <w:bookmarkStart w:id="557" w:name="_Toc247527851"/>
      <w:bookmarkStart w:id="558" w:name="_Toc247514303"/>
      <w:bookmarkStart w:id="559" w:name="_Toc144974879"/>
      <w:bookmarkStart w:id="560" w:name="_Toc296602621"/>
      <w:bookmarkStart w:id="561" w:name="_Toc152045811"/>
      <w:bookmarkStart w:id="562" w:name="_Toc77586979"/>
      <w:bookmarkStart w:id="563" w:name="_Toc77586881"/>
      <w:bookmarkStart w:id="564" w:name="_Toc265953297"/>
      <w:r>
        <w:rPr>
          <w:rFonts w:hint="eastAsia" w:ascii="宋体" w:hAnsi="宋体" w:cs="宋体"/>
          <w:b/>
          <w:bCs/>
          <w:kern w:val="0"/>
          <w:sz w:val="32"/>
          <w:szCs w:val="32"/>
        </w:rPr>
        <w:br w:type="page"/>
      </w:r>
      <w:bookmarkStart w:id="565" w:name="_Toc171014053"/>
      <w:bookmarkStart w:id="566" w:name="_Toc26073"/>
      <w:r>
        <w:rPr>
          <w:rFonts w:hint="eastAsia" w:ascii="宋体" w:hAnsi="宋体" w:cs="宋体"/>
          <w:b/>
          <w:bCs/>
          <w:kern w:val="0"/>
          <w:sz w:val="32"/>
          <w:szCs w:val="32"/>
        </w:rPr>
        <w:t>（四）正在实施的和新承接的项目情况表</w:t>
      </w:r>
      <w:bookmarkEnd w:id="556"/>
      <w:bookmarkEnd w:id="557"/>
      <w:bookmarkEnd w:id="558"/>
      <w:bookmarkEnd w:id="559"/>
      <w:bookmarkEnd w:id="560"/>
      <w:bookmarkEnd w:id="561"/>
      <w:bookmarkEnd w:id="562"/>
      <w:bookmarkEnd w:id="563"/>
      <w:bookmarkEnd w:id="564"/>
      <w:bookmarkEnd w:id="565"/>
      <w:bookmarkEnd w:id="566"/>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211"/>
      </w:tblGrid>
      <w:tr w14:paraId="69151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311" w:type="dxa"/>
            <w:noWrap/>
            <w:vAlign w:val="center"/>
          </w:tcPr>
          <w:p w14:paraId="761E57BE">
            <w:pPr>
              <w:topLinePunct/>
              <w:spacing w:line="440" w:lineRule="exact"/>
              <w:jc w:val="center"/>
              <w:rPr>
                <w:rFonts w:ascii="宋体" w:hAnsi="宋体" w:cs="宋体"/>
                <w:sz w:val="24"/>
                <w:szCs w:val="21"/>
              </w:rPr>
            </w:pPr>
            <w:r>
              <w:rPr>
                <w:rFonts w:hint="eastAsia" w:ascii="宋体" w:hAnsi="宋体" w:cs="宋体"/>
                <w:sz w:val="24"/>
                <w:szCs w:val="21"/>
              </w:rPr>
              <w:t>项目名称</w:t>
            </w:r>
          </w:p>
        </w:tc>
        <w:tc>
          <w:tcPr>
            <w:tcW w:w="6211" w:type="dxa"/>
            <w:noWrap/>
          </w:tcPr>
          <w:p w14:paraId="1B8077F7">
            <w:pPr>
              <w:topLinePunct/>
              <w:spacing w:line="440" w:lineRule="exact"/>
              <w:rPr>
                <w:rFonts w:ascii="宋体" w:hAnsi="宋体" w:cs="宋体"/>
                <w:sz w:val="24"/>
                <w:szCs w:val="21"/>
              </w:rPr>
            </w:pPr>
          </w:p>
        </w:tc>
      </w:tr>
      <w:tr w14:paraId="49AD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311" w:type="dxa"/>
            <w:noWrap/>
            <w:vAlign w:val="center"/>
          </w:tcPr>
          <w:p w14:paraId="3A57769C">
            <w:pPr>
              <w:topLinePunct/>
              <w:spacing w:line="440" w:lineRule="exact"/>
              <w:jc w:val="center"/>
              <w:rPr>
                <w:rFonts w:ascii="宋体" w:hAnsi="宋体" w:cs="宋体"/>
                <w:sz w:val="24"/>
                <w:szCs w:val="21"/>
              </w:rPr>
            </w:pPr>
            <w:r>
              <w:rPr>
                <w:rFonts w:hint="eastAsia" w:ascii="宋体" w:hAnsi="宋体" w:cs="宋体"/>
                <w:sz w:val="24"/>
                <w:szCs w:val="21"/>
              </w:rPr>
              <w:t>项目所在地</w:t>
            </w:r>
          </w:p>
        </w:tc>
        <w:tc>
          <w:tcPr>
            <w:tcW w:w="6211" w:type="dxa"/>
            <w:noWrap/>
          </w:tcPr>
          <w:p w14:paraId="64152359">
            <w:pPr>
              <w:topLinePunct/>
              <w:spacing w:line="440" w:lineRule="exact"/>
              <w:rPr>
                <w:rFonts w:ascii="宋体" w:hAnsi="宋体" w:cs="宋体"/>
                <w:sz w:val="24"/>
                <w:szCs w:val="21"/>
              </w:rPr>
            </w:pPr>
          </w:p>
        </w:tc>
      </w:tr>
      <w:tr w14:paraId="145CC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311" w:type="dxa"/>
            <w:noWrap/>
            <w:vAlign w:val="center"/>
          </w:tcPr>
          <w:p w14:paraId="5D49AFB8">
            <w:pPr>
              <w:topLinePunct/>
              <w:spacing w:line="440" w:lineRule="exact"/>
              <w:jc w:val="center"/>
              <w:rPr>
                <w:rFonts w:ascii="宋体" w:hAnsi="宋体" w:cs="宋体"/>
                <w:sz w:val="24"/>
                <w:szCs w:val="21"/>
              </w:rPr>
            </w:pPr>
            <w:r>
              <w:rPr>
                <w:rFonts w:hint="eastAsia" w:ascii="宋体" w:hAnsi="宋体" w:cs="宋体"/>
                <w:sz w:val="24"/>
                <w:szCs w:val="21"/>
              </w:rPr>
              <w:t>发包人名称</w:t>
            </w:r>
          </w:p>
        </w:tc>
        <w:tc>
          <w:tcPr>
            <w:tcW w:w="6211" w:type="dxa"/>
            <w:noWrap/>
          </w:tcPr>
          <w:p w14:paraId="288A19DD">
            <w:pPr>
              <w:topLinePunct/>
              <w:spacing w:line="440" w:lineRule="exact"/>
              <w:rPr>
                <w:rFonts w:ascii="宋体" w:hAnsi="宋体" w:cs="宋体"/>
                <w:sz w:val="24"/>
                <w:szCs w:val="21"/>
              </w:rPr>
            </w:pPr>
          </w:p>
        </w:tc>
      </w:tr>
      <w:tr w14:paraId="771E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11" w:type="dxa"/>
            <w:noWrap/>
            <w:vAlign w:val="center"/>
          </w:tcPr>
          <w:p w14:paraId="647636E6">
            <w:pPr>
              <w:topLinePunct/>
              <w:spacing w:line="440" w:lineRule="exact"/>
              <w:jc w:val="center"/>
              <w:rPr>
                <w:rFonts w:ascii="宋体" w:hAnsi="宋体" w:cs="宋体"/>
                <w:sz w:val="24"/>
                <w:szCs w:val="21"/>
              </w:rPr>
            </w:pPr>
            <w:r>
              <w:rPr>
                <w:rFonts w:hint="eastAsia" w:ascii="宋体" w:hAnsi="宋体" w:cs="宋体"/>
                <w:sz w:val="24"/>
                <w:szCs w:val="21"/>
              </w:rPr>
              <w:t>发包人地址</w:t>
            </w:r>
          </w:p>
        </w:tc>
        <w:tc>
          <w:tcPr>
            <w:tcW w:w="6211" w:type="dxa"/>
            <w:noWrap/>
          </w:tcPr>
          <w:p w14:paraId="198199B0">
            <w:pPr>
              <w:topLinePunct/>
              <w:spacing w:line="440" w:lineRule="exact"/>
              <w:rPr>
                <w:rFonts w:ascii="宋体" w:hAnsi="宋体" w:cs="宋体"/>
                <w:sz w:val="24"/>
                <w:szCs w:val="21"/>
              </w:rPr>
            </w:pPr>
          </w:p>
        </w:tc>
      </w:tr>
      <w:tr w14:paraId="3560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311" w:type="dxa"/>
            <w:noWrap/>
            <w:vAlign w:val="center"/>
          </w:tcPr>
          <w:p w14:paraId="25498AA3">
            <w:pPr>
              <w:topLinePunct/>
              <w:spacing w:line="440" w:lineRule="exact"/>
              <w:jc w:val="center"/>
              <w:rPr>
                <w:rFonts w:ascii="宋体" w:hAnsi="宋体" w:cs="宋体"/>
                <w:sz w:val="24"/>
                <w:szCs w:val="21"/>
              </w:rPr>
            </w:pPr>
            <w:r>
              <w:rPr>
                <w:rFonts w:hint="eastAsia" w:ascii="宋体" w:hAnsi="宋体" w:cs="宋体"/>
                <w:sz w:val="24"/>
                <w:szCs w:val="21"/>
              </w:rPr>
              <w:t>发包人电话</w:t>
            </w:r>
          </w:p>
        </w:tc>
        <w:tc>
          <w:tcPr>
            <w:tcW w:w="6211" w:type="dxa"/>
            <w:noWrap/>
          </w:tcPr>
          <w:p w14:paraId="18CFC75E">
            <w:pPr>
              <w:topLinePunct/>
              <w:spacing w:line="440" w:lineRule="exact"/>
              <w:rPr>
                <w:rFonts w:ascii="宋体" w:hAnsi="宋体" w:cs="宋体"/>
                <w:sz w:val="24"/>
                <w:szCs w:val="21"/>
              </w:rPr>
            </w:pPr>
          </w:p>
        </w:tc>
      </w:tr>
      <w:tr w14:paraId="4561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311" w:type="dxa"/>
            <w:noWrap/>
            <w:vAlign w:val="center"/>
          </w:tcPr>
          <w:p w14:paraId="122EF670">
            <w:pPr>
              <w:topLinePunct/>
              <w:spacing w:line="440" w:lineRule="exact"/>
              <w:jc w:val="center"/>
              <w:rPr>
                <w:rFonts w:ascii="宋体" w:hAnsi="宋体" w:cs="宋体"/>
                <w:sz w:val="24"/>
                <w:szCs w:val="21"/>
              </w:rPr>
            </w:pPr>
            <w:r>
              <w:rPr>
                <w:rFonts w:hint="eastAsia" w:ascii="宋体" w:hAnsi="宋体" w:cs="宋体"/>
                <w:sz w:val="24"/>
                <w:szCs w:val="21"/>
              </w:rPr>
              <w:t>签约合同价</w:t>
            </w:r>
          </w:p>
        </w:tc>
        <w:tc>
          <w:tcPr>
            <w:tcW w:w="6211" w:type="dxa"/>
            <w:noWrap/>
          </w:tcPr>
          <w:p w14:paraId="4D17736B">
            <w:pPr>
              <w:topLinePunct/>
              <w:spacing w:line="440" w:lineRule="exact"/>
              <w:rPr>
                <w:rFonts w:ascii="宋体" w:hAnsi="宋体" w:cs="宋体"/>
                <w:sz w:val="24"/>
                <w:szCs w:val="21"/>
              </w:rPr>
            </w:pPr>
          </w:p>
        </w:tc>
      </w:tr>
      <w:tr w14:paraId="3AE7C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4" w:hRule="atLeast"/>
          <w:jc w:val="center"/>
        </w:trPr>
        <w:tc>
          <w:tcPr>
            <w:tcW w:w="2311" w:type="dxa"/>
            <w:noWrap/>
            <w:vAlign w:val="center"/>
          </w:tcPr>
          <w:p w14:paraId="20C040AE">
            <w:pPr>
              <w:topLinePunct/>
              <w:spacing w:line="440" w:lineRule="exact"/>
              <w:jc w:val="center"/>
              <w:rPr>
                <w:rFonts w:ascii="宋体" w:hAnsi="宋体" w:cs="宋体"/>
                <w:sz w:val="24"/>
                <w:szCs w:val="21"/>
              </w:rPr>
            </w:pPr>
            <w:r>
              <w:rPr>
                <w:rFonts w:hint="eastAsia" w:ascii="宋体" w:hAnsi="宋体" w:cs="宋体"/>
                <w:sz w:val="24"/>
                <w:szCs w:val="21"/>
              </w:rPr>
              <w:t>开工日期</w:t>
            </w:r>
          </w:p>
        </w:tc>
        <w:tc>
          <w:tcPr>
            <w:tcW w:w="6211" w:type="dxa"/>
            <w:noWrap/>
          </w:tcPr>
          <w:p w14:paraId="31846DFA">
            <w:pPr>
              <w:topLinePunct/>
              <w:spacing w:line="440" w:lineRule="exact"/>
              <w:rPr>
                <w:rFonts w:ascii="宋体" w:hAnsi="宋体" w:cs="宋体"/>
                <w:sz w:val="24"/>
                <w:szCs w:val="21"/>
              </w:rPr>
            </w:pPr>
          </w:p>
        </w:tc>
      </w:tr>
      <w:tr w14:paraId="5C69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11" w:type="dxa"/>
            <w:noWrap/>
            <w:vAlign w:val="center"/>
          </w:tcPr>
          <w:p w14:paraId="31736D64">
            <w:pPr>
              <w:topLinePunct/>
              <w:spacing w:line="440" w:lineRule="exact"/>
              <w:jc w:val="center"/>
              <w:rPr>
                <w:rFonts w:ascii="宋体" w:hAnsi="宋体" w:cs="宋体"/>
                <w:sz w:val="24"/>
                <w:szCs w:val="21"/>
              </w:rPr>
            </w:pPr>
            <w:r>
              <w:rPr>
                <w:rFonts w:hint="eastAsia" w:ascii="宋体" w:hAnsi="宋体" w:cs="宋体"/>
                <w:sz w:val="24"/>
                <w:szCs w:val="21"/>
              </w:rPr>
              <w:t>计划竣工日期</w:t>
            </w:r>
          </w:p>
        </w:tc>
        <w:tc>
          <w:tcPr>
            <w:tcW w:w="6211" w:type="dxa"/>
            <w:noWrap/>
          </w:tcPr>
          <w:p w14:paraId="14F3B339">
            <w:pPr>
              <w:topLinePunct/>
              <w:spacing w:line="440" w:lineRule="exact"/>
              <w:rPr>
                <w:rFonts w:ascii="宋体" w:hAnsi="宋体" w:cs="宋体"/>
                <w:sz w:val="24"/>
                <w:szCs w:val="21"/>
              </w:rPr>
            </w:pPr>
          </w:p>
        </w:tc>
      </w:tr>
      <w:tr w14:paraId="490BE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311" w:type="dxa"/>
            <w:noWrap/>
            <w:vAlign w:val="center"/>
          </w:tcPr>
          <w:p w14:paraId="58C1BFEE">
            <w:pPr>
              <w:topLinePunct/>
              <w:spacing w:line="440" w:lineRule="exact"/>
              <w:jc w:val="center"/>
              <w:rPr>
                <w:rFonts w:ascii="宋体" w:hAnsi="宋体" w:cs="宋体"/>
                <w:sz w:val="24"/>
                <w:szCs w:val="21"/>
              </w:rPr>
            </w:pPr>
            <w:r>
              <w:rPr>
                <w:rFonts w:hint="eastAsia" w:ascii="宋体" w:hAnsi="宋体" w:cs="宋体"/>
                <w:sz w:val="24"/>
                <w:szCs w:val="21"/>
              </w:rPr>
              <w:t>承担的工作</w:t>
            </w:r>
          </w:p>
        </w:tc>
        <w:tc>
          <w:tcPr>
            <w:tcW w:w="6211" w:type="dxa"/>
            <w:noWrap/>
          </w:tcPr>
          <w:p w14:paraId="76439334">
            <w:pPr>
              <w:topLinePunct/>
              <w:spacing w:line="440" w:lineRule="exact"/>
              <w:rPr>
                <w:rFonts w:ascii="宋体" w:hAnsi="宋体" w:cs="宋体"/>
                <w:sz w:val="24"/>
                <w:szCs w:val="21"/>
              </w:rPr>
            </w:pPr>
          </w:p>
        </w:tc>
      </w:tr>
      <w:tr w14:paraId="01F77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311" w:type="dxa"/>
            <w:noWrap/>
            <w:vAlign w:val="center"/>
          </w:tcPr>
          <w:p w14:paraId="47826EB0">
            <w:pPr>
              <w:topLinePunct/>
              <w:spacing w:line="440" w:lineRule="exact"/>
              <w:jc w:val="center"/>
              <w:rPr>
                <w:rFonts w:ascii="宋体" w:hAnsi="宋体" w:cs="宋体"/>
                <w:sz w:val="24"/>
                <w:szCs w:val="21"/>
              </w:rPr>
            </w:pPr>
            <w:r>
              <w:rPr>
                <w:rFonts w:hint="eastAsia" w:ascii="宋体" w:hAnsi="宋体" w:cs="宋体"/>
                <w:sz w:val="24"/>
                <w:szCs w:val="21"/>
              </w:rPr>
              <w:t>工程质量</w:t>
            </w:r>
          </w:p>
        </w:tc>
        <w:tc>
          <w:tcPr>
            <w:tcW w:w="6211" w:type="dxa"/>
            <w:noWrap/>
          </w:tcPr>
          <w:p w14:paraId="53486FF2">
            <w:pPr>
              <w:topLinePunct/>
              <w:spacing w:line="440" w:lineRule="exact"/>
              <w:rPr>
                <w:rFonts w:ascii="宋体" w:hAnsi="宋体" w:cs="宋体"/>
                <w:sz w:val="24"/>
                <w:szCs w:val="21"/>
              </w:rPr>
            </w:pPr>
          </w:p>
        </w:tc>
      </w:tr>
      <w:tr w14:paraId="6309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311" w:type="dxa"/>
            <w:noWrap/>
            <w:vAlign w:val="center"/>
          </w:tcPr>
          <w:p w14:paraId="767A6547">
            <w:pPr>
              <w:topLinePunct/>
              <w:spacing w:line="440" w:lineRule="exact"/>
              <w:jc w:val="center"/>
              <w:rPr>
                <w:rFonts w:ascii="宋体" w:hAnsi="宋体" w:cs="宋体"/>
                <w:sz w:val="24"/>
                <w:szCs w:val="21"/>
              </w:rPr>
            </w:pPr>
            <w:r>
              <w:rPr>
                <w:rFonts w:hint="eastAsia" w:ascii="宋体" w:hAnsi="宋体" w:cs="宋体"/>
                <w:sz w:val="24"/>
                <w:szCs w:val="21"/>
              </w:rPr>
              <w:t>项目经理</w:t>
            </w:r>
          </w:p>
        </w:tc>
        <w:tc>
          <w:tcPr>
            <w:tcW w:w="6211" w:type="dxa"/>
            <w:noWrap/>
          </w:tcPr>
          <w:p w14:paraId="7267857A">
            <w:pPr>
              <w:topLinePunct/>
              <w:spacing w:line="440" w:lineRule="exact"/>
              <w:rPr>
                <w:rFonts w:ascii="宋体" w:hAnsi="宋体" w:cs="宋体"/>
                <w:sz w:val="24"/>
                <w:szCs w:val="21"/>
              </w:rPr>
            </w:pPr>
          </w:p>
        </w:tc>
      </w:tr>
      <w:tr w14:paraId="4C56C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311" w:type="dxa"/>
            <w:noWrap/>
            <w:vAlign w:val="center"/>
          </w:tcPr>
          <w:p w14:paraId="0489FFBE">
            <w:pPr>
              <w:topLinePunct/>
              <w:spacing w:line="440" w:lineRule="exact"/>
              <w:jc w:val="center"/>
              <w:rPr>
                <w:rFonts w:ascii="宋体" w:hAnsi="宋体" w:cs="宋体"/>
                <w:sz w:val="24"/>
                <w:szCs w:val="21"/>
              </w:rPr>
            </w:pPr>
            <w:r>
              <w:rPr>
                <w:rFonts w:hint="eastAsia" w:ascii="宋体" w:hAnsi="宋体" w:cs="宋体"/>
                <w:sz w:val="24"/>
                <w:szCs w:val="21"/>
              </w:rPr>
              <w:t>技术负责人</w:t>
            </w:r>
          </w:p>
        </w:tc>
        <w:tc>
          <w:tcPr>
            <w:tcW w:w="6211" w:type="dxa"/>
            <w:noWrap/>
          </w:tcPr>
          <w:p w14:paraId="607694F5">
            <w:pPr>
              <w:topLinePunct/>
              <w:spacing w:line="440" w:lineRule="exact"/>
              <w:rPr>
                <w:rFonts w:ascii="宋体" w:hAnsi="宋体" w:cs="宋体"/>
                <w:sz w:val="24"/>
                <w:szCs w:val="21"/>
              </w:rPr>
            </w:pPr>
          </w:p>
        </w:tc>
      </w:tr>
      <w:tr w14:paraId="58CA5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311" w:type="dxa"/>
            <w:noWrap/>
            <w:vAlign w:val="center"/>
          </w:tcPr>
          <w:p w14:paraId="636F6644">
            <w:pPr>
              <w:topLinePunct/>
              <w:spacing w:line="440" w:lineRule="exact"/>
              <w:jc w:val="center"/>
              <w:rPr>
                <w:rFonts w:ascii="宋体" w:hAnsi="宋体" w:cs="宋体"/>
                <w:sz w:val="24"/>
                <w:szCs w:val="21"/>
              </w:rPr>
            </w:pPr>
            <w:r>
              <w:rPr>
                <w:rFonts w:hint="eastAsia" w:ascii="宋体" w:hAnsi="宋体" w:cs="宋体"/>
                <w:sz w:val="24"/>
                <w:szCs w:val="21"/>
              </w:rPr>
              <w:t>项目描述</w:t>
            </w:r>
          </w:p>
        </w:tc>
        <w:tc>
          <w:tcPr>
            <w:tcW w:w="6211" w:type="dxa"/>
            <w:noWrap/>
          </w:tcPr>
          <w:p w14:paraId="142BE390">
            <w:pPr>
              <w:topLinePunct/>
              <w:spacing w:line="440" w:lineRule="exact"/>
              <w:rPr>
                <w:rFonts w:ascii="宋体" w:hAnsi="宋体" w:cs="宋体"/>
                <w:sz w:val="24"/>
                <w:szCs w:val="21"/>
              </w:rPr>
            </w:pPr>
          </w:p>
          <w:p w14:paraId="66AF8C31">
            <w:pPr>
              <w:topLinePunct/>
              <w:spacing w:line="440" w:lineRule="exact"/>
              <w:rPr>
                <w:rFonts w:ascii="宋体" w:hAnsi="宋体" w:cs="宋体"/>
                <w:sz w:val="24"/>
                <w:szCs w:val="21"/>
              </w:rPr>
            </w:pPr>
          </w:p>
          <w:p w14:paraId="639EB5BB">
            <w:pPr>
              <w:topLinePunct/>
              <w:spacing w:line="440" w:lineRule="exact"/>
              <w:rPr>
                <w:rFonts w:ascii="宋体" w:hAnsi="宋体" w:cs="宋体"/>
                <w:sz w:val="24"/>
                <w:szCs w:val="21"/>
              </w:rPr>
            </w:pPr>
          </w:p>
          <w:p w14:paraId="321BCD93">
            <w:pPr>
              <w:topLinePunct/>
              <w:spacing w:line="440" w:lineRule="exact"/>
              <w:rPr>
                <w:rFonts w:ascii="宋体" w:hAnsi="宋体" w:cs="宋体"/>
                <w:sz w:val="24"/>
                <w:szCs w:val="21"/>
              </w:rPr>
            </w:pPr>
          </w:p>
          <w:p w14:paraId="58DC7B88">
            <w:pPr>
              <w:topLinePunct/>
              <w:spacing w:line="440" w:lineRule="exact"/>
              <w:rPr>
                <w:rFonts w:ascii="宋体" w:hAnsi="宋体" w:cs="宋体"/>
                <w:sz w:val="24"/>
                <w:szCs w:val="21"/>
              </w:rPr>
            </w:pPr>
          </w:p>
          <w:p w14:paraId="3D639058">
            <w:pPr>
              <w:topLinePunct/>
              <w:spacing w:line="440" w:lineRule="exact"/>
              <w:rPr>
                <w:rFonts w:ascii="宋体" w:hAnsi="宋体" w:cs="宋体"/>
                <w:sz w:val="24"/>
                <w:szCs w:val="21"/>
              </w:rPr>
            </w:pPr>
          </w:p>
          <w:p w14:paraId="34FDB625">
            <w:pPr>
              <w:topLinePunct/>
              <w:spacing w:line="440" w:lineRule="exact"/>
              <w:rPr>
                <w:rFonts w:ascii="宋体" w:hAnsi="宋体" w:cs="宋体"/>
                <w:sz w:val="24"/>
                <w:szCs w:val="21"/>
              </w:rPr>
            </w:pPr>
          </w:p>
        </w:tc>
      </w:tr>
      <w:tr w14:paraId="7814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311" w:type="dxa"/>
            <w:noWrap/>
            <w:vAlign w:val="center"/>
          </w:tcPr>
          <w:p w14:paraId="74A7C5D4">
            <w:pPr>
              <w:topLinePunct/>
              <w:spacing w:line="440" w:lineRule="exact"/>
              <w:jc w:val="center"/>
              <w:rPr>
                <w:rFonts w:ascii="宋体" w:hAnsi="宋体" w:cs="宋体"/>
                <w:sz w:val="24"/>
                <w:szCs w:val="21"/>
              </w:rPr>
            </w:pPr>
            <w:r>
              <w:rPr>
                <w:rFonts w:hint="eastAsia" w:ascii="宋体" w:hAnsi="宋体" w:cs="宋体"/>
                <w:sz w:val="24"/>
                <w:szCs w:val="21"/>
              </w:rPr>
              <w:t>备注</w:t>
            </w:r>
          </w:p>
        </w:tc>
        <w:tc>
          <w:tcPr>
            <w:tcW w:w="6211" w:type="dxa"/>
            <w:noWrap/>
          </w:tcPr>
          <w:p w14:paraId="4FCCA794">
            <w:pPr>
              <w:topLinePunct/>
              <w:spacing w:line="440" w:lineRule="exact"/>
              <w:rPr>
                <w:rFonts w:ascii="宋体" w:hAnsi="宋体" w:cs="宋体"/>
                <w:sz w:val="24"/>
                <w:szCs w:val="21"/>
              </w:rPr>
            </w:pPr>
          </w:p>
        </w:tc>
      </w:tr>
    </w:tbl>
    <w:p w14:paraId="3BB19572">
      <w:pPr>
        <w:spacing w:line="440" w:lineRule="exact"/>
        <w:rPr>
          <w:rFonts w:ascii="宋体" w:hAnsi="宋体" w:cs="宋体"/>
          <w:sz w:val="20"/>
          <w:szCs w:val="20"/>
        </w:rPr>
      </w:pPr>
    </w:p>
    <w:p w14:paraId="303EB6CB">
      <w:pPr>
        <w:spacing w:line="440" w:lineRule="exact"/>
        <w:rPr>
          <w:rFonts w:ascii="宋体" w:hAnsi="宋体" w:cs="宋体"/>
          <w:b/>
          <w:bCs/>
          <w:sz w:val="32"/>
          <w:szCs w:val="32"/>
        </w:rPr>
      </w:pPr>
      <w:r>
        <w:rPr>
          <w:rFonts w:hint="eastAsia" w:ascii="宋体" w:hAnsi="宋体" w:cs="宋体"/>
          <w:b/>
          <w:bCs/>
          <w:sz w:val="32"/>
          <w:szCs w:val="32"/>
        </w:rPr>
        <w:br w:type="page"/>
      </w:r>
      <w:r>
        <w:rPr>
          <w:rFonts w:hint="eastAsia" w:ascii="宋体" w:hAnsi="宋体" w:cs="宋体"/>
          <w:b/>
          <w:bCs/>
          <w:sz w:val="32"/>
          <w:szCs w:val="32"/>
        </w:rPr>
        <w:t>（五）近年发生的诉讼和仲裁情况</w:t>
      </w:r>
    </w:p>
    <w:p w14:paraId="0B8E1579">
      <w:pPr>
        <w:spacing w:line="440" w:lineRule="exact"/>
        <w:ind w:firstLine="803" w:firstLineChars="250"/>
        <w:jc w:val="center"/>
        <w:rPr>
          <w:rFonts w:ascii="宋体" w:hAnsi="宋体" w:cs="宋体"/>
          <w:b/>
          <w:bCs/>
          <w:sz w:val="32"/>
          <w:szCs w:val="32"/>
        </w:rPr>
      </w:pPr>
    </w:p>
    <w:p w14:paraId="015D46D1">
      <w:pPr>
        <w:spacing w:line="440" w:lineRule="exact"/>
        <w:ind w:firstLine="600" w:firstLineChars="250"/>
        <w:jc w:val="left"/>
        <w:rPr>
          <w:rFonts w:ascii="宋体" w:hAnsi="宋体" w:cs="宋体"/>
          <w:bCs/>
          <w:sz w:val="24"/>
          <w:szCs w:val="32"/>
        </w:rPr>
      </w:pPr>
      <w:r>
        <w:rPr>
          <w:rFonts w:hint="eastAsia" w:ascii="宋体" w:hAnsi="宋体" w:cs="宋体"/>
          <w:bCs/>
          <w:sz w:val="24"/>
          <w:szCs w:val="32"/>
        </w:rPr>
        <w:t>说明：近年（</w:t>
      </w:r>
      <w:r>
        <w:rPr>
          <w:rFonts w:hint="eastAsia" w:ascii="宋体" w:hAnsi="宋体" w:cs="宋体"/>
          <w:sz w:val="24"/>
        </w:rPr>
        <w:t>2022年1月1日以来起至今</w:t>
      </w:r>
      <w:r>
        <w:rPr>
          <w:rFonts w:hint="eastAsia" w:ascii="宋体" w:hAnsi="宋体" w:cs="宋体"/>
          <w:bCs/>
          <w:sz w:val="24"/>
          <w:szCs w:val="32"/>
        </w:rPr>
        <w:t>）发生的诉讼和仲裁情况仅限于投标人败诉的，且与履行施工承包合同有关的案件，不包括调解结案以及未裁决的仲裁或未终审判决的诉讼。</w:t>
      </w:r>
    </w:p>
    <w:p w14:paraId="3E5D80A7">
      <w:pPr>
        <w:spacing w:line="440" w:lineRule="exact"/>
        <w:jc w:val="left"/>
        <w:rPr>
          <w:rFonts w:ascii="宋体" w:hAnsi="宋体" w:cs="宋体"/>
          <w:bCs/>
          <w:sz w:val="24"/>
          <w:szCs w:val="32"/>
        </w:rPr>
      </w:pPr>
    </w:p>
    <w:p w14:paraId="4BE81B23">
      <w:pPr>
        <w:spacing w:line="440" w:lineRule="exact"/>
        <w:jc w:val="left"/>
        <w:rPr>
          <w:rFonts w:ascii="宋体" w:hAnsi="宋体" w:cs="宋体"/>
          <w:bCs/>
          <w:sz w:val="24"/>
          <w:szCs w:val="32"/>
        </w:rPr>
      </w:pPr>
    </w:p>
    <w:p w14:paraId="38F1D7E2">
      <w:pPr>
        <w:widowControl/>
        <w:jc w:val="left"/>
        <w:rPr>
          <w:rFonts w:ascii="宋体" w:hAnsi="宋体"/>
        </w:rPr>
      </w:pPr>
    </w:p>
    <w:p w14:paraId="4F46BF25">
      <w:pPr>
        <w:widowControl/>
        <w:jc w:val="left"/>
        <w:rPr>
          <w:rFonts w:ascii="宋体" w:hAnsi="宋体"/>
        </w:rPr>
      </w:pPr>
    </w:p>
    <w:p w14:paraId="519675E9">
      <w:pPr>
        <w:widowControl/>
        <w:jc w:val="left"/>
        <w:rPr>
          <w:rFonts w:ascii="宋体" w:hAnsi="宋体"/>
        </w:rPr>
      </w:pPr>
    </w:p>
    <w:p w14:paraId="56A8BA00">
      <w:pPr>
        <w:widowControl/>
        <w:jc w:val="left"/>
        <w:rPr>
          <w:rFonts w:ascii="宋体" w:hAnsi="宋体"/>
        </w:rPr>
      </w:pPr>
    </w:p>
    <w:p w14:paraId="6B63D136">
      <w:pPr>
        <w:widowControl/>
        <w:jc w:val="left"/>
        <w:rPr>
          <w:rFonts w:ascii="宋体" w:hAnsi="宋体"/>
        </w:rPr>
      </w:pPr>
    </w:p>
    <w:p w14:paraId="1E5F1847">
      <w:pPr>
        <w:widowControl/>
        <w:jc w:val="left"/>
        <w:rPr>
          <w:rFonts w:ascii="宋体" w:hAnsi="宋体"/>
        </w:rPr>
      </w:pPr>
    </w:p>
    <w:p w14:paraId="79598687">
      <w:pPr>
        <w:widowControl/>
        <w:jc w:val="left"/>
        <w:rPr>
          <w:rFonts w:ascii="宋体" w:hAnsi="宋体"/>
        </w:rPr>
      </w:pPr>
    </w:p>
    <w:p w14:paraId="0D00482C">
      <w:pPr>
        <w:widowControl/>
        <w:jc w:val="left"/>
        <w:rPr>
          <w:rFonts w:ascii="宋体" w:hAnsi="宋体"/>
        </w:rPr>
      </w:pPr>
    </w:p>
    <w:p w14:paraId="6491E021">
      <w:pPr>
        <w:widowControl/>
        <w:jc w:val="left"/>
        <w:rPr>
          <w:rFonts w:ascii="宋体" w:hAnsi="宋体"/>
        </w:rPr>
      </w:pPr>
    </w:p>
    <w:p w14:paraId="3A5ED88C">
      <w:pPr>
        <w:widowControl/>
        <w:jc w:val="left"/>
        <w:rPr>
          <w:rFonts w:ascii="宋体" w:hAnsi="宋体"/>
        </w:rPr>
      </w:pPr>
    </w:p>
    <w:p w14:paraId="7974B64C">
      <w:pPr>
        <w:widowControl/>
        <w:jc w:val="left"/>
        <w:rPr>
          <w:rFonts w:ascii="宋体" w:hAnsi="宋体"/>
        </w:rPr>
      </w:pPr>
    </w:p>
    <w:p w14:paraId="06BD54D8">
      <w:pPr>
        <w:widowControl/>
        <w:jc w:val="left"/>
        <w:rPr>
          <w:rFonts w:ascii="宋体" w:hAnsi="宋体"/>
        </w:rPr>
      </w:pPr>
    </w:p>
    <w:p w14:paraId="7671C104">
      <w:pPr>
        <w:widowControl/>
        <w:jc w:val="left"/>
        <w:rPr>
          <w:rFonts w:ascii="宋体" w:hAnsi="宋体"/>
        </w:rPr>
      </w:pPr>
    </w:p>
    <w:p w14:paraId="668140FD">
      <w:pPr>
        <w:widowControl/>
        <w:jc w:val="left"/>
        <w:rPr>
          <w:rFonts w:ascii="宋体" w:hAnsi="宋体"/>
        </w:rPr>
      </w:pPr>
    </w:p>
    <w:p w14:paraId="046B1CA9">
      <w:pPr>
        <w:widowControl/>
        <w:jc w:val="left"/>
        <w:rPr>
          <w:rFonts w:ascii="宋体" w:hAnsi="宋体"/>
        </w:rPr>
      </w:pPr>
    </w:p>
    <w:p w14:paraId="548C9FF5">
      <w:pPr>
        <w:widowControl/>
        <w:jc w:val="left"/>
        <w:rPr>
          <w:rFonts w:ascii="宋体" w:hAnsi="宋体"/>
        </w:rPr>
      </w:pPr>
    </w:p>
    <w:p w14:paraId="7FBA21AB">
      <w:pPr>
        <w:widowControl/>
        <w:jc w:val="left"/>
        <w:rPr>
          <w:rFonts w:ascii="宋体" w:hAnsi="宋体"/>
        </w:rPr>
      </w:pPr>
    </w:p>
    <w:p w14:paraId="5C36D9DF">
      <w:pPr>
        <w:widowControl/>
        <w:jc w:val="left"/>
        <w:rPr>
          <w:rFonts w:ascii="宋体" w:hAnsi="宋体"/>
        </w:rPr>
      </w:pPr>
    </w:p>
    <w:p w14:paraId="0FF40257">
      <w:pPr>
        <w:widowControl/>
        <w:jc w:val="left"/>
        <w:rPr>
          <w:rFonts w:ascii="宋体" w:hAnsi="宋体"/>
        </w:rPr>
      </w:pPr>
    </w:p>
    <w:p w14:paraId="655A459D">
      <w:pPr>
        <w:widowControl/>
        <w:jc w:val="left"/>
        <w:rPr>
          <w:rFonts w:ascii="宋体" w:hAnsi="宋体"/>
        </w:rPr>
      </w:pPr>
    </w:p>
    <w:p w14:paraId="7773BEF3">
      <w:pPr>
        <w:widowControl/>
        <w:jc w:val="left"/>
        <w:rPr>
          <w:rFonts w:ascii="宋体" w:hAnsi="宋体"/>
        </w:rPr>
      </w:pPr>
    </w:p>
    <w:p w14:paraId="5916391F">
      <w:pPr>
        <w:widowControl/>
        <w:jc w:val="left"/>
        <w:rPr>
          <w:rFonts w:ascii="宋体" w:hAnsi="宋体"/>
        </w:rPr>
      </w:pPr>
    </w:p>
    <w:p w14:paraId="1B73A50D">
      <w:pPr>
        <w:widowControl/>
        <w:jc w:val="left"/>
        <w:rPr>
          <w:rFonts w:ascii="宋体" w:hAnsi="宋体"/>
        </w:rPr>
      </w:pPr>
    </w:p>
    <w:p w14:paraId="3A256AB2">
      <w:pPr>
        <w:widowControl/>
        <w:jc w:val="left"/>
        <w:rPr>
          <w:rFonts w:ascii="宋体" w:hAnsi="宋体"/>
        </w:rPr>
      </w:pPr>
    </w:p>
    <w:p w14:paraId="6C184E21">
      <w:pPr>
        <w:widowControl/>
        <w:jc w:val="left"/>
        <w:rPr>
          <w:rFonts w:ascii="宋体" w:hAnsi="宋体"/>
        </w:rPr>
      </w:pPr>
    </w:p>
    <w:p w14:paraId="509100B6">
      <w:pPr>
        <w:widowControl/>
        <w:jc w:val="left"/>
        <w:rPr>
          <w:rFonts w:ascii="宋体" w:hAnsi="宋体"/>
        </w:rPr>
      </w:pPr>
    </w:p>
    <w:p w14:paraId="760915A9">
      <w:pPr>
        <w:widowControl/>
        <w:jc w:val="left"/>
        <w:rPr>
          <w:rFonts w:ascii="宋体" w:hAnsi="宋体"/>
        </w:rPr>
      </w:pPr>
    </w:p>
    <w:p w14:paraId="74DE606E">
      <w:pPr>
        <w:widowControl/>
        <w:jc w:val="left"/>
        <w:rPr>
          <w:rFonts w:ascii="宋体" w:hAnsi="宋体"/>
        </w:rPr>
      </w:pPr>
    </w:p>
    <w:p w14:paraId="384794F1">
      <w:pPr>
        <w:widowControl/>
        <w:jc w:val="left"/>
        <w:rPr>
          <w:rFonts w:ascii="宋体" w:hAnsi="宋体"/>
        </w:rPr>
      </w:pPr>
    </w:p>
    <w:p w14:paraId="5A970680">
      <w:pPr>
        <w:widowControl/>
        <w:jc w:val="left"/>
        <w:rPr>
          <w:rFonts w:ascii="宋体" w:hAnsi="宋体"/>
        </w:rPr>
      </w:pPr>
    </w:p>
    <w:p w14:paraId="10FBF14F">
      <w:pPr>
        <w:widowControl/>
        <w:jc w:val="left"/>
        <w:rPr>
          <w:rFonts w:ascii="宋体" w:hAnsi="宋体"/>
        </w:rPr>
      </w:pPr>
    </w:p>
    <w:p w14:paraId="56FFD5D8">
      <w:pPr>
        <w:widowControl/>
        <w:jc w:val="left"/>
        <w:rPr>
          <w:rFonts w:ascii="宋体" w:hAnsi="宋体"/>
        </w:rPr>
      </w:pPr>
    </w:p>
    <w:p w14:paraId="6A96C154">
      <w:pPr>
        <w:widowControl/>
        <w:jc w:val="left"/>
        <w:rPr>
          <w:rFonts w:ascii="宋体" w:hAnsi="宋体"/>
        </w:rPr>
      </w:pPr>
    </w:p>
    <w:p w14:paraId="2A0CE106">
      <w:pPr>
        <w:widowControl/>
        <w:jc w:val="left"/>
        <w:rPr>
          <w:rFonts w:ascii="宋体" w:hAnsi="宋体"/>
        </w:rPr>
      </w:pPr>
    </w:p>
    <w:p w14:paraId="51E06DD8">
      <w:pPr>
        <w:spacing w:line="440" w:lineRule="exact"/>
        <w:jc w:val="left"/>
        <w:rPr>
          <w:rFonts w:ascii="宋体" w:hAnsi="宋体" w:cs="宋体"/>
          <w:bCs/>
          <w:sz w:val="24"/>
          <w:szCs w:val="32"/>
        </w:rPr>
      </w:pPr>
    </w:p>
    <w:p w14:paraId="7D762520">
      <w:pPr>
        <w:spacing w:line="460" w:lineRule="exact"/>
        <w:rPr>
          <w:rFonts w:ascii="宋体" w:hAnsi="宋体" w:cs="宋体"/>
          <w:b/>
          <w:bCs/>
          <w:sz w:val="32"/>
          <w:szCs w:val="32"/>
        </w:rPr>
      </w:pPr>
      <w:r>
        <w:rPr>
          <w:rFonts w:hint="eastAsia" w:ascii="宋体" w:hAnsi="宋体" w:cs="宋体"/>
          <w:b/>
          <w:bCs/>
          <w:sz w:val="32"/>
          <w:szCs w:val="32"/>
        </w:rPr>
        <w:t>（六）农民工工资支付承诺</w:t>
      </w:r>
      <w:r>
        <w:rPr>
          <w:rFonts w:hint="eastAsia" w:ascii="宋体" w:hAnsi="宋体"/>
          <w:b/>
          <w:bCs/>
          <w:sz w:val="24"/>
        </w:rPr>
        <w:t>（格式）</w:t>
      </w:r>
    </w:p>
    <w:p w14:paraId="730E3341">
      <w:pPr>
        <w:widowControl/>
        <w:jc w:val="left"/>
        <w:rPr>
          <w:rFonts w:ascii="宋体" w:hAnsi="宋体"/>
        </w:rPr>
      </w:pPr>
    </w:p>
    <w:p w14:paraId="167FCE39">
      <w:pPr>
        <w:widowControl/>
        <w:jc w:val="left"/>
        <w:rPr>
          <w:rFonts w:ascii="宋体" w:hAnsi="宋体"/>
        </w:rPr>
      </w:pPr>
    </w:p>
    <w:p w14:paraId="4E1E073F">
      <w:pPr>
        <w:adjustRightInd w:val="0"/>
        <w:snapToGrid w:val="0"/>
        <w:spacing w:line="480" w:lineRule="exact"/>
        <w:jc w:val="center"/>
        <w:rPr>
          <w:rFonts w:ascii="宋体" w:hAnsi="宋体"/>
          <w:sz w:val="24"/>
          <w:u w:val="single"/>
        </w:rPr>
      </w:pPr>
      <w:r>
        <w:rPr>
          <w:rFonts w:hint="eastAsia" w:ascii="宋体" w:hAnsi="宋体"/>
          <w:sz w:val="24"/>
          <w:u w:val="single"/>
        </w:rPr>
        <w:t>（承包人全称）</w:t>
      </w:r>
    </w:p>
    <w:p w14:paraId="12F9C178">
      <w:pPr>
        <w:adjustRightInd w:val="0"/>
        <w:snapToGrid w:val="0"/>
        <w:spacing w:line="480" w:lineRule="exact"/>
        <w:jc w:val="center"/>
        <w:rPr>
          <w:rFonts w:ascii="宋体" w:hAnsi="宋体"/>
          <w:sz w:val="24"/>
        </w:rPr>
      </w:pPr>
      <w:r>
        <w:rPr>
          <w:rFonts w:hint="eastAsia" w:ascii="宋体" w:hAnsi="宋体"/>
          <w:sz w:val="24"/>
          <w:u w:val="single"/>
        </w:rPr>
        <w:t>（合同工程名称）</w:t>
      </w:r>
      <w:r>
        <w:rPr>
          <w:rFonts w:ascii="宋体" w:hAnsi="宋体"/>
          <w:sz w:val="24"/>
        </w:rPr>
        <w:t>农民工工资支付承诺书</w:t>
      </w:r>
    </w:p>
    <w:p w14:paraId="5F5B80AB">
      <w:pPr>
        <w:spacing w:line="480" w:lineRule="exact"/>
        <w:ind w:firstLine="480" w:firstLineChars="200"/>
        <w:rPr>
          <w:rFonts w:ascii="宋体" w:hAnsi="宋体"/>
          <w:sz w:val="24"/>
        </w:rPr>
      </w:pPr>
    </w:p>
    <w:p w14:paraId="1AB957EE">
      <w:pPr>
        <w:spacing w:line="480" w:lineRule="exact"/>
        <w:ind w:firstLine="480" w:firstLineChars="200"/>
        <w:rPr>
          <w:rFonts w:ascii="宋体" w:hAnsi="宋体"/>
          <w:sz w:val="24"/>
        </w:rPr>
      </w:pPr>
      <w:r>
        <w:rPr>
          <w:rFonts w:hint="eastAsia" w:ascii="宋体" w:hAnsi="宋体"/>
          <w:sz w:val="24"/>
        </w:rPr>
        <w:t xml:space="preserve"> 我单位在此郑重承诺：</w:t>
      </w:r>
    </w:p>
    <w:p w14:paraId="4C384BED">
      <w:pPr>
        <w:spacing w:line="480" w:lineRule="exact"/>
        <w:ind w:firstLine="480" w:firstLineChars="200"/>
        <w:rPr>
          <w:rFonts w:ascii="宋体" w:hAnsi="宋体"/>
          <w:sz w:val="24"/>
        </w:rPr>
      </w:pPr>
      <w:r>
        <w:rPr>
          <w:rFonts w:ascii="宋体" w:hAnsi="宋体"/>
          <w:sz w:val="24"/>
        </w:rPr>
        <w:t>一、开工前与农民工签定劳动合同。</w:t>
      </w:r>
    </w:p>
    <w:p w14:paraId="5CFC7CEF">
      <w:pPr>
        <w:spacing w:line="480" w:lineRule="exact"/>
        <w:ind w:firstLine="480" w:firstLineChars="200"/>
        <w:rPr>
          <w:rFonts w:ascii="宋体" w:hAnsi="宋体"/>
          <w:sz w:val="24"/>
        </w:rPr>
      </w:pPr>
      <w:r>
        <w:rPr>
          <w:rFonts w:ascii="宋体" w:hAnsi="宋体"/>
          <w:sz w:val="24"/>
        </w:rPr>
        <w:t>二、按时支付农民工工资、加班加点工资。</w:t>
      </w:r>
    </w:p>
    <w:p w14:paraId="19ACE032">
      <w:pPr>
        <w:spacing w:line="480" w:lineRule="exact"/>
        <w:ind w:firstLine="480" w:firstLineChars="200"/>
        <w:rPr>
          <w:rFonts w:ascii="宋体" w:hAnsi="宋体"/>
          <w:sz w:val="24"/>
        </w:rPr>
      </w:pPr>
      <w:r>
        <w:rPr>
          <w:rFonts w:ascii="宋体" w:hAnsi="宋体"/>
          <w:sz w:val="24"/>
        </w:rPr>
        <w:t>三、支付农民工工资不低于</w:t>
      </w:r>
      <w:r>
        <w:rPr>
          <w:rFonts w:hint="eastAsia" w:ascii="宋体" w:hAnsi="宋体"/>
          <w:sz w:val="24"/>
        </w:rPr>
        <w:t>河南</w:t>
      </w:r>
      <w:r>
        <w:rPr>
          <w:rFonts w:ascii="宋体" w:hAnsi="宋体"/>
          <w:sz w:val="24"/>
        </w:rPr>
        <w:t>省最低工资标准</w:t>
      </w:r>
      <w:r>
        <w:rPr>
          <w:rFonts w:ascii="宋体" w:hAnsi="宋体"/>
          <w:sz w:val="24"/>
          <w:u w:val="single"/>
        </w:rPr>
        <w:t>   </w:t>
      </w:r>
      <w:r>
        <w:rPr>
          <w:rFonts w:ascii="宋体" w:hAnsi="宋体"/>
          <w:sz w:val="24"/>
        </w:rPr>
        <w:t>元。</w:t>
      </w:r>
    </w:p>
    <w:p w14:paraId="5B14F0A3">
      <w:pPr>
        <w:spacing w:line="480" w:lineRule="exact"/>
        <w:ind w:firstLine="480" w:firstLineChars="200"/>
        <w:rPr>
          <w:rFonts w:ascii="宋体" w:hAnsi="宋体"/>
          <w:sz w:val="24"/>
        </w:rPr>
      </w:pPr>
      <w:r>
        <w:rPr>
          <w:rFonts w:ascii="宋体" w:hAnsi="宋体"/>
          <w:sz w:val="24"/>
        </w:rPr>
        <w:t>四、不无故拖欠、克扣农民工工资。</w:t>
      </w:r>
    </w:p>
    <w:p w14:paraId="6E66DD79">
      <w:pPr>
        <w:spacing w:line="480" w:lineRule="exact"/>
        <w:ind w:firstLine="480" w:firstLineChars="200"/>
        <w:rPr>
          <w:rFonts w:ascii="宋体" w:hAnsi="宋体"/>
          <w:sz w:val="24"/>
        </w:rPr>
      </w:pPr>
      <w:r>
        <w:rPr>
          <w:rFonts w:ascii="宋体" w:hAnsi="宋体"/>
          <w:sz w:val="24"/>
        </w:rPr>
        <w:t>五、</w:t>
      </w:r>
      <w:r>
        <w:rPr>
          <w:rFonts w:hint="eastAsia" w:ascii="宋体" w:hAnsi="宋体"/>
          <w:sz w:val="24"/>
        </w:rPr>
        <w:t>坚决不</w:t>
      </w:r>
      <w:r>
        <w:rPr>
          <w:rFonts w:ascii="宋体" w:hAnsi="宋体"/>
          <w:sz w:val="24"/>
        </w:rPr>
        <w:t>侵害农民工劳动报酬的合法权益。</w:t>
      </w:r>
    </w:p>
    <w:p w14:paraId="6CF55159">
      <w:pPr>
        <w:spacing w:line="480" w:lineRule="exact"/>
        <w:ind w:firstLine="480" w:firstLineChars="200"/>
        <w:rPr>
          <w:rFonts w:ascii="宋体" w:hAnsi="宋体"/>
          <w:sz w:val="24"/>
        </w:rPr>
      </w:pPr>
      <w:r>
        <w:rPr>
          <w:rFonts w:ascii="宋体" w:hAnsi="宋体"/>
          <w:sz w:val="24"/>
        </w:rPr>
        <w:t>六、</w:t>
      </w:r>
      <w:r>
        <w:rPr>
          <w:rFonts w:hint="eastAsia" w:ascii="宋体" w:hAnsi="宋体"/>
          <w:sz w:val="24"/>
        </w:rPr>
        <w:t>中标后及时、足额按豫劳社监察【2012】11号文件规定，缴纳农民工工资保障金，保证金为中标价的2%，存入农民工工资保障金。一旦其承包的工程项目中出现拖欠农民工工资情况的，可由建设行政主管部门从农民工工资保障金中先予划支</w:t>
      </w:r>
      <w:r>
        <w:rPr>
          <w:rFonts w:ascii="宋体" w:hAnsi="宋体"/>
          <w:sz w:val="24"/>
        </w:rPr>
        <w:t>。</w:t>
      </w:r>
    </w:p>
    <w:p w14:paraId="5F79144C">
      <w:pPr>
        <w:spacing w:line="480" w:lineRule="exact"/>
        <w:ind w:firstLine="480" w:firstLineChars="200"/>
        <w:rPr>
          <w:rFonts w:hint="default" w:ascii="宋体" w:hAnsi="宋体" w:eastAsia="宋体"/>
          <w:sz w:val="24"/>
          <w:u w:val="thick"/>
          <w:lang w:val="en-US" w:eastAsia="zh-CN"/>
        </w:rPr>
      </w:pPr>
      <w:r>
        <w:rPr>
          <w:rFonts w:hint="eastAsia" w:ascii="宋体" w:hAnsi="宋体"/>
          <w:sz w:val="24"/>
        </w:rPr>
        <w:t xml:space="preserve"> 七、投标人自罚承诺措施：</w:t>
      </w:r>
      <w:r>
        <w:rPr>
          <w:rFonts w:ascii="宋体" w:hAnsi="宋体"/>
          <w:sz w:val="24"/>
          <w:u w:val="single"/>
        </w:rPr>
        <w:t>   </w:t>
      </w:r>
      <w:r>
        <w:rPr>
          <w:rFonts w:hint="eastAsia" w:ascii="宋体" w:hAnsi="宋体"/>
          <w:sz w:val="24"/>
          <w:u w:val="single"/>
          <w:lang w:val="en-US" w:eastAsia="zh-CN"/>
        </w:rPr>
        <w:t xml:space="preserve">                         </w:t>
      </w:r>
    </w:p>
    <w:p w14:paraId="4F86AE9E">
      <w:pPr>
        <w:adjustRightInd w:val="0"/>
        <w:snapToGrid w:val="0"/>
        <w:spacing w:afterLines="50" w:line="480" w:lineRule="exact"/>
        <w:ind w:left="139" w:leftChars="66" w:firstLine="480" w:firstLineChars="200"/>
        <w:rPr>
          <w:rFonts w:ascii="宋体" w:hAnsi="宋体"/>
          <w:sz w:val="24"/>
          <w:u w:val="single"/>
        </w:rPr>
      </w:pPr>
    </w:p>
    <w:p w14:paraId="1DAF28AA">
      <w:pPr>
        <w:adjustRightInd w:val="0"/>
        <w:snapToGrid w:val="0"/>
        <w:spacing w:afterLines="50" w:line="480" w:lineRule="exact"/>
        <w:ind w:left="139" w:leftChars="66" w:firstLine="480" w:firstLineChars="200"/>
        <w:rPr>
          <w:rFonts w:ascii="宋体" w:hAnsi="宋体"/>
          <w:sz w:val="24"/>
          <w:u w:val="single"/>
        </w:rPr>
      </w:pPr>
    </w:p>
    <w:p w14:paraId="694FE71E">
      <w:pPr>
        <w:adjustRightInd w:val="0"/>
        <w:snapToGrid w:val="0"/>
        <w:spacing w:afterLines="50" w:line="480" w:lineRule="exact"/>
        <w:rPr>
          <w:rFonts w:ascii="宋体" w:hAnsi="宋体"/>
          <w:sz w:val="24"/>
        </w:rPr>
      </w:pPr>
    </w:p>
    <w:p w14:paraId="45F9CB6D">
      <w:pPr>
        <w:adjustRightInd w:val="0"/>
        <w:snapToGrid w:val="0"/>
        <w:spacing w:afterLines="50" w:line="480" w:lineRule="exact"/>
        <w:rPr>
          <w:rFonts w:ascii="宋体" w:hAnsi="宋体"/>
          <w:sz w:val="24"/>
        </w:rPr>
      </w:pPr>
    </w:p>
    <w:p w14:paraId="59939242">
      <w:pPr>
        <w:spacing w:line="480" w:lineRule="exact"/>
        <w:jc w:val="right"/>
        <w:rPr>
          <w:rFonts w:ascii="宋体" w:hAnsi="宋体"/>
          <w:sz w:val="24"/>
        </w:rPr>
      </w:pPr>
      <w:r>
        <w:rPr>
          <w:rFonts w:hint="eastAsia" w:ascii="宋体" w:hAnsi="宋体"/>
          <w:sz w:val="24"/>
        </w:rPr>
        <w:t xml:space="preserve">              供应商：（电子签章）</w:t>
      </w:r>
    </w:p>
    <w:p w14:paraId="68C9C59B">
      <w:pPr>
        <w:spacing w:line="480" w:lineRule="exact"/>
        <w:jc w:val="right"/>
        <w:rPr>
          <w:rFonts w:ascii="宋体" w:hAnsi="宋体"/>
          <w:sz w:val="24"/>
        </w:rPr>
      </w:pPr>
      <w:r>
        <w:rPr>
          <w:rFonts w:hint="eastAsia" w:ascii="宋体" w:hAnsi="宋体" w:cs="宋体"/>
          <w:kern w:val="0"/>
          <w:sz w:val="24"/>
        </w:rPr>
        <w:t>法定代表人或</w:t>
      </w:r>
      <w:r>
        <w:rPr>
          <w:rFonts w:hint="eastAsia" w:ascii="宋体" w:hAnsi="宋体"/>
          <w:sz w:val="24"/>
        </w:rPr>
        <w:t>其委托代理人：（法人签章）</w:t>
      </w:r>
    </w:p>
    <w:p w14:paraId="419BFC38">
      <w:pPr>
        <w:adjustRightInd w:val="0"/>
        <w:snapToGrid w:val="0"/>
        <w:spacing w:afterLines="50" w:line="480" w:lineRule="exact"/>
        <w:ind w:left="6270" w:leftChars="2300" w:right="420" w:hanging="1440" w:hangingChars="600"/>
        <w:rPr>
          <w:rFonts w:hint="eastAsia" w:ascii="宋体" w:hAnsi="宋体"/>
          <w:sz w:val="24"/>
        </w:rPr>
      </w:pPr>
      <w:r>
        <w:rPr>
          <w:rFonts w:hint="eastAsia" w:ascii="宋体" w:hAnsi="宋体"/>
          <w:sz w:val="24"/>
        </w:rPr>
        <w:t xml:space="preserve">            年  月  日</w:t>
      </w:r>
    </w:p>
    <w:p w14:paraId="2D1AA273">
      <w:pPr>
        <w:pStyle w:val="2"/>
      </w:pPr>
    </w:p>
    <w:p w14:paraId="79794623">
      <w:pPr>
        <w:spacing w:line="480" w:lineRule="exact"/>
        <w:rPr>
          <w:rFonts w:ascii="宋体" w:hAnsi="宋体"/>
          <w:sz w:val="24"/>
        </w:rPr>
      </w:pPr>
    </w:p>
    <w:p w14:paraId="20BD33D2">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p>
    <w:bookmarkEnd w:id="471"/>
    <w:bookmarkEnd w:id="472"/>
    <w:bookmarkEnd w:id="473"/>
    <w:bookmarkEnd w:id="474"/>
    <w:bookmarkEnd w:id="475"/>
    <w:bookmarkEnd w:id="476"/>
    <w:bookmarkEnd w:id="477"/>
    <w:p w14:paraId="33633BC7">
      <w:pPr>
        <w:shd w:val="clear" w:color="auto" w:fill="FFFFFF"/>
        <w:tabs>
          <w:tab w:val="right" w:pos="6077"/>
        </w:tabs>
        <w:autoSpaceDE w:val="0"/>
        <w:autoSpaceDN w:val="0"/>
        <w:spacing w:line="560" w:lineRule="exact"/>
        <w:jc w:val="center"/>
        <w:outlineLvl w:val="1"/>
        <w:rPr>
          <w:rFonts w:ascii="宋体" w:hAnsi="宋体" w:cs="宋体"/>
          <w:b/>
          <w:bCs/>
          <w:color w:val="000000"/>
          <w:sz w:val="32"/>
          <w:szCs w:val="32"/>
        </w:rPr>
      </w:pPr>
      <w:bookmarkStart w:id="567" w:name="_Toc10135"/>
      <w:bookmarkStart w:id="568" w:name="_Toc16520177"/>
      <w:bookmarkStart w:id="569" w:name="_Toc508179897"/>
      <w:bookmarkStart w:id="570" w:name="_Toc9253"/>
      <w:bookmarkStart w:id="571" w:name="_Toc16520689"/>
      <w:bookmarkStart w:id="572" w:name="_Toc25199"/>
      <w:bookmarkStart w:id="573" w:name="_Toc15835"/>
      <w:bookmarkStart w:id="574" w:name="_Toc6832"/>
      <w:bookmarkStart w:id="575" w:name="_Toc171014055"/>
      <w:r>
        <w:rPr>
          <w:rFonts w:hint="eastAsia" w:ascii="宋体" w:hAnsi="宋体" w:cs="宋体"/>
          <w:b/>
          <w:bCs/>
          <w:kern w:val="10"/>
          <w:sz w:val="32"/>
          <w:szCs w:val="32"/>
        </w:rPr>
        <w:t>八、</w:t>
      </w:r>
      <w:bookmarkEnd w:id="567"/>
      <w:bookmarkEnd w:id="568"/>
      <w:bookmarkEnd w:id="569"/>
      <w:bookmarkEnd w:id="570"/>
      <w:bookmarkEnd w:id="571"/>
      <w:bookmarkEnd w:id="572"/>
      <w:bookmarkEnd w:id="573"/>
      <w:bookmarkEnd w:id="574"/>
      <w:r>
        <w:rPr>
          <w:rFonts w:hint="eastAsia" w:ascii="宋体" w:hAnsi="宋体" w:cs="宋体"/>
          <w:b/>
          <w:bCs/>
          <w:color w:val="000000"/>
          <w:sz w:val="32"/>
          <w:szCs w:val="32"/>
        </w:rPr>
        <w:t>供应商认为应附的其他证明材料</w:t>
      </w:r>
      <w:bookmarkEnd w:id="575"/>
    </w:p>
    <w:p w14:paraId="444ADBDC">
      <w:pPr>
        <w:widowControl/>
        <w:jc w:val="left"/>
        <w:rPr>
          <w:rFonts w:ascii="宋体" w:hAnsi="宋体"/>
        </w:rPr>
      </w:pPr>
    </w:p>
    <w:p w14:paraId="1FF60A60">
      <w:pPr>
        <w:spacing w:line="276" w:lineRule="auto"/>
        <w:ind w:firstLine="480" w:firstLineChars="200"/>
        <w:outlineLvl w:val="1"/>
        <w:rPr>
          <w:rFonts w:ascii="宋体" w:hAnsi="宋体"/>
          <w:sz w:val="24"/>
        </w:rPr>
      </w:pPr>
    </w:p>
    <w:p w14:paraId="2ADE16A3">
      <w:pPr>
        <w:spacing w:line="276" w:lineRule="auto"/>
        <w:ind w:firstLine="480" w:firstLineChars="200"/>
        <w:outlineLvl w:val="1"/>
        <w:rPr>
          <w:rFonts w:ascii="宋体" w:hAnsi="宋体"/>
          <w:sz w:val="24"/>
        </w:rPr>
      </w:pPr>
      <w:bookmarkStart w:id="576" w:name="_Toc171014056"/>
      <w:r>
        <w:rPr>
          <w:rFonts w:hint="eastAsia" w:ascii="宋体" w:hAnsi="宋体"/>
          <w:sz w:val="24"/>
        </w:rPr>
        <w:t>如：1、评标办法中涉及到的证明材料</w:t>
      </w:r>
      <w:bookmarkEnd w:id="576"/>
    </w:p>
    <w:p w14:paraId="1FFF85CE">
      <w:pPr>
        <w:spacing w:line="276" w:lineRule="auto"/>
        <w:ind w:firstLine="960" w:firstLineChars="400"/>
        <w:outlineLvl w:val="1"/>
        <w:rPr>
          <w:rFonts w:ascii="宋体" w:hAnsi="宋体"/>
          <w:sz w:val="24"/>
        </w:rPr>
      </w:pPr>
      <w:bookmarkStart w:id="577" w:name="_Toc171014057"/>
      <w:r>
        <w:rPr>
          <w:rFonts w:hint="eastAsia" w:ascii="宋体" w:hAnsi="宋体"/>
          <w:sz w:val="24"/>
        </w:rPr>
        <w:t>2、投标承诺函</w:t>
      </w:r>
      <w:bookmarkEnd w:id="577"/>
    </w:p>
    <w:p w14:paraId="708F2CF7">
      <w:pPr>
        <w:spacing w:line="276" w:lineRule="auto"/>
        <w:ind w:firstLine="960" w:firstLineChars="400"/>
        <w:outlineLvl w:val="1"/>
        <w:rPr>
          <w:rFonts w:ascii="宋体" w:hAnsi="宋体"/>
          <w:sz w:val="24"/>
        </w:rPr>
      </w:pPr>
      <w:bookmarkStart w:id="578" w:name="_Toc171014058"/>
      <w:r>
        <w:rPr>
          <w:rFonts w:hint="eastAsia" w:ascii="宋体" w:hAnsi="宋体"/>
          <w:sz w:val="24"/>
        </w:rPr>
        <w:t>3、中小微企业声明函</w:t>
      </w:r>
      <w:bookmarkEnd w:id="578"/>
    </w:p>
    <w:p w14:paraId="11AE55B0">
      <w:pPr>
        <w:spacing w:line="480" w:lineRule="auto"/>
        <w:jc w:val="center"/>
        <w:outlineLvl w:val="1"/>
        <w:rPr>
          <w:rFonts w:ascii="宋体" w:hAnsi="宋体" w:cs="宋体"/>
          <w:b/>
          <w:bCs/>
          <w:kern w:val="10"/>
          <w:sz w:val="32"/>
          <w:szCs w:val="32"/>
        </w:rPr>
      </w:pPr>
    </w:p>
    <w:p w14:paraId="61F25F0C">
      <w:pPr>
        <w:shd w:val="clear" w:color="auto" w:fill="FFFFFF"/>
        <w:tabs>
          <w:tab w:val="right" w:pos="6077"/>
        </w:tabs>
        <w:autoSpaceDE w:val="0"/>
        <w:autoSpaceDN w:val="0"/>
        <w:spacing w:line="560" w:lineRule="exact"/>
        <w:ind w:firstLine="1260" w:firstLineChars="500"/>
        <w:rPr>
          <w:rFonts w:ascii="宋体" w:hAnsi="宋体" w:cs="宋体"/>
          <w:spacing w:val="6"/>
          <w:sz w:val="24"/>
        </w:rPr>
      </w:pPr>
    </w:p>
    <w:p w14:paraId="2BD6FF46">
      <w:pPr>
        <w:shd w:val="clear" w:color="auto" w:fill="FFFFFF"/>
        <w:tabs>
          <w:tab w:val="right" w:pos="6077"/>
        </w:tabs>
        <w:autoSpaceDE w:val="0"/>
        <w:autoSpaceDN w:val="0"/>
        <w:spacing w:line="560" w:lineRule="exact"/>
        <w:rPr>
          <w:rFonts w:ascii="宋体" w:hAnsi="宋体" w:cs="宋体"/>
          <w:sz w:val="24"/>
        </w:rPr>
      </w:pPr>
    </w:p>
    <w:p w14:paraId="287747D2">
      <w:pPr>
        <w:widowControl/>
        <w:jc w:val="left"/>
        <w:rPr>
          <w:rFonts w:ascii="宋体" w:hAnsi="宋体"/>
        </w:rPr>
      </w:pPr>
    </w:p>
    <w:p w14:paraId="44B714E1">
      <w:pPr>
        <w:widowControl/>
        <w:jc w:val="left"/>
        <w:rPr>
          <w:rFonts w:ascii="宋体" w:hAnsi="宋体"/>
        </w:rPr>
      </w:pPr>
    </w:p>
    <w:p w14:paraId="0D54A23B">
      <w:pPr>
        <w:widowControl/>
        <w:jc w:val="left"/>
        <w:rPr>
          <w:rFonts w:ascii="宋体" w:hAnsi="宋体"/>
        </w:rPr>
      </w:pPr>
    </w:p>
    <w:p w14:paraId="4E8428C7">
      <w:pPr>
        <w:widowControl/>
        <w:jc w:val="left"/>
        <w:rPr>
          <w:rFonts w:ascii="宋体" w:hAnsi="宋体"/>
        </w:rPr>
      </w:pPr>
    </w:p>
    <w:p w14:paraId="2B403EC5">
      <w:pPr>
        <w:widowControl/>
        <w:jc w:val="left"/>
        <w:rPr>
          <w:rFonts w:ascii="宋体" w:hAnsi="宋体"/>
        </w:rPr>
      </w:pPr>
    </w:p>
    <w:p w14:paraId="565C344B">
      <w:pPr>
        <w:widowControl/>
        <w:jc w:val="left"/>
        <w:rPr>
          <w:rFonts w:ascii="宋体" w:hAnsi="宋体"/>
        </w:rPr>
      </w:pPr>
    </w:p>
    <w:p w14:paraId="1F1283F2">
      <w:pPr>
        <w:widowControl/>
        <w:jc w:val="left"/>
        <w:rPr>
          <w:rFonts w:ascii="宋体" w:hAnsi="宋体"/>
        </w:rPr>
      </w:pPr>
    </w:p>
    <w:p w14:paraId="24033B55">
      <w:pPr>
        <w:widowControl/>
        <w:jc w:val="left"/>
        <w:rPr>
          <w:rFonts w:ascii="宋体" w:hAnsi="宋体"/>
        </w:rPr>
      </w:pPr>
    </w:p>
    <w:p w14:paraId="215F365B">
      <w:pPr>
        <w:widowControl/>
        <w:jc w:val="left"/>
        <w:rPr>
          <w:rFonts w:ascii="宋体" w:hAnsi="宋体"/>
        </w:rPr>
      </w:pPr>
    </w:p>
    <w:p w14:paraId="15EA06BC">
      <w:pPr>
        <w:widowControl/>
        <w:jc w:val="left"/>
        <w:rPr>
          <w:rFonts w:ascii="宋体" w:hAnsi="宋体"/>
        </w:rPr>
      </w:pPr>
    </w:p>
    <w:p w14:paraId="482D8819">
      <w:pPr>
        <w:widowControl/>
        <w:jc w:val="left"/>
        <w:rPr>
          <w:rFonts w:ascii="宋体" w:hAnsi="宋体"/>
        </w:rPr>
      </w:pPr>
    </w:p>
    <w:p w14:paraId="6D6F9DD9">
      <w:pPr>
        <w:widowControl/>
        <w:jc w:val="left"/>
        <w:rPr>
          <w:rFonts w:ascii="宋体" w:hAnsi="宋体"/>
        </w:rPr>
      </w:pPr>
    </w:p>
    <w:p w14:paraId="6FD5E1B0">
      <w:pPr>
        <w:widowControl/>
        <w:jc w:val="left"/>
        <w:rPr>
          <w:rFonts w:ascii="宋体" w:hAnsi="宋体"/>
        </w:rPr>
      </w:pPr>
    </w:p>
    <w:p w14:paraId="38292A5C">
      <w:pPr>
        <w:widowControl/>
        <w:jc w:val="left"/>
        <w:rPr>
          <w:rFonts w:ascii="宋体" w:hAnsi="宋体"/>
        </w:rPr>
      </w:pPr>
    </w:p>
    <w:p w14:paraId="60BB5A19">
      <w:pPr>
        <w:widowControl/>
        <w:jc w:val="left"/>
        <w:rPr>
          <w:rFonts w:ascii="宋体" w:hAnsi="宋体"/>
        </w:rPr>
      </w:pPr>
    </w:p>
    <w:p w14:paraId="27164CBE">
      <w:pPr>
        <w:widowControl/>
        <w:jc w:val="left"/>
        <w:rPr>
          <w:rFonts w:ascii="宋体" w:hAnsi="宋体"/>
        </w:rPr>
      </w:pPr>
    </w:p>
    <w:p w14:paraId="48A50018">
      <w:pPr>
        <w:widowControl/>
        <w:jc w:val="left"/>
        <w:rPr>
          <w:rFonts w:ascii="宋体" w:hAnsi="宋体"/>
        </w:rPr>
      </w:pPr>
    </w:p>
    <w:p w14:paraId="655C73C0">
      <w:pPr>
        <w:widowControl/>
        <w:jc w:val="left"/>
        <w:rPr>
          <w:rFonts w:ascii="宋体" w:hAnsi="宋体"/>
        </w:rPr>
      </w:pPr>
    </w:p>
    <w:p w14:paraId="3EA6CBCD">
      <w:pPr>
        <w:widowControl/>
        <w:jc w:val="left"/>
        <w:rPr>
          <w:rFonts w:ascii="宋体" w:hAnsi="宋体"/>
        </w:rPr>
      </w:pPr>
    </w:p>
    <w:p w14:paraId="25F99D92">
      <w:pPr>
        <w:widowControl/>
        <w:jc w:val="left"/>
        <w:rPr>
          <w:rFonts w:ascii="宋体" w:hAnsi="宋体"/>
        </w:rPr>
      </w:pPr>
    </w:p>
    <w:p w14:paraId="7355F321">
      <w:pPr>
        <w:widowControl/>
        <w:jc w:val="left"/>
        <w:rPr>
          <w:rFonts w:ascii="宋体" w:hAnsi="宋体"/>
        </w:rPr>
      </w:pPr>
    </w:p>
    <w:p w14:paraId="2686F670">
      <w:pPr>
        <w:widowControl/>
        <w:jc w:val="left"/>
        <w:rPr>
          <w:rFonts w:ascii="宋体" w:hAnsi="宋体"/>
        </w:rPr>
      </w:pPr>
    </w:p>
    <w:p w14:paraId="6C6D1F4E">
      <w:pPr>
        <w:widowControl/>
        <w:jc w:val="left"/>
        <w:rPr>
          <w:rFonts w:ascii="宋体" w:hAnsi="宋体"/>
        </w:rPr>
      </w:pPr>
    </w:p>
    <w:p w14:paraId="4018B007">
      <w:pPr>
        <w:widowControl/>
        <w:jc w:val="left"/>
        <w:rPr>
          <w:rFonts w:ascii="宋体" w:hAnsi="宋体"/>
        </w:rPr>
      </w:pPr>
    </w:p>
    <w:p w14:paraId="25277EE0">
      <w:pPr>
        <w:widowControl/>
        <w:jc w:val="left"/>
        <w:rPr>
          <w:rFonts w:ascii="宋体" w:hAnsi="宋体"/>
        </w:rPr>
      </w:pPr>
    </w:p>
    <w:p w14:paraId="51930A4F">
      <w:pPr>
        <w:widowControl/>
        <w:jc w:val="left"/>
        <w:rPr>
          <w:rFonts w:ascii="宋体" w:hAnsi="宋体"/>
        </w:rPr>
      </w:pPr>
    </w:p>
    <w:p w14:paraId="3CBABFB1">
      <w:pPr>
        <w:widowControl/>
        <w:jc w:val="left"/>
        <w:rPr>
          <w:rFonts w:ascii="宋体" w:hAnsi="宋体"/>
        </w:rPr>
      </w:pPr>
    </w:p>
    <w:p w14:paraId="6E6D7426">
      <w:pPr>
        <w:widowControl/>
        <w:jc w:val="left"/>
        <w:rPr>
          <w:rFonts w:ascii="宋体" w:hAnsi="宋体"/>
        </w:rPr>
      </w:pPr>
    </w:p>
    <w:p w14:paraId="5498529A">
      <w:pPr>
        <w:keepNext/>
        <w:keepLines/>
        <w:widowControl/>
        <w:tabs>
          <w:tab w:val="left" w:pos="1548"/>
        </w:tabs>
        <w:spacing w:after="454" w:line="415" w:lineRule="auto"/>
        <w:ind w:left="10" w:right="245" w:hanging="10"/>
        <w:jc w:val="left"/>
        <w:outlineLvl w:val="1"/>
        <w:rPr>
          <w:rFonts w:ascii="宋体" w:hAnsi="宋体" w:cs="宋体"/>
          <w:sz w:val="30"/>
          <w:szCs w:val="30"/>
        </w:rPr>
      </w:pPr>
      <w:bookmarkStart w:id="579" w:name="_Toc70350663"/>
      <w:bookmarkStart w:id="580" w:name="_Toc171014059"/>
      <w:r>
        <w:rPr>
          <w:rFonts w:hint="eastAsia" w:ascii="宋体" w:hAnsi="宋体" w:cs="宋体"/>
          <w:sz w:val="30"/>
          <w:szCs w:val="30"/>
        </w:rPr>
        <w:t>投标承诺函</w:t>
      </w:r>
      <w:bookmarkEnd w:id="579"/>
      <w:bookmarkEnd w:id="580"/>
    </w:p>
    <w:p w14:paraId="6A289B99">
      <w:pPr>
        <w:spacing w:line="480" w:lineRule="exact"/>
        <w:ind w:firstLine="480" w:firstLineChars="200"/>
        <w:outlineLvl w:val="1"/>
        <w:rPr>
          <w:rFonts w:ascii="宋体" w:hAnsi="宋体"/>
          <w:sz w:val="24"/>
        </w:rPr>
      </w:pPr>
      <w:bookmarkStart w:id="581" w:name="_Toc171014060"/>
      <w:bookmarkStart w:id="582" w:name="_Toc70350664"/>
      <w:bookmarkStart w:id="583" w:name="_Toc50194491"/>
      <w:r>
        <w:rPr>
          <w:rFonts w:hint="eastAsia" w:ascii="宋体" w:hAnsi="宋体"/>
          <w:sz w:val="24"/>
        </w:rPr>
        <w:t>致（采购人及采购代理机构）：</w:t>
      </w:r>
      <w:bookmarkEnd w:id="581"/>
      <w:bookmarkEnd w:id="582"/>
      <w:bookmarkEnd w:id="583"/>
    </w:p>
    <w:p w14:paraId="3E3071FE">
      <w:pPr>
        <w:spacing w:line="480" w:lineRule="exact"/>
        <w:ind w:firstLine="480" w:firstLineChars="200"/>
        <w:outlineLvl w:val="1"/>
        <w:rPr>
          <w:rFonts w:ascii="宋体" w:hAnsi="宋体"/>
          <w:sz w:val="24"/>
        </w:rPr>
      </w:pPr>
      <w:bookmarkStart w:id="584" w:name="_Toc50194492"/>
      <w:bookmarkStart w:id="585" w:name="_Toc171014061"/>
      <w:bookmarkStart w:id="586" w:name="_Toc70350665"/>
      <w:r>
        <w:rPr>
          <w:rFonts w:hint="eastAsia" w:ascii="宋体" w:hAnsi="宋体"/>
          <w:sz w:val="24"/>
        </w:rPr>
        <w:t>我公司作为本次采购项目的投标人，根据招标文件要求，现郑重承诺如下：</w:t>
      </w:r>
      <w:bookmarkEnd w:id="584"/>
      <w:bookmarkEnd w:id="585"/>
      <w:bookmarkEnd w:id="586"/>
    </w:p>
    <w:p w14:paraId="4D8E9FA9">
      <w:pPr>
        <w:spacing w:line="480" w:lineRule="exact"/>
        <w:ind w:firstLine="480" w:firstLineChars="200"/>
        <w:outlineLvl w:val="1"/>
        <w:rPr>
          <w:rFonts w:ascii="宋体" w:hAnsi="宋体"/>
          <w:sz w:val="24"/>
        </w:rPr>
      </w:pPr>
      <w:bookmarkStart w:id="587" w:name="_Toc70350666"/>
      <w:bookmarkStart w:id="588" w:name="_Toc171014062"/>
      <w:bookmarkStart w:id="589" w:name="_Toc50194493"/>
      <w:r>
        <w:rPr>
          <w:rFonts w:hint="eastAsia" w:ascii="宋体" w:hAnsi="宋体"/>
          <w:sz w:val="24"/>
        </w:rPr>
        <w:t>一、具备《中华人民共和国政府采购法》第二十二条第一款和本项目规定的条件：</w:t>
      </w:r>
      <w:bookmarkEnd w:id="587"/>
      <w:bookmarkEnd w:id="588"/>
      <w:bookmarkEnd w:id="589"/>
    </w:p>
    <w:p w14:paraId="5CA2727B">
      <w:pPr>
        <w:spacing w:line="480" w:lineRule="exact"/>
        <w:ind w:firstLine="480" w:firstLineChars="200"/>
        <w:outlineLvl w:val="1"/>
        <w:rPr>
          <w:rFonts w:ascii="宋体" w:hAnsi="宋体"/>
          <w:sz w:val="24"/>
        </w:rPr>
      </w:pPr>
      <w:bookmarkStart w:id="590" w:name="_Toc70350667"/>
      <w:bookmarkStart w:id="591" w:name="_Toc171014063"/>
      <w:bookmarkStart w:id="592" w:name="_Toc50194494"/>
      <w:r>
        <w:rPr>
          <w:rFonts w:hint="eastAsia" w:ascii="宋体" w:hAnsi="宋体"/>
          <w:sz w:val="24"/>
        </w:rPr>
        <w:t>（一）具有独立承担民事责任的能力；</w:t>
      </w:r>
      <w:bookmarkEnd w:id="590"/>
      <w:bookmarkEnd w:id="591"/>
      <w:bookmarkEnd w:id="592"/>
      <w:r>
        <w:rPr>
          <w:rFonts w:hint="eastAsia" w:ascii="宋体" w:hAnsi="宋体"/>
          <w:sz w:val="24"/>
        </w:rPr>
        <w:t> 　　</w:t>
      </w:r>
    </w:p>
    <w:p w14:paraId="041EFB30">
      <w:pPr>
        <w:spacing w:line="480" w:lineRule="exact"/>
        <w:ind w:firstLine="480" w:firstLineChars="200"/>
        <w:outlineLvl w:val="1"/>
        <w:rPr>
          <w:rFonts w:ascii="宋体" w:hAnsi="宋体"/>
          <w:sz w:val="24"/>
        </w:rPr>
      </w:pPr>
      <w:bookmarkStart w:id="593" w:name="_Toc171014064"/>
      <w:bookmarkStart w:id="594" w:name="_Toc50194495"/>
      <w:bookmarkStart w:id="595" w:name="_Toc70350668"/>
      <w:r>
        <w:rPr>
          <w:rFonts w:hint="eastAsia" w:ascii="宋体" w:hAnsi="宋体"/>
          <w:sz w:val="24"/>
        </w:rPr>
        <w:t>（二）具有良好的商业信誉和健全的财务会计制度；</w:t>
      </w:r>
      <w:bookmarkEnd w:id="593"/>
      <w:bookmarkEnd w:id="594"/>
      <w:bookmarkEnd w:id="595"/>
      <w:r>
        <w:rPr>
          <w:rFonts w:hint="eastAsia" w:ascii="宋体" w:hAnsi="宋体"/>
          <w:sz w:val="24"/>
        </w:rPr>
        <w:t> 　</w:t>
      </w:r>
    </w:p>
    <w:p w14:paraId="16B3A610">
      <w:pPr>
        <w:spacing w:line="480" w:lineRule="exact"/>
        <w:ind w:firstLine="480" w:firstLineChars="200"/>
        <w:outlineLvl w:val="1"/>
        <w:rPr>
          <w:rFonts w:ascii="宋体" w:hAnsi="宋体"/>
          <w:sz w:val="24"/>
        </w:rPr>
      </w:pPr>
      <w:bookmarkStart w:id="596" w:name="_Toc70350669"/>
      <w:bookmarkStart w:id="597" w:name="_Toc50194496"/>
      <w:bookmarkStart w:id="598" w:name="_Toc171014065"/>
      <w:r>
        <w:rPr>
          <w:rFonts w:hint="eastAsia" w:ascii="宋体" w:hAnsi="宋体"/>
          <w:sz w:val="24"/>
        </w:rPr>
        <w:t>（三）具有履行合同所必需的设备和专业技术能力；</w:t>
      </w:r>
      <w:bookmarkEnd w:id="596"/>
      <w:bookmarkEnd w:id="597"/>
      <w:bookmarkEnd w:id="598"/>
      <w:r>
        <w:rPr>
          <w:rFonts w:hint="eastAsia" w:ascii="宋体" w:hAnsi="宋体"/>
          <w:sz w:val="24"/>
        </w:rPr>
        <w:t> 　　</w:t>
      </w:r>
    </w:p>
    <w:p w14:paraId="5BD006DB">
      <w:pPr>
        <w:spacing w:line="480" w:lineRule="exact"/>
        <w:ind w:firstLine="480" w:firstLineChars="200"/>
        <w:outlineLvl w:val="1"/>
        <w:rPr>
          <w:rFonts w:ascii="宋体" w:hAnsi="宋体"/>
          <w:sz w:val="24"/>
        </w:rPr>
      </w:pPr>
      <w:bookmarkStart w:id="599" w:name="_Toc171014066"/>
      <w:bookmarkStart w:id="600" w:name="_Toc70350670"/>
      <w:bookmarkStart w:id="601" w:name="_Toc50194497"/>
      <w:r>
        <w:rPr>
          <w:rFonts w:hint="eastAsia" w:ascii="宋体" w:hAnsi="宋体"/>
          <w:sz w:val="24"/>
        </w:rPr>
        <w:t>（四）有依法缴纳税收和社会保障资金的良好记录；</w:t>
      </w:r>
      <w:bookmarkEnd w:id="599"/>
      <w:bookmarkEnd w:id="600"/>
      <w:bookmarkEnd w:id="601"/>
      <w:r>
        <w:rPr>
          <w:rFonts w:hint="eastAsia" w:ascii="宋体" w:hAnsi="宋体"/>
          <w:sz w:val="24"/>
        </w:rPr>
        <w:t> 　　</w:t>
      </w:r>
    </w:p>
    <w:p w14:paraId="0C3591FC">
      <w:pPr>
        <w:spacing w:line="480" w:lineRule="exact"/>
        <w:ind w:firstLine="480" w:firstLineChars="200"/>
        <w:outlineLvl w:val="1"/>
        <w:rPr>
          <w:rFonts w:ascii="宋体" w:hAnsi="宋体"/>
          <w:sz w:val="24"/>
        </w:rPr>
      </w:pPr>
      <w:bookmarkStart w:id="602" w:name="_Toc50194498"/>
      <w:bookmarkStart w:id="603" w:name="_Toc171014067"/>
      <w:bookmarkStart w:id="604" w:name="_Toc70350671"/>
      <w:r>
        <w:rPr>
          <w:rFonts w:hint="eastAsia" w:ascii="宋体" w:hAnsi="宋体"/>
          <w:sz w:val="24"/>
        </w:rPr>
        <w:t>（五）参加政府采购活动前三年内，在经营活动中没有重大违法记录；</w:t>
      </w:r>
      <w:bookmarkEnd w:id="602"/>
      <w:bookmarkEnd w:id="603"/>
      <w:bookmarkEnd w:id="604"/>
    </w:p>
    <w:p w14:paraId="1A17F81B">
      <w:pPr>
        <w:spacing w:line="480" w:lineRule="exact"/>
        <w:ind w:firstLine="480" w:firstLineChars="200"/>
        <w:outlineLvl w:val="1"/>
        <w:rPr>
          <w:rFonts w:ascii="宋体" w:hAnsi="宋体"/>
          <w:sz w:val="24"/>
        </w:rPr>
      </w:pPr>
      <w:bookmarkStart w:id="605" w:name="_Toc171014068"/>
      <w:bookmarkStart w:id="606" w:name="_Toc70350672"/>
      <w:bookmarkStart w:id="607" w:name="_Toc50194499"/>
      <w:r>
        <w:rPr>
          <w:rFonts w:hint="eastAsia" w:ascii="宋体" w:hAnsi="宋体"/>
          <w:sz w:val="24"/>
        </w:rPr>
        <w:t>（六）法律、行政法规规定的其他条件；</w:t>
      </w:r>
      <w:bookmarkEnd w:id="605"/>
      <w:bookmarkEnd w:id="606"/>
      <w:bookmarkEnd w:id="607"/>
    </w:p>
    <w:p w14:paraId="41B84E45">
      <w:pPr>
        <w:spacing w:line="480" w:lineRule="exact"/>
        <w:ind w:firstLine="480" w:firstLineChars="200"/>
        <w:outlineLvl w:val="1"/>
        <w:rPr>
          <w:rFonts w:ascii="宋体" w:hAnsi="宋体"/>
          <w:sz w:val="24"/>
        </w:rPr>
      </w:pPr>
      <w:bookmarkStart w:id="608" w:name="_Toc70350673"/>
      <w:bookmarkStart w:id="609" w:name="_Toc171014069"/>
      <w:bookmarkStart w:id="610" w:name="_Toc50194500"/>
      <w:r>
        <w:rPr>
          <w:rFonts w:hint="eastAsia" w:ascii="宋体" w:hAnsi="宋体"/>
          <w:sz w:val="24"/>
        </w:rPr>
        <w:t>（七）根据采购项目提出的特殊条件。</w:t>
      </w:r>
      <w:bookmarkEnd w:id="608"/>
      <w:bookmarkEnd w:id="609"/>
      <w:bookmarkEnd w:id="610"/>
    </w:p>
    <w:p w14:paraId="2B3C94F8">
      <w:pPr>
        <w:spacing w:line="480" w:lineRule="exact"/>
        <w:ind w:firstLine="480" w:firstLineChars="200"/>
        <w:outlineLvl w:val="1"/>
        <w:rPr>
          <w:rFonts w:ascii="宋体" w:hAnsi="宋体"/>
          <w:sz w:val="24"/>
        </w:rPr>
      </w:pPr>
      <w:bookmarkStart w:id="611" w:name="_Toc50194501"/>
      <w:bookmarkStart w:id="612" w:name="_Toc171014070"/>
      <w:bookmarkStart w:id="613" w:name="_Toc70350674"/>
      <w:r>
        <w:rPr>
          <w:rFonts w:hint="eastAsia" w:ascii="宋体" w:hAnsi="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bookmarkEnd w:id="611"/>
      <w:bookmarkEnd w:id="612"/>
      <w:bookmarkEnd w:id="613"/>
    </w:p>
    <w:p w14:paraId="2970A57D">
      <w:pPr>
        <w:spacing w:line="480" w:lineRule="exact"/>
        <w:ind w:firstLine="480" w:firstLineChars="200"/>
        <w:outlineLvl w:val="1"/>
        <w:rPr>
          <w:rFonts w:ascii="宋体" w:hAnsi="宋体"/>
          <w:sz w:val="24"/>
        </w:rPr>
      </w:pPr>
      <w:bookmarkStart w:id="614" w:name="_Toc171014071"/>
      <w:bookmarkStart w:id="615" w:name="_Toc50194502"/>
      <w:bookmarkStart w:id="616" w:name="_Toc70350675"/>
      <w:r>
        <w:rPr>
          <w:rFonts w:hint="eastAsia" w:ascii="宋体" w:hAnsi="宋体"/>
          <w:sz w:val="24"/>
        </w:rPr>
        <w:t>三、参加本次招标采购活动，不存在与单位负责人为同一人或者存在直接控股、管理关系的其他供应商参与同一合同项下的政府采购活动的行为。</w:t>
      </w:r>
      <w:bookmarkEnd w:id="614"/>
      <w:bookmarkEnd w:id="615"/>
      <w:bookmarkEnd w:id="616"/>
      <w:r>
        <w:rPr>
          <w:rFonts w:hint="eastAsia" w:ascii="宋体" w:hAnsi="宋体"/>
          <w:sz w:val="24"/>
        </w:rPr>
        <w:t>    </w:t>
      </w:r>
    </w:p>
    <w:p w14:paraId="6B0AE6FF">
      <w:pPr>
        <w:spacing w:line="480" w:lineRule="exact"/>
        <w:ind w:firstLine="480" w:firstLineChars="200"/>
        <w:outlineLvl w:val="1"/>
        <w:rPr>
          <w:rFonts w:ascii="宋体" w:hAnsi="宋体"/>
          <w:sz w:val="24"/>
        </w:rPr>
      </w:pPr>
      <w:bookmarkStart w:id="617" w:name="_Toc70350676"/>
      <w:bookmarkStart w:id="618" w:name="_Toc171014072"/>
      <w:bookmarkStart w:id="619" w:name="_Toc50194503"/>
      <w:r>
        <w:rPr>
          <w:rFonts w:hint="eastAsia" w:ascii="宋体" w:hAnsi="宋体"/>
          <w:sz w:val="24"/>
        </w:rPr>
        <w:t>四、参加本次招标采购活动，不存在为采购项目提供整体设计、规范编制或者项目管理、监理、检测等服务的行为。</w:t>
      </w:r>
      <w:bookmarkEnd w:id="617"/>
      <w:bookmarkEnd w:id="618"/>
      <w:bookmarkEnd w:id="619"/>
    </w:p>
    <w:p w14:paraId="033F3F08">
      <w:pPr>
        <w:spacing w:line="480" w:lineRule="exact"/>
        <w:ind w:firstLine="480" w:firstLineChars="200"/>
        <w:outlineLvl w:val="1"/>
        <w:rPr>
          <w:rFonts w:ascii="宋体" w:hAnsi="宋体"/>
          <w:sz w:val="24"/>
        </w:rPr>
      </w:pPr>
      <w:bookmarkStart w:id="620" w:name="_Toc70350677"/>
      <w:bookmarkStart w:id="621" w:name="_Toc50194504"/>
      <w:bookmarkStart w:id="622" w:name="_Toc171014073"/>
      <w:r>
        <w:rPr>
          <w:rFonts w:hint="eastAsia" w:ascii="宋体" w:hAnsi="宋体"/>
          <w:sz w:val="24"/>
        </w:rPr>
        <w:t>五、参加本次招标采购活动，不存在和其他供应商在同一合同项下的采购项目中，同时委托同一个自然人、同一家庭的人员、同一单位的人员作为代理人的行为。</w:t>
      </w:r>
      <w:bookmarkEnd w:id="620"/>
      <w:bookmarkEnd w:id="621"/>
      <w:bookmarkEnd w:id="622"/>
    </w:p>
    <w:p w14:paraId="21CAD3E3">
      <w:pPr>
        <w:spacing w:line="480" w:lineRule="exact"/>
        <w:ind w:firstLine="480" w:firstLineChars="200"/>
        <w:outlineLvl w:val="1"/>
        <w:rPr>
          <w:rFonts w:ascii="宋体" w:hAnsi="宋体"/>
          <w:sz w:val="24"/>
        </w:rPr>
      </w:pPr>
      <w:bookmarkStart w:id="623" w:name="_Toc50194505"/>
      <w:bookmarkStart w:id="624" w:name="_Toc70350678"/>
      <w:bookmarkStart w:id="625" w:name="_Toc171014074"/>
      <w:r>
        <w:rPr>
          <w:rFonts w:hint="eastAsia" w:ascii="宋体" w:hAnsi="宋体"/>
          <w:sz w:val="24"/>
        </w:rPr>
        <w:t>六、投标人参加本次政府采购活动要求在近三年内投标人和其法定代表人没有行贿犯罪行为。</w:t>
      </w:r>
      <w:bookmarkEnd w:id="623"/>
      <w:bookmarkEnd w:id="624"/>
      <w:bookmarkEnd w:id="625"/>
    </w:p>
    <w:p w14:paraId="7E997907">
      <w:pPr>
        <w:spacing w:line="480" w:lineRule="exact"/>
        <w:ind w:firstLine="480" w:firstLineChars="200"/>
        <w:outlineLvl w:val="1"/>
        <w:rPr>
          <w:rFonts w:ascii="宋体" w:hAnsi="宋体"/>
          <w:sz w:val="24"/>
        </w:rPr>
      </w:pPr>
      <w:bookmarkStart w:id="626" w:name="_Toc70350679"/>
      <w:bookmarkStart w:id="627" w:name="_Toc171014075"/>
      <w:bookmarkStart w:id="628" w:name="_Toc50194506"/>
      <w:r>
        <w:rPr>
          <w:rFonts w:hint="eastAsia" w:ascii="宋体" w:hAnsi="宋体"/>
          <w:sz w:val="24"/>
        </w:rPr>
        <w:t>七、参加本次招标采购活动，不存在联合体投标。</w:t>
      </w:r>
      <w:bookmarkEnd w:id="626"/>
      <w:bookmarkEnd w:id="627"/>
      <w:bookmarkEnd w:id="628"/>
    </w:p>
    <w:p w14:paraId="16EBCD6F">
      <w:pPr>
        <w:spacing w:line="480" w:lineRule="exact"/>
        <w:ind w:firstLine="480" w:firstLineChars="200"/>
        <w:outlineLvl w:val="1"/>
        <w:rPr>
          <w:rFonts w:ascii="宋体" w:hAnsi="宋体"/>
          <w:sz w:val="24"/>
        </w:rPr>
      </w:pPr>
      <w:bookmarkStart w:id="629" w:name="_Toc50194507"/>
      <w:bookmarkStart w:id="630" w:name="_Toc171014076"/>
      <w:bookmarkStart w:id="631" w:name="_Toc70350680"/>
      <w:r>
        <w:rPr>
          <w:rFonts w:hint="eastAsia" w:ascii="宋体" w:hAnsi="宋体"/>
          <w:sz w:val="24"/>
        </w:rPr>
        <w:t>八、投标文件中提供的能够给予我公司带来优惠、好处的任何材料资料和技术、服务、商务等响应承诺情况都是真实的、有效的、合法的。</w:t>
      </w:r>
      <w:bookmarkEnd w:id="629"/>
      <w:bookmarkEnd w:id="630"/>
      <w:bookmarkEnd w:id="631"/>
    </w:p>
    <w:p w14:paraId="35F813F1">
      <w:pPr>
        <w:spacing w:line="480" w:lineRule="exact"/>
        <w:ind w:firstLine="480" w:firstLineChars="200"/>
        <w:outlineLvl w:val="1"/>
        <w:rPr>
          <w:rFonts w:ascii="宋体" w:hAnsi="宋体"/>
          <w:sz w:val="24"/>
        </w:rPr>
      </w:pPr>
      <w:r>
        <w:rPr>
          <w:rFonts w:hint="eastAsia" w:ascii="宋体" w:hAnsi="宋体"/>
          <w:sz w:val="24"/>
        </w:rPr>
        <w:t xml:space="preserve">    </w:t>
      </w:r>
      <w:bookmarkStart w:id="632" w:name="_Toc50194508"/>
      <w:bookmarkStart w:id="633" w:name="_Toc171014077"/>
      <w:bookmarkStart w:id="634" w:name="_Toc70350681"/>
      <w:r>
        <w:rPr>
          <w:rFonts w:hint="eastAsia" w:ascii="宋体" w:hAnsi="宋体"/>
          <w:sz w:val="24"/>
        </w:rPr>
        <w:t>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bookmarkEnd w:id="632"/>
      <w:bookmarkEnd w:id="633"/>
      <w:bookmarkEnd w:id="634"/>
      <w:r>
        <w:rPr>
          <w:rFonts w:hint="eastAsia" w:ascii="宋体" w:hAnsi="宋体"/>
          <w:sz w:val="24"/>
        </w:rPr>
        <w:t>    </w:t>
      </w:r>
    </w:p>
    <w:p w14:paraId="4FC3B11A">
      <w:pPr>
        <w:spacing w:line="480" w:lineRule="exact"/>
        <w:ind w:firstLine="480" w:firstLineChars="200"/>
        <w:outlineLvl w:val="1"/>
        <w:rPr>
          <w:rFonts w:ascii="宋体" w:hAnsi="宋体"/>
          <w:sz w:val="24"/>
        </w:rPr>
      </w:pPr>
      <w:r>
        <w:rPr>
          <w:rFonts w:hint="eastAsia" w:ascii="宋体" w:hAnsi="宋体"/>
          <w:sz w:val="24"/>
        </w:rPr>
        <w:t xml:space="preserve">    </w:t>
      </w:r>
      <w:bookmarkStart w:id="635" w:name="_Toc171014078"/>
      <w:bookmarkStart w:id="636" w:name="_Toc50194509"/>
      <w:bookmarkStart w:id="637" w:name="_Toc70350682"/>
      <w:r>
        <w:rPr>
          <w:rFonts w:hint="eastAsia" w:ascii="宋体" w:hAnsi="宋体"/>
          <w:sz w:val="24"/>
        </w:rPr>
        <w:t>十、存在以下行为之一的愿意接受相关部门的处理：</w:t>
      </w:r>
      <w:bookmarkEnd w:id="635"/>
      <w:bookmarkEnd w:id="636"/>
      <w:bookmarkEnd w:id="637"/>
    </w:p>
    <w:p w14:paraId="0F9078EC">
      <w:pPr>
        <w:spacing w:line="480" w:lineRule="exact"/>
        <w:ind w:firstLine="480" w:firstLineChars="200"/>
        <w:outlineLvl w:val="1"/>
        <w:rPr>
          <w:rFonts w:ascii="宋体" w:hAnsi="宋体"/>
          <w:sz w:val="24"/>
        </w:rPr>
      </w:pPr>
      <w:r>
        <w:rPr>
          <w:rFonts w:hint="eastAsia" w:ascii="宋体" w:hAnsi="宋体"/>
          <w:sz w:val="24"/>
        </w:rPr>
        <w:t>   </w:t>
      </w:r>
      <w:bookmarkStart w:id="638" w:name="_Toc171014079"/>
      <w:bookmarkStart w:id="639" w:name="_Toc50194510"/>
      <w:bookmarkStart w:id="640" w:name="_Toc70350683"/>
      <w:r>
        <w:rPr>
          <w:rFonts w:hint="eastAsia" w:ascii="宋体" w:hAnsi="宋体"/>
          <w:sz w:val="24"/>
        </w:rPr>
        <w:t>（一）投标有效期内撤销投标文件的；</w:t>
      </w:r>
      <w:bookmarkEnd w:id="638"/>
      <w:bookmarkEnd w:id="639"/>
      <w:bookmarkEnd w:id="640"/>
    </w:p>
    <w:p w14:paraId="600A836C">
      <w:pPr>
        <w:spacing w:line="480" w:lineRule="exact"/>
        <w:ind w:firstLine="480" w:firstLineChars="200"/>
        <w:outlineLvl w:val="1"/>
        <w:rPr>
          <w:rFonts w:ascii="宋体" w:hAnsi="宋体"/>
          <w:sz w:val="24"/>
        </w:rPr>
      </w:pPr>
      <w:r>
        <w:rPr>
          <w:rFonts w:hint="eastAsia" w:ascii="宋体" w:hAnsi="宋体"/>
          <w:sz w:val="24"/>
        </w:rPr>
        <w:t>   </w:t>
      </w:r>
      <w:bookmarkStart w:id="641" w:name="_Toc50194511"/>
      <w:bookmarkStart w:id="642" w:name="_Toc171014080"/>
      <w:bookmarkStart w:id="643" w:name="_Toc70350684"/>
      <w:r>
        <w:rPr>
          <w:rFonts w:hint="eastAsia" w:ascii="宋体" w:hAnsi="宋体"/>
          <w:sz w:val="24"/>
        </w:rPr>
        <w:t>（二）在采购人确定中标人以前放弃中标候选资格的；</w:t>
      </w:r>
      <w:bookmarkEnd w:id="641"/>
      <w:bookmarkEnd w:id="642"/>
      <w:bookmarkEnd w:id="643"/>
    </w:p>
    <w:p w14:paraId="5AC8CBD0">
      <w:pPr>
        <w:spacing w:line="480" w:lineRule="exact"/>
        <w:ind w:firstLine="480" w:firstLineChars="200"/>
        <w:outlineLvl w:val="1"/>
        <w:rPr>
          <w:rFonts w:ascii="宋体" w:hAnsi="宋体"/>
          <w:sz w:val="24"/>
        </w:rPr>
      </w:pPr>
      <w:r>
        <w:rPr>
          <w:rFonts w:hint="eastAsia" w:ascii="宋体" w:hAnsi="宋体"/>
          <w:sz w:val="24"/>
        </w:rPr>
        <w:t>   </w:t>
      </w:r>
      <w:bookmarkStart w:id="644" w:name="_Toc50194512"/>
      <w:bookmarkStart w:id="645" w:name="_Toc171014081"/>
      <w:bookmarkStart w:id="646" w:name="_Toc70350685"/>
      <w:r>
        <w:rPr>
          <w:rFonts w:hint="eastAsia" w:ascii="宋体" w:hAnsi="宋体"/>
          <w:sz w:val="24"/>
        </w:rPr>
        <w:t>（三）由于中标人的原因未能按照招标文件的规定与采购人签订合同；</w:t>
      </w:r>
      <w:bookmarkEnd w:id="644"/>
      <w:bookmarkEnd w:id="645"/>
      <w:bookmarkEnd w:id="646"/>
    </w:p>
    <w:p w14:paraId="4B290CD7">
      <w:pPr>
        <w:spacing w:line="480" w:lineRule="exact"/>
        <w:ind w:firstLine="480" w:firstLineChars="200"/>
        <w:outlineLvl w:val="1"/>
        <w:rPr>
          <w:rFonts w:ascii="宋体" w:hAnsi="宋体"/>
          <w:sz w:val="24"/>
        </w:rPr>
      </w:pPr>
      <w:r>
        <w:rPr>
          <w:rFonts w:hint="eastAsia" w:ascii="宋体" w:hAnsi="宋体"/>
          <w:sz w:val="24"/>
        </w:rPr>
        <w:t> </w:t>
      </w:r>
      <w:bookmarkStart w:id="647" w:name="_Toc50194514"/>
      <w:bookmarkStart w:id="648" w:name="_Toc70350687"/>
      <w:r>
        <w:rPr>
          <w:rFonts w:hint="eastAsia" w:ascii="宋体" w:hAnsi="宋体"/>
          <w:sz w:val="24"/>
        </w:rPr>
        <w:t xml:space="preserve">  </w:t>
      </w:r>
      <w:bookmarkStart w:id="649" w:name="_Toc171014082"/>
      <w:r>
        <w:rPr>
          <w:rFonts w:hint="eastAsia" w:ascii="宋体" w:hAnsi="宋体"/>
          <w:sz w:val="24"/>
        </w:rPr>
        <w:t>（四）在投标文件中提供虚假材料谋取中标；</w:t>
      </w:r>
      <w:bookmarkEnd w:id="647"/>
      <w:bookmarkEnd w:id="648"/>
      <w:bookmarkEnd w:id="649"/>
    </w:p>
    <w:p w14:paraId="349695D6">
      <w:pPr>
        <w:spacing w:line="480" w:lineRule="exact"/>
        <w:ind w:firstLine="480" w:firstLineChars="200"/>
        <w:outlineLvl w:val="1"/>
        <w:rPr>
          <w:rFonts w:ascii="宋体" w:hAnsi="宋体"/>
          <w:sz w:val="24"/>
        </w:rPr>
      </w:pPr>
      <w:r>
        <w:rPr>
          <w:rFonts w:hint="eastAsia" w:ascii="宋体" w:hAnsi="宋体"/>
          <w:sz w:val="24"/>
        </w:rPr>
        <w:t>   </w:t>
      </w:r>
      <w:bookmarkStart w:id="650" w:name="_Toc171014083"/>
      <w:bookmarkStart w:id="651" w:name="_Toc70350688"/>
      <w:bookmarkStart w:id="652" w:name="_Toc50194515"/>
      <w:r>
        <w:rPr>
          <w:rFonts w:hint="eastAsia" w:ascii="宋体" w:hAnsi="宋体"/>
          <w:sz w:val="24"/>
        </w:rPr>
        <w:t>（五）与采购人、其他供应商或者采购代理机构恶意串通的；</w:t>
      </w:r>
      <w:bookmarkEnd w:id="650"/>
      <w:bookmarkEnd w:id="651"/>
      <w:bookmarkEnd w:id="652"/>
    </w:p>
    <w:p w14:paraId="5336001A">
      <w:pPr>
        <w:spacing w:line="480" w:lineRule="exact"/>
        <w:ind w:firstLine="480" w:firstLineChars="200"/>
        <w:outlineLvl w:val="1"/>
        <w:rPr>
          <w:rFonts w:ascii="宋体" w:hAnsi="宋体"/>
          <w:sz w:val="24"/>
        </w:rPr>
      </w:pPr>
      <w:r>
        <w:rPr>
          <w:rFonts w:hint="eastAsia" w:ascii="宋体" w:hAnsi="宋体"/>
          <w:sz w:val="24"/>
        </w:rPr>
        <w:t>   </w:t>
      </w:r>
      <w:bookmarkStart w:id="653" w:name="_Toc50194516"/>
      <w:bookmarkStart w:id="654" w:name="_Toc70350689"/>
      <w:bookmarkStart w:id="655" w:name="_Toc171014084"/>
      <w:r>
        <w:rPr>
          <w:rFonts w:hint="eastAsia" w:ascii="宋体" w:hAnsi="宋体"/>
          <w:sz w:val="24"/>
        </w:rPr>
        <w:t>（六）投标有效期内，投标人在政府采购活动中有违法、违规、违纪行为。</w:t>
      </w:r>
      <w:bookmarkEnd w:id="653"/>
      <w:bookmarkEnd w:id="654"/>
      <w:bookmarkEnd w:id="655"/>
    </w:p>
    <w:p w14:paraId="4BD192F7">
      <w:pPr>
        <w:spacing w:line="480" w:lineRule="exact"/>
        <w:ind w:firstLine="480" w:firstLineChars="200"/>
        <w:outlineLvl w:val="1"/>
        <w:rPr>
          <w:rFonts w:ascii="宋体" w:hAnsi="宋体"/>
          <w:sz w:val="24"/>
        </w:rPr>
      </w:pPr>
      <w:r>
        <w:rPr>
          <w:rFonts w:hint="eastAsia" w:ascii="宋体" w:hAnsi="宋体"/>
          <w:sz w:val="24"/>
        </w:rPr>
        <w:t> </w:t>
      </w:r>
      <w:bookmarkStart w:id="656" w:name="_Toc70350690"/>
      <w:bookmarkStart w:id="657" w:name="_Toc50194517"/>
      <w:bookmarkStart w:id="658" w:name="_Toc171014085"/>
      <w:r>
        <w:rPr>
          <w:rFonts w:hint="eastAsia" w:ascii="宋体" w:hAnsi="宋体"/>
          <w:sz w:val="24"/>
        </w:rPr>
        <w:t>由此产生的一切法律后果和责任由我公司承担。我公司声明放弃对此提出任何异议和追索的权利。</w:t>
      </w:r>
      <w:bookmarkEnd w:id="656"/>
      <w:bookmarkEnd w:id="657"/>
      <w:bookmarkEnd w:id="658"/>
    </w:p>
    <w:p w14:paraId="0A1E3AEC">
      <w:pPr>
        <w:spacing w:line="480" w:lineRule="exact"/>
        <w:ind w:firstLine="480" w:firstLineChars="200"/>
        <w:outlineLvl w:val="1"/>
        <w:rPr>
          <w:rFonts w:ascii="宋体" w:hAnsi="宋体"/>
          <w:sz w:val="24"/>
        </w:rPr>
      </w:pPr>
      <w:bookmarkStart w:id="659" w:name="_Toc171014086"/>
      <w:bookmarkStart w:id="660" w:name="_Toc70350691"/>
      <w:bookmarkStart w:id="661" w:name="_Toc50194518"/>
      <w:r>
        <w:rPr>
          <w:rFonts w:hint="eastAsia" w:ascii="宋体" w:hAnsi="宋体"/>
          <w:sz w:val="24"/>
        </w:rPr>
        <w:t>本公司对上述承诺的内容事项真实性负责。如经查实上述承诺的内容事项存在虚假，我公司愿意接受以提供虚假材料谋取中标追究法律责任。</w:t>
      </w:r>
      <w:bookmarkEnd w:id="659"/>
      <w:bookmarkEnd w:id="660"/>
      <w:bookmarkEnd w:id="661"/>
    </w:p>
    <w:p w14:paraId="48A6FA49">
      <w:pPr>
        <w:widowControl/>
        <w:jc w:val="left"/>
        <w:rPr>
          <w:rFonts w:ascii="宋体" w:hAnsi="宋体"/>
        </w:rPr>
      </w:pPr>
    </w:p>
    <w:p w14:paraId="562A4144">
      <w:pPr>
        <w:spacing w:line="276" w:lineRule="auto"/>
        <w:ind w:firstLine="480" w:firstLineChars="200"/>
        <w:outlineLvl w:val="1"/>
        <w:rPr>
          <w:rFonts w:ascii="宋体" w:hAnsi="宋体"/>
          <w:sz w:val="24"/>
        </w:rPr>
      </w:pPr>
    </w:p>
    <w:p w14:paraId="13B6D751">
      <w:pPr>
        <w:spacing w:line="276" w:lineRule="auto"/>
        <w:ind w:firstLine="480" w:firstLineChars="200"/>
        <w:outlineLvl w:val="1"/>
        <w:rPr>
          <w:rFonts w:ascii="宋体" w:hAnsi="宋体"/>
          <w:sz w:val="24"/>
        </w:rPr>
      </w:pPr>
      <w:r>
        <w:rPr>
          <w:rFonts w:hint="eastAsia" w:ascii="宋体" w:hAnsi="宋体"/>
          <w:sz w:val="24"/>
        </w:rPr>
        <w:t>       </w:t>
      </w:r>
    </w:p>
    <w:p w14:paraId="2A755A6B">
      <w:pPr>
        <w:autoSpaceDE w:val="0"/>
        <w:autoSpaceDN w:val="0"/>
        <w:adjustRightInd w:val="0"/>
        <w:snapToGrid w:val="0"/>
        <w:spacing w:line="360" w:lineRule="auto"/>
        <w:rPr>
          <w:rFonts w:ascii="宋体" w:hAnsi="宋体" w:cs="宋体"/>
          <w:sz w:val="24"/>
        </w:rPr>
      </w:pPr>
      <w:r>
        <w:rPr>
          <w:rFonts w:hint="eastAsia" w:ascii="宋体" w:hAnsi="宋体"/>
          <w:sz w:val="24"/>
        </w:rPr>
        <w:t>供应商</w:t>
      </w:r>
      <w:r>
        <w:rPr>
          <w:rFonts w:hint="eastAsia" w:ascii="宋体" w:hAnsi="宋体" w:cs="宋体"/>
          <w:kern w:val="0"/>
          <w:sz w:val="24"/>
        </w:rPr>
        <w:t>：（</w:t>
      </w:r>
      <w:r>
        <w:rPr>
          <w:rFonts w:hint="eastAsia" w:ascii="宋体" w:hAnsi="宋体"/>
          <w:sz w:val="24"/>
        </w:rPr>
        <w:t>电子签章</w:t>
      </w:r>
      <w:r>
        <w:rPr>
          <w:rFonts w:hint="eastAsia" w:ascii="宋体" w:hAnsi="宋体" w:cs="宋体"/>
          <w:kern w:val="0"/>
          <w:sz w:val="24"/>
        </w:rPr>
        <w:t xml:space="preserve">） </w:t>
      </w:r>
    </w:p>
    <w:p w14:paraId="68E07638">
      <w:pPr>
        <w:autoSpaceDE w:val="0"/>
        <w:autoSpaceDN w:val="0"/>
        <w:adjustRightInd w:val="0"/>
        <w:snapToGrid w:val="0"/>
        <w:spacing w:line="360" w:lineRule="auto"/>
        <w:rPr>
          <w:rFonts w:ascii="宋体" w:hAnsi="宋体" w:cs="宋体"/>
          <w:sz w:val="24"/>
        </w:rPr>
      </w:pPr>
      <w:r>
        <w:rPr>
          <w:rFonts w:hint="eastAsia" w:ascii="宋体" w:hAnsi="宋体" w:cs="宋体"/>
          <w:kern w:val="0"/>
          <w:sz w:val="24"/>
        </w:rPr>
        <w:t xml:space="preserve">                               法定代表人或</w:t>
      </w:r>
      <w:r>
        <w:rPr>
          <w:rFonts w:hint="eastAsia" w:ascii="宋体" w:hAnsi="宋体"/>
          <w:sz w:val="24"/>
        </w:rPr>
        <w:t>其委托代理人</w:t>
      </w:r>
      <w:r>
        <w:rPr>
          <w:rFonts w:hint="eastAsia" w:ascii="宋体" w:hAnsi="宋体" w:cs="宋体"/>
          <w:kern w:val="0"/>
          <w:sz w:val="24"/>
        </w:rPr>
        <w:t>：（</w:t>
      </w:r>
      <w:r>
        <w:rPr>
          <w:rFonts w:hint="eastAsia" w:ascii="宋体" w:hAnsi="宋体"/>
          <w:sz w:val="24"/>
        </w:rPr>
        <w:t>电子签章</w:t>
      </w:r>
      <w:r>
        <w:rPr>
          <w:rFonts w:hint="eastAsia" w:ascii="宋体" w:hAnsi="宋体" w:cs="宋体"/>
          <w:kern w:val="0"/>
          <w:sz w:val="24"/>
        </w:rPr>
        <w:t xml:space="preserve">） </w:t>
      </w:r>
    </w:p>
    <w:p w14:paraId="5AEEE071">
      <w:pPr>
        <w:spacing w:line="360" w:lineRule="auto"/>
        <w:ind w:firstLine="6000" w:firstLineChars="2500"/>
        <w:outlineLvl w:val="1"/>
        <w:rPr>
          <w:rFonts w:ascii="宋体" w:hAnsi="宋体"/>
          <w:sz w:val="24"/>
        </w:rPr>
      </w:pPr>
      <w:bookmarkStart w:id="662" w:name="_Toc50194519"/>
      <w:bookmarkStart w:id="663" w:name="_Toc171014087"/>
      <w:bookmarkStart w:id="664" w:name="_Toc70350692"/>
      <w:r>
        <w:rPr>
          <w:rFonts w:hint="eastAsia" w:ascii="宋体" w:hAnsi="宋体" w:cs="宋体"/>
          <w:sz w:val="24"/>
        </w:rPr>
        <w:t>年月日</w:t>
      </w:r>
      <w:bookmarkEnd w:id="662"/>
      <w:bookmarkEnd w:id="663"/>
      <w:bookmarkEnd w:id="664"/>
      <w:r>
        <w:rPr>
          <w:rFonts w:hint="eastAsia" w:ascii="宋体" w:hAnsi="宋体"/>
          <w:sz w:val="24"/>
        </w:rPr>
        <w:t>    </w:t>
      </w:r>
    </w:p>
    <w:p w14:paraId="1C4624CB">
      <w:pPr>
        <w:spacing w:line="360" w:lineRule="auto"/>
        <w:ind w:firstLine="480" w:firstLineChars="200"/>
        <w:outlineLvl w:val="1"/>
        <w:rPr>
          <w:rFonts w:ascii="宋体" w:hAnsi="宋体"/>
          <w:sz w:val="24"/>
        </w:rPr>
      </w:pPr>
    </w:p>
    <w:p w14:paraId="00FE1339">
      <w:pPr>
        <w:spacing w:line="360" w:lineRule="auto"/>
        <w:ind w:firstLine="480" w:firstLineChars="200"/>
        <w:outlineLvl w:val="1"/>
        <w:rPr>
          <w:rFonts w:ascii="宋体" w:hAnsi="宋体"/>
          <w:sz w:val="24"/>
        </w:rPr>
      </w:pPr>
    </w:p>
    <w:p w14:paraId="67C23F9E">
      <w:pPr>
        <w:spacing w:line="360" w:lineRule="auto"/>
        <w:ind w:firstLine="480" w:firstLineChars="200"/>
        <w:outlineLvl w:val="1"/>
        <w:rPr>
          <w:rFonts w:ascii="宋体" w:hAnsi="宋体"/>
          <w:sz w:val="24"/>
          <w:szCs w:val="22"/>
        </w:rPr>
      </w:pPr>
    </w:p>
    <w:p w14:paraId="16CEA2F0">
      <w:pPr>
        <w:spacing w:line="360" w:lineRule="auto"/>
        <w:ind w:firstLine="480" w:firstLineChars="200"/>
        <w:outlineLvl w:val="1"/>
        <w:rPr>
          <w:rFonts w:ascii="宋体" w:hAnsi="宋体"/>
          <w:sz w:val="24"/>
          <w:szCs w:val="22"/>
        </w:rPr>
      </w:pPr>
    </w:p>
    <w:p w14:paraId="42F7F551">
      <w:pPr>
        <w:widowControl/>
        <w:jc w:val="left"/>
        <w:rPr>
          <w:rFonts w:ascii="宋体" w:hAnsi="宋体"/>
        </w:rPr>
      </w:pPr>
    </w:p>
    <w:p w14:paraId="4B49F488">
      <w:pPr>
        <w:widowControl/>
        <w:jc w:val="left"/>
        <w:rPr>
          <w:rFonts w:ascii="宋体" w:hAnsi="宋体"/>
        </w:rPr>
      </w:pPr>
    </w:p>
    <w:p w14:paraId="7A184D13">
      <w:pPr>
        <w:widowControl/>
        <w:jc w:val="left"/>
        <w:rPr>
          <w:rFonts w:ascii="宋体" w:hAnsi="宋体"/>
        </w:rPr>
      </w:pPr>
    </w:p>
    <w:p w14:paraId="1D7708A2">
      <w:pPr>
        <w:widowControl/>
        <w:jc w:val="left"/>
        <w:rPr>
          <w:rFonts w:ascii="宋体" w:hAnsi="宋体"/>
        </w:rPr>
      </w:pPr>
    </w:p>
    <w:p w14:paraId="0EBEB348">
      <w:pPr>
        <w:widowControl/>
        <w:jc w:val="left"/>
        <w:rPr>
          <w:rFonts w:ascii="宋体" w:hAnsi="宋体"/>
        </w:rPr>
      </w:pPr>
    </w:p>
    <w:p w14:paraId="2CB80F5A">
      <w:pPr>
        <w:widowControl/>
        <w:jc w:val="left"/>
        <w:rPr>
          <w:rFonts w:ascii="宋体" w:hAnsi="宋体"/>
        </w:rPr>
      </w:pPr>
    </w:p>
    <w:p w14:paraId="02E6C69E">
      <w:pPr>
        <w:widowControl/>
        <w:jc w:val="left"/>
        <w:rPr>
          <w:rFonts w:ascii="宋体" w:hAnsi="宋体"/>
        </w:rPr>
      </w:pPr>
    </w:p>
    <w:p w14:paraId="3454CE78">
      <w:pPr>
        <w:widowControl/>
        <w:jc w:val="left"/>
        <w:rPr>
          <w:rFonts w:ascii="宋体" w:hAnsi="宋体"/>
        </w:rPr>
      </w:pPr>
    </w:p>
    <w:p w14:paraId="16D85250">
      <w:pPr>
        <w:widowControl/>
        <w:jc w:val="left"/>
        <w:rPr>
          <w:rFonts w:ascii="宋体" w:hAnsi="宋体"/>
        </w:rPr>
      </w:pPr>
    </w:p>
    <w:p w14:paraId="3D29EEE8">
      <w:pPr>
        <w:widowControl/>
        <w:jc w:val="left"/>
        <w:rPr>
          <w:rFonts w:ascii="宋体" w:hAnsi="宋体"/>
        </w:rPr>
      </w:pPr>
    </w:p>
    <w:p w14:paraId="1CA6D7F6">
      <w:pPr>
        <w:widowControl/>
        <w:jc w:val="left"/>
        <w:rPr>
          <w:rFonts w:ascii="宋体" w:hAnsi="宋体"/>
        </w:rPr>
      </w:pPr>
    </w:p>
    <w:p w14:paraId="560193C4">
      <w:pPr>
        <w:widowControl/>
        <w:jc w:val="left"/>
        <w:rPr>
          <w:rFonts w:ascii="宋体" w:hAnsi="宋体"/>
        </w:rPr>
      </w:pPr>
    </w:p>
    <w:p w14:paraId="6E430921">
      <w:pPr>
        <w:spacing w:after="120" w:line="440" w:lineRule="exact"/>
        <w:ind w:firstLine="241" w:firstLineChars="100"/>
        <w:jc w:val="center"/>
        <w:outlineLvl w:val="2"/>
        <w:rPr>
          <w:rFonts w:ascii="宋体" w:hAnsi="宋体" w:cs="宋体"/>
          <w:b/>
          <w:bCs/>
          <w:kern w:val="0"/>
          <w:sz w:val="24"/>
          <w:lang w:val="zh-CN" w:bidi="zh-CN"/>
        </w:rPr>
      </w:pPr>
      <w:bookmarkStart w:id="665" w:name="_Toc160723021"/>
      <w:bookmarkStart w:id="666" w:name="_Toc171014088"/>
      <w:r>
        <w:rPr>
          <w:rFonts w:hint="eastAsia" w:ascii="宋体" w:hAnsi="宋体" w:cs="宋体"/>
          <w:b/>
          <w:bCs/>
          <w:kern w:val="0"/>
          <w:sz w:val="24"/>
          <w:lang w:val="zh-CN" w:bidi="zh-CN"/>
        </w:rPr>
        <w:t>中小企业声明函（工程） （格式）</w:t>
      </w:r>
      <w:bookmarkEnd w:id="665"/>
      <w:bookmarkEnd w:id="666"/>
    </w:p>
    <w:p w14:paraId="45F9A136">
      <w:pPr>
        <w:spacing w:after="120" w:line="440" w:lineRule="exact"/>
        <w:jc w:val="center"/>
        <w:rPr>
          <w:rFonts w:ascii="宋体" w:hAnsi="宋体" w:cs="宋体"/>
          <w:bCs/>
          <w:iCs/>
          <w:sz w:val="24"/>
        </w:rPr>
      </w:pPr>
      <w:r>
        <w:rPr>
          <w:rFonts w:hint="eastAsia" w:ascii="宋体" w:hAnsi="宋体" w:cs="宋体"/>
          <w:bCs/>
          <w:iCs/>
          <w:sz w:val="24"/>
        </w:rPr>
        <w:t>（属于中小微企业的填写，不属于的无需填写此项内容）</w:t>
      </w:r>
    </w:p>
    <w:p w14:paraId="1EF9A328">
      <w:pPr>
        <w:spacing w:after="120" w:line="440" w:lineRule="exact"/>
        <w:rPr>
          <w:rFonts w:ascii="宋体" w:hAnsi="宋体" w:cs="宋体"/>
          <w:iCs/>
          <w:sz w:val="24"/>
        </w:rPr>
      </w:pPr>
    </w:p>
    <w:p w14:paraId="713CA6B3">
      <w:pPr>
        <w:spacing w:after="120" w:line="480" w:lineRule="exact"/>
        <w:ind w:firstLine="480" w:firstLineChars="200"/>
        <w:rPr>
          <w:rFonts w:ascii="宋体" w:hAnsi="宋体" w:cs="宋体"/>
          <w:iCs/>
          <w:sz w:val="24"/>
        </w:rPr>
      </w:pPr>
      <w:r>
        <w:rPr>
          <w:rFonts w:hint="eastAsia" w:ascii="宋体" w:hAnsi="宋体" w:cs="宋体"/>
          <w:iCs/>
          <w:sz w:val="24"/>
        </w:rPr>
        <w:t>本公司郑重声明， 根据《政府采购促进中小企业发展管理办法》（财库﹝ 2020﹞ 46 号） 的规定， 本公司（联合体） 参加</w:t>
      </w:r>
      <w:r>
        <w:rPr>
          <w:rFonts w:hint="eastAsia" w:ascii="宋体" w:hAnsi="宋体" w:cs="宋体"/>
          <w:iCs/>
          <w:sz w:val="24"/>
          <w:u w:val="single"/>
        </w:rPr>
        <w:t>（单位名称）</w:t>
      </w:r>
      <w:r>
        <w:rPr>
          <w:rFonts w:hint="eastAsia" w:ascii="宋体" w:hAnsi="宋体" w:cs="宋体"/>
          <w:iCs/>
          <w:sz w:val="24"/>
        </w:rPr>
        <w:t xml:space="preserve"> 的</w:t>
      </w:r>
      <w:r>
        <w:rPr>
          <w:rFonts w:hint="eastAsia" w:ascii="宋体" w:hAnsi="宋体" w:cs="宋体"/>
          <w:iCs/>
          <w:sz w:val="24"/>
          <w:u w:val="single"/>
        </w:rPr>
        <w:t>（项目名称）</w:t>
      </w:r>
      <w:r>
        <w:rPr>
          <w:rFonts w:hint="eastAsia" w:ascii="宋体" w:hAnsi="宋体" w:cs="宋体"/>
          <w:iCs/>
          <w:sz w:val="24"/>
        </w:rPr>
        <w:t xml:space="preserve"> 采购活动，工程的施工单位全部为符合政策要求的中小企业。相关企业（含联合体中的中小企业、签订分包意向协议的中小企业）的具体情况如下：</w:t>
      </w:r>
    </w:p>
    <w:p w14:paraId="5147E3D6">
      <w:pPr>
        <w:spacing w:after="120" w:line="480" w:lineRule="exact"/>
        <w:ind w:firstLine="480" w:firstLineChars="200"/>
        <w:rPr>
          <w:rFonts w:ascii="宋体" w:hAnsi="宋体" w:cs="宋体"/>
          <w:iCs/>
          <w:sz w:val="24"/>
          <w:u w:val="single"/>
        </w:rPr>
      </w:pPr>
      <w:r>
        <w:rPr>
          <w:rFonts w:hint="eastAsia" w:ascii="宋体" w:hAnsi="宋体" w:cs="宋体"/>
          <w:iCs/>
          <w:sz w:val="24"/>
        </w:rPr>
        <w:t xml:space="preserve">1、 </w:t>
      </w:r>
      <w:r>
        <w:rPr>
          <w:rFonts w:hint="eastAsia" w:ascii="宋体" w:hAnsi="宋体" w:cs="宋体"/>
          <w:iCs/>
          <w:sz w:val="24"/>
          <w:u w:val="single"/>
        </w:rPr>
        <w:t>（标的名称）</w:t>
      </w:r>
      <w:r>
        <w:rPr>
          <w:rFonts w:hint="eastAsia" w:ascii="宋体" w:hAnsi="宋体" w:cs="宋体"/>
          <w:iCs/>
          <w:sz w:val="24"/>
        </w:rPr>
        <w:t xml:space="preserve"> ， 属于</w:t>
      </w:r>
      <w:r>
        <w:rPr>
          <w:rFonts w:hint="eastAsia" w:ascii="宋体" w:hAnsi="宋体" w:cs="宋体"/>
          <w:iCs/>
          <w:sz w:val="24"/>
          <w:u w:val="single"/>
        </w:rPr>
        <w:t>（采购文件中明确的所属行业）</w:t>
      </w:r>
      <w:r>
        <w:rPr>
          <w:rFonts w:hint="eastAsia" w:ascii="宋体" w:hAnsi="宋体" w:cs="宋体"/>
          <w:iCs/>
          <w:sz w:val="24"/>
        </w:rPr>
        <w:t xml:space="preserve">；承建（承接）企业为 </w:t>
      </w:r>
      <w:r>
        <w:rPr>
          <w:rFonts w:hint="eastAsia" w:ascii="宋体" w:hAnsi="宋体" w:cs="宋体"/>
          <w:iCs/>
          <w:sz w:val="24"/>
          <w:u w:val="single"/>
        </w:rPr>
        <w:t xml:space="preserve">（企业名称） </w:t>
      </w:r>
      <w:r>
        <w:rPr>
          <w:rFonts w:hint="eastAsia" w:ascii="宋体" w:hAnsi="宋体" w:cs="宋体"/>
          <w:iCs/>
          <w:sz w:val="24"/>
        </w:rPr>
        <w:t>， 从业人员人 ， 营业收入为万元， 资产总额为万元， 属于</w:t>
      </w:r>
      <w:r>
        <w:rPr>
          <w:rFonts w:hint="eastAsia" w:ascii="宋体" w:hAnsi="宋体" w:cs="宋体"/>
          <w:iCs/>
          <w:sz w:val="24"/>
          <w:u w:val="single"/>
        </w:rPr>
        <w:t xml:space="preserve">（中型企业、 小型企业、 微型企业） </w:t>
      </w:r>
      <w:r>
        <w:rPr>
          <w:rFonts w:hint="eastAsia" w:ascii="宋体" w:hAnsi="宋体" w:cs="宋体"/>
          <w:iCs/>
          <w:sz w:val="24"/>
        </w:rPr>
        <w:t>；</w:t>
      </w:r>
    </w:p>
    <w:p w14:paraId="5A8CED9F">
      <w:pPr>
        <w:spacing w:after="120" w:line="480" w:lineRule="exact"/>
        <w:ind w:firstLine="480" w:firstLineChars="200"/>
        <w:rPr>
          <w:rFonts w:ascii="宋体" w:hAnsi="宋体" w:cs="宋体"/>
          <w:iCs/>
          <w:sz w:val="24"/>
          <w:u w:val="single"/>
        </w:rPr>
      </w:pPr>
      <w:r>
        <w:rPr>
          <w:rFonts w:hint="eastAsia" w:ascii="宋体" w:hAnsi="宋体" w:cs="宋体"/>
          <w:iCs/>
          <w:sz w:val="24"/>
        </w:rPr>
        <w:t xml:space="preserve">2、 </w:t>
      </w:r>
      <w:r>
        <w:rPr>
          <w:rFonts w:hint="eastAsia" w:ascii="宋体" w:hAnsi="宋体" w:cs="宋体"/>
          <w:iCs/>
          <w:sz w:val="24"/>
          <w:u w:val="single"/>
        </w:rPr>
        <w:t>（标的名称）</w:t>
      </w:r>
      <w:r>
        <w:rPr>
          <w:rFonts w:hint="eastAsia" w:ascii="宋体" w:hAnsi="宋体" w:cs="宋体"/>
          <w:iCs/>
          <w:sz w:val="24"/>
        </w:rPr>
        <w:t xml:space="preserve"> ， 属于</w:t>
      </w:r>
      <w:r>
        <w:rPr>
          <w:rFonts w:hint="eastAsia" w:ascii="宋体" w:hAnsi="宋体" w:cs="宋体"/>
          <w:iCs/>
          <w:sz w:val="24"/>
          <w:u w:val="single"/>
        </w:rPr>
        <w:t>（采购文件中明确的所属行业）</w:t>
      </w:r>
      <w:r>
        <w:rPr>
          <w:rFonts w:hint="eastAsia" w:ascii="宋体" w:hAnsi="宋体" w:cs="宋体"/>
          <w:iCs/>
          <w:sz w:val="24"/>
        </w:rPr>
        <w:t xml:space="preserve">；承建（承接）企业为 </w:t>
      </w:r>
      <w:r>
        <w:rPr>
          <w:rFonts w:hint="eastAsia" w:ascii="宋体" w:hAnsi="宋体" w:cs="宋体"/>
          <w:iCs/>
          <w:sz w:val="24"/>
          <w:u w:val="single"/>
        </w:rPr>
        <w:t xml:space="preserve">（企业名称） </w:t>
      </w:r>
      <w:r>
        <w:rPr>
          <w:rFonts w:hint="eastAsia" w:ascii="宋体" w:hAnsi="宋体" w:cs="宋体"/>
          <w:iCs/>
          <w:sz w:val="24"/>
        </w:rPr>
        <w:t>， 从业人员人 ， 营业收入为万元， 资产总额为万元， 属于</w:t>
      </w:r>
      <w:r>
        <w:rPr>
          <w:rFonts w:hint="eastAsia" w:ascii="宋体" w:hAnsi="宋体" w:cs="宋体"/>
          <w:iCs/>
          <w:sz w:val="24"/>
          <w:u w:val="single"/>
        </w:rPr>
        <w:t>（中型企业、 小型企业、 微型企业）</w:t>
      </w:r>
      <w:r>
        <w:rPr>
          <w:rFonts w:hint="eastAsia" w:ascii="宋体" w:hAnsi="宋体" w:cs="宋体"/>
          <w:iCs/>
          <w:sz w:val="24"/>
        </w:rPr>
        <w:t>；</w:t>
      </w:r>
    </w:p>
    <w:p w14:paraId="748BAA86">
      <w:pPr>
        <w:spacing w:after="120" w:line="480" w:lineRule="exact"/>
        <w:ind w:firstLine="480" w:firstLineChars="200"/>
        <w:rPr>
          <w:rFonts w:ascii="宋体" w:hAnsi="宋体" w:cs="宋体"/>
          <w:iCs/>
          <w:sz w:val="24"/>
        </w:rPr>
      </w:pPr>
      <w:r>
        <w:rPr>
          <w:rFonts w:ascii="宋体" w:hAnsi="宋体" w:cs="宋体"/>
          <w:iCs/>
          <w:sz w:val="24"/>
        </w:rPr>
        <w:t>……</w:t>
      </w:r>
    </w:p>
    <w:p w14:paraId="59A198CF">
      <w:pPr>
        <w:spacing w:after="120" w:line="480" w:lineRule="exact"/>
        <w:ind w:firstLine="480" w:firstLineChars="200"/>
        <w:rPr>
          <w:rFonts w:ascii="宋体" w:hAnsi="宋体" w:cs="宋体"/>
          <w:iCs/>
          <w:sz w:val="24"/>
        </w:rPr>
      </w:pPr>
      <w:r>
        <w:rPr>
          <w:rFonts w:hint="eastAsia" w:ascii="宋体" w:hAnsi="宋体" w:cs="宋体"/>
          <w:iCs/>
          <w:sz w:val="24"/>
        </w:rPr>
        <w:t>以上企业，不属于大企业的分支机构，不存在控股股东为大企业的情形，也不存在与大企业的负责人为同一人的情形。</w:t>
      </w:r>
    </w:p>
    <w:p w14:paraId="0890D1B1">
      <w:pPr>
        <w:spacing w:after="120" w:line="480" w:lineRule="exact"/>
        <w:ind w:firstLine="480" w:firstLineChars="200"/>
        <w:rPr>
          <w:rFonts w:ascii="宋体" w:hAnsi="宋体" w:cs="宋体"/>
          <w:iCs/>
          <w:sz w:val="24"/>
        </w:rPr>
      </w:pPr>
      <w:r>
        <w:rPr>
          <w:rFonts w:hint="eastAsia" w:ascii="宋体" w:hAnsi="宋体" w:cs="宋体"/>
          <w:iCs/>
          <w:sz w:val="24"/>
        </w:rPr>
        <w:t>本企业对上述声明内容的真实性负责。 如有虚假， 将依法承担相应责任。</w:t>
      </w:r>
    </w:p>
    <w:p w14:paraId="1B9A10C5">
      <w:pPr>
        <w:spacing w:after="120" w:line="480" w:lineRule="exact"/>
        <w:rPr>
          <w:rFonts w:ascii="宋体" w:hAnsi="宋体" w:cs="宋体"/>
          <w:iCs/>
          <w:sz w:val="24"/>
        </w:rPr>
      </w:pPr>
    </w:p>
    <w:p w14:paraId="64C4B437">
      <w:pPr>
        <w:spacing w:line="480" w:lineRule="exact"/>
        <w:ind w:right="1440"/>
        <w:jc w:val="right"/>
        <w:rPr>
          <w:rFonts w:ascii="宋体" w:hAnsi="宋体"/>
          <w:sz w:val="24"/>
        </w:rPr>
      </w:pPr>
      <w:r>
        <w:rPr>
          <w:rFonts w:hint="eastAsia" w:ascii="宋体" w:hAnsi="宋体"/>
          <w:sz w:val="24"/>
        </w:rPr>
        <w:t>供应商：（电子签章）</w:t>
      </w:r>
    </w:p>
    <w:p w14:paraId="62BE1180">
      <w:pPr>
        <w:spacing w:line="480" w:lineRule="exact"/>
        <w:ind w:right="960"/>
        <w:jc w:val="right"/>
        <w:rPr>
          <w:rFonts w:ascii="宋体" w:hAnsi="宋体"/>
          <w:sz w:val="24"/>
        </w:rPr>
      </w:pPr>
      <w:r>
        <w:rPr>
          <w:rFonts w:hint="eastAsia" w:ascii="宋体" w:hAnsi="宋体" w:cs="宋体"/>
          <w:kern w:val="0"/>
          <w:sz w:val="24"/>
        </w:rPr>
        <w:t>法定代表人或</w:t>
      </w:r>
      <w:r>
        <w:rPr>
          <w:rFonts w:hint="eastAsia" w:ascii="宋体" w:hAnsi="宋体"/>
          <w:sz w:val="24"/>
        </w:rPr>
        <w:t>其委托代理人：（法人签章）</w:t>
      </w:r>
    </w:p>
    <w:p w14:paraId="67BEC46D">
      <w:pPr>
        <w:adjustRightInd w:val="0"/>
        <w:snapToGrid w:val="0"/>
        <w:spacing w:afterLines="50" w:line="480" w:lineRule="exact"/>
        <w:ind w:left="6270" w:leftChars="2300" w:right="420" w:hanging="1440" w:hangingChars="600"/>
        <w:rPr>
          <w:rFonts w:ascii="宋体" w:hAnsi="宋体"/>
          <w:sz w:val="24"/>
          <w:u w:val="single"/>
        </w:rPr>
      </w:pPr>
      <w:r>
        <w:rPr>
          <w:rFonts w:hint="eastAsia" w:ascii="宋体" w:hAnsi="宋体"/>
          <w:sz w:val="24"/>
        </w:rPr>
        <w:t xml:space="preserve">         年  月  日</w:t>
      </w:r>
    </w:p>
    <w:p w14:paraId="19E508C6">
      <w:pPr>
        <w:spacing w:after="120" w:line="440" w:lineRule="exact"/>
        <w:rPr>
          <w:rFonts w:ascii="宋体" w:hAnsi="宋体" w:cs="宋体"/>
          <w:iCs/>
          <w:sz w:val="24"/>
        </w:rPr>
      </w:pPr>
    </w:p>
    <w:p w14:paraId="79C0EED5">
      <w:pPr>
        <w:spacing w:after="120" w:line="440" w:lineRule="exact"/>
        <w:rPr>
          <w:rFonts w:ascii="宋体" w:hAnsi="宋体" w:cs="宋体"/>
          <w:iCs/>
          <w:sz w:val="24"/>
        </w:rPr>
      </w:pPr>
      <w:r>
        <w:rPr>
          <w:rFonts w:hint="eastAsia" w:ascii="宋体" w:hAnsi="宋体" w:cs="宋体"/>
          <w:iCs/>
          <w:sz w:val="24"/>
        </w:rPr>
        <w:t>注：从业人员、 营业收入、 资产总额填报上一年度数据， 无上一年度数据的新成立企业可不填报。</w:t>
      </w:r>
    </w:p>
    <w:p w14:paraId="012F07ED">
      <w:pPr>
        <w:rPr>
          <w:rFonts w:ascii="宋体" w:hAnsi="宋体"/>
        </w:rPr>
      </w:pPr>
    </w:p>
    <w:sectPr>
      <w:pgSz w:w="11906" w:h="16838"/>
      <w:pgMar w:top="1531" w:right="1247" w:bottom="1247"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91DFA">
    <w:pPr>
      <w:pStyle w:val="7"/>
      <w:jc w:val="center"/>
    </w:pP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87</w:t>
    </w:r>
    <w:r>
      <w:rPr>
        <w:b/>
        <w:sz w:val="24"/>
        <w:szCs w:val="24"/>
      </w:rPr>
      <w:fldChar w:fldCharType="end"/>
    </w:r>
  </w:p>
  <w:p w14:paraId="6054DE33">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C6D47">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B742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CCFEE">
    <w:pPr>
      <w:pBdr>
        <w:bottom w:val="single" w:color="auto" w:sz="4" w:space="0"/>
      </w:pBdr>
      <w:jc w:val="left"/>
    </w:pPr>
    <w:r>
      <w:rPr>
        <w:rFonts w:hint="eastAsia" w:ascii="宋体" w:hAnsi="宋体"/>
        <w:b/>
        <w:sz w:val="18"/>
        <w:szCs w:val="18"/>
      </w:rPr>
      <w:t>2025年灵宝市第一批农村公路安全生命防护工程磋商文件（二次）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6365D">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E1C5B">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ACA99A"/>
    <w:multiLevelType w:val="singleLevel"/>
    <w:tmpl w:val="0FACA99A"/>
    <w:lvl w:ilvl="0" w:tentative="0">
      <w:start w:val="1"/>
      <w:numFmt w:val="chineseCounting"/>
      <w:suff w:val="nothing"/>
      <w:lvlText w:val="%1、"/>
      <w:lvlJc w:val="left"/>
      <w:rPr>
        <w:rFonts w:hint="eastAsia"/>
      </w:rPr>
    </w:lvl>
  </w:abstractNum>
  <w:abstractNum w:abstractNumId="1">
    <w:nsid w:val="2EEC4B40"/>
    <w:multiLevelType w:val="singleLevel"/>
    <w:tmpl w:val="2EEC4B4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xJMPk5ZwaS/oyT+l39QUSlqoZng=" w:salt="W27seZqNRIdTBXUg9g2U7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1FC975B9"/>
    <w:rsid w:val="000041C3"/>
    <w:rsid w:val="0003683C"/>
    <w:rsid w:val="00091F2C"/>
    <w:rsid w:val="000E3CE9"/>
    <w:rsid w:val="002E009F"/>
    <w:rsid w:val="0034389D"/>
    <w:rsid w:val="00374A5E"/>
    <w:rsid w:val="003E4955"/>
    <w:rsid w:val="005A7C34"/>
    <w:rsid w:val="005D054C"/>
    <w:rsid w:val="005D412C"/>
    <w:rsid w:val="006F4235"/>
    <w:rsid w:val="00716F12"/>
    <w:rsid w:val="00732D1A"/>
    <w:rsid w:val="00753964"/>
    <w:rsid w:val="007E5AF0"/>
    <w:rsid w:val="008C1749"/>
    <w:rsid w:val="008E0820"/>
    <w:rsid w:val="008E14CA"/>
    <w:rsid w:val="009F677E"/>
    <w:rsid w:val="00A103D8"/>
    <w:rsid w:val="00A2492A"/>
    <w:rsid w:val="00A659A1"/>
    <w:rsid w:val="00B532A9"/>
    <w:rsid w:val="00B57653"/>
    <w:rsid w:val="00BC1E31"/>
    <w:rsid w:val="00BE711E"/>
    <w:rsid w:val="00BF7102"/>
    <w:rsid w:val="00BF7650"/>
    <w:rsid w:val="00C37F5B"/>
    <w:rsid w:val="00C40DB3"/>
    <w:rsid w:val="00CA68C7"/>
    <w:rsid w:val="00D6718D"/>
    <w:rsid w:val="00DD7C33"/>
    <w:rsid w:val="00E365C9"/>
    <w:rsid w:val="00E82ADF"/>
    <w:rsid w:val="00EB37AA"/>
    <w:rsid w:val="00FE6E5E"/>
    <w:rsid w:val="19AA66B3"/>
    <w:rsid w:val="1EB06519"/>
    <w:rsid w:val="1FC975B9"/>
    <w:rsid w:val="30852783"/>
    <w:rsid w:val="34B25304"/>
    <w:rsid w:val="361C228F"/>
    <w:rsid w:val="3814268F"/>
    <w:rsid w:val="3E52013D"/>
    <w:rsid w:val="42100EF9"/>
    <w:rsid w:val="4E824F2D"/>
    <w:rsid w:val="4EDC4E15"/>
    <w:rsid w:val="532F31A9"/>
    <w:rsid w:val="58DF67AA"/>
    <w:rsid w:val="5CED64E1"/>
    <w:rsid w:val="68B75ECC"/>
    <w:rsid w:val="6A9121FC"/>
    <w:rsid w:val="700E54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spacing w:line="360" w:lineRule="auto"/>
      <w:ind w:firstLine="420"/>
    </w:pPr>
    <w:rPr>
      <w:rFonts w:eastAsia="Arial Unicode MS"/>
      <w:color w:val="000000"/>
      <w:kern w:val="0"/>
      <w:sz w:val="28"/>
      <w:szCs w:val="28"/>
    </w:rPr>
  </w:style>
  <w:style w:type="paragraph" w:styleId="3">
    <w:name w:val="Body Text"/>
    <w:basedOn w:val="1"/>
    <w:next w:val="1"/>
    <w:qFormat/>
    <w:uiPriority w:val="0"/>
    <w:pPr>
      <w:spacing w:after="120"/>
    </w:pPr>
  </w:style>
  <w:style w:type="paragraph" w:styleId="4">
    <w:name w:val="Body Text First Indent 2"/>
    <w:basedOn w:val="5"/>
    <w:next w:val="1"/>
    <w:qFormat/>
    <w:uiPriority w:val="0"/>
    <w:pPr>
      <w:spacing w:before="100" w:beforeAutospacing="1" w:line="360" w:lineRule="auto"/>
      <w:ind w:firstLine="420"/>
    </w:pPr>
    <w:rPr>
      <w:rFonts w:eastAsia="Arial Unicode MS"/>
      <w:color w:val="000000"/>
    </w:rPr>
  </w:style>
  <w:style w:type="paragraph" w:styleId="5">
    <w:name w:val="Body Text Indent"/>
    <w:basedOn w:val="1"/>
    <w:next w:val="4"/>
    <w:unhideWhenUsed/>
    <w:qFormat/>
    <w:uiPriority w:val="99"/>
    <w:pPr>
      <w:spacing w:after="120"/>
      <w:ind w:left="420" w:leftChars="200"/>
    </w:pPr>
    <w:rPr>
      <w:kern w:val="0"/>
      <w:sz w:val="20"/>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120" w:after="120"/>
      <w:jc w:val="left"/>
    </w:pPr>
    <w:rPr>
      <w:rFonts w:ascii="Calibri" w:hAnsi="Calibri" w:cs="Calibri"/>
      <w:b/>
      <w:bCs/>
      <w:caps/>
      <w:sz w:val="20"/>
      <w:szCs w:val="20"/>
    </w:rPr>
  </w:style>
  <w:style w:type="paragraph" w:styleId="10">
    <w:name w:val="toc 2"/>
    <w:basedOn w:val="1"/>
    <w:next w:val="1"/>
    <w:qFormat/>
    <w:uiPriority w:val="39"/>
    <w:pPr>
      <w:ind w:left="210"/>
      <w:jc w:val="left"/>
    </w:pPr>
    <w:rPr>
      <w:rFonts w:ascii="Calibri" w:hAnsi="Calibri" w:cs="Calibri"/>
      <w:smallCaps/>
      <w:sz w:val="20"/>
      <w:szCs w:val="20"/>
    </w:rPr>
  </w:style>
  <w:style w:type="character" w:styleId="13">
    <w:name w:val="Hyperlink"/>
    <w:qFormat/>
    <w:uiPriority w:val="99"/>
    <w:rPr>
      <w:rFonts w:ascii="Times New Roman" w:hAnsi="Times New Roman" w:eastAsia="宋体"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87</Pages>
  <Words>40811</Words>
  <Characters>43233</Characters>
  <Lines>367</Lines>
  <Paragraphs>103</Paragraphs>
  <TotalTime>1</TotalTime>
  <ScaleCrop>false</ScaleCrop>
  <LinksUpToDate>false</LinksUpToDate>
  <CharactersWithSpaces>44732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2025-09-24T01:24:00Z</dcterms:created>
  <dc:creator>mary</dc:creator>
  <cp:lastModifiedBy>-</cp:lastModifiedBy>
  <cp:lastPrinted>2025-11-17T09:43:00Z</cp:lastPrinted>
  <dcterms:modified xsi:type="dcterms:W3CDTF">2025-12-16T11:58:48Z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90CBF7C3CAD842289D1DFB861A616EE6_13</vt:lpwstr>
  </property>
  <property fmtid="{D5CDD505-2E9C-101B-9397-08002B2CF9AE}" pid="4" name="KSOTemplateDocerSaveRecord">
    <vt:lpwstr>eyJoZGlkIjoiNDQ1OTUwMDNmM2M2YTQ3MmQxODUyZWU1MjNkNDFhY2EiLCJ1c2VySWQiOiIyOTQ1NTMzNDQifQ==</vt:lpwstr>
  </property>
</Properties>
</file>