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34FDC">
      <w:pPr>
        <w:bidi w:val="0"/>
        <w:rPr>
          <w:rFonts w:hint="eastAsia"/>
          <w:color w:val="auto"/>
          <w:highlight w:val="none"/>
        </w:rPr>
      </w:pPr>
    </w:p>
    <w:p w14:paraId="66AAAF29">
      <w:pPr>
        <w:pStyle w:val="26"/>
        <w:rPr>
          <w:rFonts w:hint="eastAsia"/>
          <w:color w:val="auto"/>
          <w:highlight w:val="none"/>
        </w:rPr>
      </w:pPr>
    </w:p>
    <w:p w14:paraId="3998274D">
      <w:pPr>
        <w:tabs>
          <w:tab w:val="left" w:pos="420"/>
        </w:tabs>
        <w:spacing w:line="1700" w:lineRule="exact"/>
        <w:jc w:val="center"/>
        <w:rPr>
          <w:rFonts w:hint="eastAsia" w:ascii="宋体" w:hAnsi="宋体" w:eastAsia="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0A4E8A">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14:paraId="18EF2314">
      <w:pPr>
        <w:tabs>
          <w:tab w:val="left" w:pos="315"/>
          <w:tab w:val="left" w:pos="8820"/>
        </w:tabs>
        <w:spacing w:line="500" w:lineRule="exact"/>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政 府 采 购 招 标 文 件</w:t>
      </w:r>
    </w:p>
    <w:p w14:paraId="7821FDDC">
      <w:pPr>
        <w:tabs>
          <w:tab w:val="left" w:pos="315"/>
          <w:tab w:val="left" w:pos="8820"/>
        </w:tabs>
        <w:spacing w:line="500" w:lineRule="exact"/>
        <w:ind w:right="267" w:rightChars="127"/>
        <w:jc w:val="center"/>
        <w:rPr>
          <w:rFonts w:hint="eastAsia" w:ascii="宋体" w:hAnsi="宋体" w:eastAsia="宋体" w:cs="宋体"/>
          <w:color w:val="auto"/>
          <w:sz w:val="44"/>
          <w:highlight w:val="none"/>
        </w:rPr>
      </w:pPr>
    </w:p>
    <w:p w14:paraId="577934BB">
      <w:pPr>
        <w:tabs>
          <w:tab w:val="left" w:pos="315"/>
          <w:tab w:val="left" w:pos="8820"/>
        </w:tabs>
        <w:ind w:right="267" w:rightChars="127"/>
        <w:rPr>
          <w:rFonts w:hint="eastAsia" w:ascii="宋体" w:hAnsi="宋体" w:eastAsia="宋体" w:cs="宋体"/>
          <w:color w:val="auto"/>
          <w:sz w:val="44"/>
          <w:highlight w:val="none"/>
        </w:rPr>
      </w:pPr>
    </w:p>
    <w:p w14:paraId="23497845">
      <w:pPr>
        <w:tabs>
          <w:tab w:val="left" w:pos="315"/>
          <w:tab w:val="left" w:pos="8820"/>
        </w:tabs>
        <w:ind w:right="267" w:rightChars="127"/>
        <w:rPr>
          <w:rFonts w:hint="eastAsia" w:ascii="宋体" w:hAnsi="宋体" w:eastAsia="宋体" w:cs="宋体"/>
          <w:color w:val="auto"/>
          <w:sz w:val="44"/>
          <w:highlight w:val="none"/>
        </w:rPr>
      </w:pPr>
    </w:p>
    <w:p w14:paraId="469BF6A3">
      <w:pPr>
        <w:tabs>
          <w:tab w:val="left" w:pos="315"/>
          <w:tab w:val="left" w:pos="8820"/>
        </w:tabs>
        <w:ind w:right="267" w:rightChars="127"/>
        <w:rPr>
          <w:rFonts w:hint="eastAsia" w:ascii="宋体" w:hAnsi="宋体" w:eastAsia="宋体" w:cs="宋体"/>
          <w:color w:val="auto"/>
          <w:sz w:val="44"/>
          <w:highlight w:val="none"/>
        </w:rPr>
      </w:pPr>
    </w:p>
    <w:p w14:paraId="1471CCE0">
      <w:pPr>
        <w:tabs>
          <w:tab w:val="left" w:pos="315"/>
          <w:tab w:val="left" w:pos="8820"/>
        </w:tabs>
        <w:ind w:right="267" w:rightChars="127"/>
        <w:rPr>
          <w:rFonts w:hint="eastAsia" w:ascii="宋体" w:hAnsi="宋体" w:eastAsia="宋体" w:cs="宋体"/>
          <w:color w:val="auto"/>
          <w:sz w:val="44"/>
          <w:highlight w:val="none"/>
        </w:rPr>
      </w:pPr>
    </w:p>
    <w:p w14:paraId="579B1FC1">
      <w:pPr>
        <w:tabs>
          <w:tab w:val="left" w:pos="315"/>
          <w:tab w:val="left" w:pos="8820"/>
        </w:tabs>
        <w:spacing w:line="500" w:lineRule="exact"/>
        <w:ind w:right="267" w:rightChars="127"/>
        <w:rPr>
          <w:rFonts w:hint="eastAsia" w:ascii="宋体" w:hAnsi="宋体" w:eastAsia="宋体" w:cs="宋体"/>
          <w:color w:val="auto"/>
          <w:sz w:val="36"/>
          <w:highlight w:val="none"/>
        </w:rPr>
      </w:pPr>
    </w:p>
    <w:p w14:paraId="794A56A5">
      <w:pPr>
        <w:pStyle w:val="8"/>
        <w:spacing w:line="360" w:lineRule="auto"/>
        <w:ind w:firstLine="643" w:firstLineChars="200"/>
        <w:rPr>
          <w:rFonts w:hint="default" w:ascii="宋体" w:hAnsi="宋体" w:eastAsia="宋体" w:cs="宋体"/>
          <w:color w:val="auto"/>
          <w:sz w:val="32"/>
          <w:highlight w:val="none"/>
          <w:lang w:val="en-US" w:eastAsia="zh-CN"/>
        </w:rPr>
      </w:pPr>
      <w:r>
        <w:rPr>
          <w:rFonts w:hint="eastAsia" w:ascii="宋体" w:hAnsi="宋体" w:eastAsia="宋体" w:cs="宋体"/>
          <w:color w:val="auto"/>
          <w:sz w:val="32"/>
          <w:szCs w:val="32"/>
          <w:highlight w:val="none"/>
        </w:rPr>
        <w:t>项目名称</w:t>
      </w:r>
      <w:r>
        <w:rPr>
          <w:rFonts w:hint="eastAsia" w:ascii="宋体" w:hAnsi="宋体" w:eastAsia="宋体" w:cs="宋体"/>
          <w:color w:val="auto"/>
          <w:szCs w:val="28"/>
          <w:highlight w:val="none"/>
        </w:rPr>
        <w:t>：</w:t>
      </w:r>
      <w:r>
        <w:rPr>
          <w:rFonts w:hint="eastAsia" w:ascii="宋体" w:hAnsi="宋体" w:eastAsia="宋体" w:cs="宋体"/>
          <w:b w:val="0"/>
          <w:bCs/>
          <w:color w:val="auto"/>
          <w:sz w:val="32"/>
          <w:szCs w:val="32"/>
          <w:highlight w:val="none"/>
          <w:lang w:val="en-US" w:eastAsia="zh-CN"/>
        </w:rPr>
        <w:t>商水县教育体育局2026年农村义务教育学生营养改善计划食材采购项目</w:t>
      </w:r>
    </w:p>
    <w:p w14:paraId="71F282EC">
      <w:pPr>
        <w:pStyle w:val="8"/>
        <w:spacing w:line="360" w:lineRule="auto"/>
        <w:ind w:firstLine="643" w:firstLineChars="200"/>
        <w:rPr>
          <w:rFonts w:hint="default" w:ascii="宋体" w:hAnsi="宋体" w:eastAsia="宋体" w:cs="宋体"/>
          <w:color w:val="auto"/>
          <w:sz w:val="32"/>
          <w:highlight w:val="none"/>
          <w:lang w:val="en-US" w:eastAsia="zh-CN"/>
        </w:rPr>
      </w:pPr>
      <w:r>
        <w:rPr>
          <w:rFonts w:hint="eastAsia" w:ascii="宋体" w:hAnsi="宋体" w:eastAsia="宋体" w:cs="宋体"/>
          <w:color w:val="auto"/>
          <w:sz w:val="32"/>
          <w:highlight w:val="none"/>
        </w:rPr>
        <w:t>项目编号：</w:t>
      </w:r>
      <w:r>
        <w:rPr>
          <w:rFonts w:hint="eastAsia" w:ascii="宋体" w:hAnsi="宋体" w:eastAsia="宋体" w:cs="宋体"/>
          <w:b w:val="0"/>
          <w:bCs/>
          <w:color w:val="auto"/>
          <w:sz w:val="32"/>
          <w:highlight w:val="none"/>
        </w:rPr>
        <w:t>商水财招标采购-2026-11</w:t>
      </w:r>
    </w:p>
    <w:p w14:paraId="724BA333">
      <w:pPr>
        <w:pStyle w:val="8"/>
        <w:rPr>
          <w:rFonts w:hint="eastAsia" w:ascii="宋体" w:hAnsi="宋体" w:eastAsia="宋体" w:cs="宋体"/>
          <w:color w:val="auto"/>
          <w:sz w:val="32"/>
          <w:highlight w:val="none"/>
        </w:rPr>
      </w:pPr>
    </w:p>
    <w:p w14:paraId="12532956">
      <w:pPr>
        <w:spacing w:line="360" w:lineRule="auto"/>
        <w:jc w:val="center"/>
        <w:rPr>
          <w:rFonts w:hint="eastAsia" w:ascii="宋体" w:hAnsi="宋体" w:eastAsia="宋体" w:cs="宋体"/>
          <w:b/>
          <w:color w:val="auto"/>
          <w:spacing w:val="-4"/>
          <w:sz w:val="84"/>
          <w:highlight w:val="none"/>
        </w:rPr>
      </w:pPr>
    </w:p>
    <w:p w14:paraId="5E79AB96">
      <w:pPr>
        <w:spacing w:line="360" w:lineRule="auto"/>
        <w:jc w:val="center"/>
        <w:rPr>
          <w:rFonts w:hint="eastAsia" w:ascii="宋体" w:hAnsi="宋体" w:eastAsia="宋体" w:cs="宋体"/>
          <w:b w:val="0"/>
          <w:bCs/>
          <w:color w:val="auto"/>
          <w:spacing w:val="-4"/>
          <w:sz w:val="32"/>
          <w:szCs w:val="32"/>
          <w:highlight w:val="none"/>
        </w:rPr>
      </w:pPr>
    </w:p>
    <w:p w14:paraId="3B71840A">
      <w:pPr>
        <w:spacing w:line="360" w:lineRule="auto"/>
        <w:jc w:val="center"/>
        <w:rPr>
          <w:rFonts w:hint="eastAsia" w:ascii="宋体" w:hAnsi="宋体" w:eastAsia="宋体" w:cs="宋体"/>
          <w:b/>
          <w:bCs w:val="0"/>
          <w:color w:val="auto"/>
          <w:spacing w:val="-4"/>
          <w:sz w:val="36"/>
          <w:szCs w:val="36"/>
          <w:highlight w:val="none"/>
        </w:rPr>
      </w:pPr>
      <w:r>
        <w:rPr>
          <w:rFonts w:hint="eastAsia" w:ascii="宋体" w:hAnsi="宋体" w:cs="宋体"/>
          <w:b/>
          <w:bCs w:val="0"/>
          <w:i w:val="0"/>
          <w:iCs w:val="0"/>
          <w:color w:val="auto"/>
          <w:spacing w:val="-4"/>
          <w:sz w:val="32"/>
          <w:szCs w:val="32"/>
          <w:highlight w:val="none"/>
          <w:lang w:val="en-US" w:eastAsia="zh-CN"/>
        </w:rPr>
        <w:t>2026</w:t>
      </w:r>
      <w:r>
        <w:rPr>
          <w:rFonts w:hint="eastAsia" w:ascii="宋体" w:hAnsi="宋体" w:eastAsia="宋体" w:cs="宋体"/>
          <w:b/>
          <w:bCs w:val="0"/>
          <w:i w:val="0"/>
          <w:iCs w:val="0"/>
          <w:color w:val="auto"/>
          <w:spacing w:val="-4"/>
          <w:sz w:val="32"/>
          <w:szCs w:val="32"/>
          <w:highlight w:val="none"/>
        </w:rPr>
        <w:t>年</w:t>
      </w:r>
      <w:r>
        <w:rPr>
          <w:rFonts w:hint="eastAsia" w:ascii="宋体" w:hAnsi="宋体" w:cs="宋体"/>
          <w:b/>
          <w:bCs w:val="0"/>
          <w:i w:val="0"/>
          <w:iCs w:val="0"/>
          <w:color w:val="auto"/>
          <w:sz w:val="32"/>
          <w:szCs w:val="32"/>
          <w:highlight w:val="none"/>
          <w:shd w:val="clear" w:color="auto" w:fill="FFFFFF"/>
          <w:lang w:val="en-US" w:eastAsia="zh-CN"/>
        </w:rPr>
        <w:t xml:space="preserve"> 3 </w:t>
      </w:r>
      <w:r>
        <w:rPr>
          <w:rFonts w:hint="eastAsia" w:ascii="宋体" w:hAnsi="宋体" w:eastAsia="宋体" w:cs="宋体"/>
          <w:b/>
          <w:bCs w:val="0"/>
          <w:i w:val="0"/>
          <w:iCs w:val="0"/>
          <w:color w:val="auto"/>
          <w:spacing w:val="-4"/>
          <w:sz w:val="32"/>
          <w:szCs w:val="32"/>
          <w:highlight w:val="none"/>
        </w:rPr>
        <w:t>月</w:t>
      </w:r>
    </w:p>
    <w:p w14:paraId="1B74BEB5">
      <w:pPr>
        <w:pStyle w:val="8"/>
        <w:jc w:val="center"/>
        <w:rPr>
          <w:rFonts w:hint="eastAsia" w:ascii="宋体" w:hAnsi="宋体" w:eastAsia="宋体" w:cs="宋体"/>
          <w:color w:val="auto"/>
          <w:highlight w:val="none"/>
        </w:rPr>
      </w:pPr>
    </w:p>
    <w:p w14:paraId="4DDD0E8E">
      <w:pPr>
        <w:pStyle w:val="8"/>
        <w:jc w:val="center"/>
        <w:rPr>
          <w:rFonts w:hint="eastAsia" w:ascii="宋体" w:hAnsi="宋体" w:eastAsia="宋体" w:cs="宋体"/>
          <w:color w:val="auto"/>
          <w:highlight w:val="none"/>
        </w:rPr>
      </w:pPr>
    </w:p>
    <w:p w14:paraId="03BF9F2C">
      <w:pPr>
        <w:pStyle w:val="8"/>
        <w:jc w:val="center"/>
        <w:rPr>
          <w:rFonts w:hint="eastAsia" w:ascii="宋体" w:hAnsi="宋体" w:eastAsia="宋体" w:cs="宋体"/>
          <w:color w:val="auto"/>
          <w:highlight w:val="none"/>
        </w:rPr>
      </w:pPr>
    </w:p>
    <w:p w14:paraId="27D535AC">
      <w:pPr>
        <w:pStyle w:val="8"/>
        <w:jc w:val="center"/>
        <w:rPr>
          <w:rFonts w:hint="eastAsia" w:ascii="宋体" w:hAnsi="宋体" w:eastAsia="宋体" w:cs="宋体"/>
          <w:color w:val="auto"/>
          <w:highlight w:val="none"/>
        </w:rPr>
      </w:pPr>
    </w:p>
    <w:p w14:paraId="37458BA4">
      <w:pPr>
        <w:pStyle w:val="8"/>
        <w:jc w:val="center"/>
        <w:rPr>
          <w:rFonts w:hint="eastAsia" w:ascii="宋体" w:hAnsi="宋体" w:eastAsia="宋体" w:cs="宋体"/>
          <w:color w:val="auto"/>
          <w:highlight w:val="none"/>
        </w:rPr>
      </w:pPr>
    </w:p>
    <w:p w14:paraId="5AA2779F">
      <w:pPr>
        <w:pStyle w:val="8"/>
        <w:jc w:val="center"/>
        <w:rPr>
          <w:rFonts w:hint="eastAsia" w:ascii="宋体" w:hAnsi="宋体" w:eastAsia="宋体" w:cs="宋体"/>
          <w:color w:val="auto"/>
          <w:highlight w:val="none"/>
        </w:rPr>
      </w:pPr>
    </w:p>
    <w:p w14:paraId="21C0C194">
      <w:pPr>
        <w:pStyle w:val="8"/>
        <w:jc w:val="both"/>
        <w:rPr>
          <w:rFonts w:hint="eastAsia" w:ascii="宋体" w:hAnsi="宋体" w:eastAsia="宋体" w:cs="宋体"/>
          <w:color w:val="auto"/>
          <w:highlight w:val="none"/>
        </w:rPr>
      </w:pPr>
    </w:p>
    <w:p w14:paraId="08194901">
      <w:pPr>
        <w:tabs>
          <w:tab w:val="left" w:pos="4620"/>
        </w:tabs>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目  录</w:t>
      </w:r>
    </w:p>
    <w:p w14:paraId="6D35CA15">
      <w:pPr>
        <w:pStyle w:val="17"/>
        <w:tabs>
          <w:tab w:val="right" w:leader="dot" w:pos="8390"/>
        </w:tabs>
        <w:jc w:val="left"/>
        <w:rPr>
          <w:rFonts w:hint="eastAsia" w:ascii="宋体" w:hAnsi="宋体" w:eastAsia="宋体" w:cs="宋体"/>
          <w:bCs/>
          <w:caps/>
          <w:smallCaps/>
          <w:color w:val="auto"/>
          <w:sz w:val="32"/>
          <w:szCs w:val="32"/>
          <w:highlight w:val="none"/>
        </w:rPr>
      </w:pPr>
      <w:bookmarkStart w:id="0" w:name="_Hlt526418134"/>
      <w:bookmarkEnd w:id="0"/>
      <w:bookmarkStart w:id="1" w:name="_Hlt519045295"/>
      <w:bookmarkEnd w:id="1"/>
      <w:bookmarkStart w:id="2" w:name="_Hlt533241375"/>
      <w:bookmarkEnd w:id="2"/>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TOC \o "1-3" \h \z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_Toc20608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第一章  招标公告</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_Toc20608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1803417">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_Toc8586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 xml:space="preserve">第二章 </w:t>
      </w:r>
      <w:r>
        <w:rPr>
          <w:rFonts w:hint="eastAsia" w:ascii="宋体" w:hAnsi="宋体" w:cs="宋体"/>
          <w:bCs/>
          <w:caps/>
          <w:smallCaps/>
          <w:color w:val="auto"/>
          <w:sz w:val="32"/>
          <w:szCs w:val="32"/>
          <w:highlight w:val="none"/>
          <w:lang w:eastAsia="zh-CN"/>
        </w:rPr>
        <w:t>供应商</w:t>
      </w:r>
      <w:r>
        <w:rPr>
          <w:rFonts w:hint="eastAsia" w:ascii="宋体" w:hAnsi="宋体" w:eastAsia="宋体" w:cs="宋体"/>
          <w:bCs/>
          <w:caps/>
          <w:smallCaps/>
          <w:color w:val="auto"/>
          <w:sz w:val="32"/>
          <w:szCs w:val="32"/>
          <w:highlight w:val="none"/>
        </w:rPr>
        <w:t>须知前附表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_Toc8586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24B97C46">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_Toc22493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第三章</w:t>
      </w:r>
      <w:r>
        <w:rPr>
          <w:rFonts w:hint="eastAsia" w:ascii="宋体" w:hAnsi="宋体" w:eastAsia="宋体" w:cs="宋体"/>
          <w:bCs/>
          <w:caps/>
          <w:smallCaps/>
          <w:color w:val="auto"/>
          <w:sz w:val="32"/>
          <w:szCs w:val="32"/>
          <w:highlight w:val="none"/>
          <w:lang w:eastAsia="zh-CN"/>
        </w:rPr>
        <w:t xml:space="preserve">  </w:t>
      </w:r>
      <w:r>
        <w:rPr>
          <w:rFonts w:hint="eastAsia" w:ascii="宋体" w:hAnsi="宋体" w:eastAsia="宋体" w:cs="宋体"/>
          <w:bCs/>
          <w:caps/>
          <w:smallCaps/>
          <w:color w:val="auto"/>
          <w:sz w:val="32"/>
          <w:szCs w:val="32"/>
          <w:highlight w:val="none"/>
        </w:rPr>
        <w:t>需求一览表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_Toc22493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76F4CEB1">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_Toc2172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第四章 评标办法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_Toc2172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17</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08CF68AC">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_Toc20612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 xml:space="preserve">第五章 </w:t>
      </w:r>
      <w:r>
        <w:rPr>
          <w:rFonts w:hint="eastAsia" w:ascii="宋体" w:hAnsi="宋体" w:cs="宋体"/>
          <w:bCs/>
          <w:caps/>
          <w:smallCaps/>
          <w:color w:val="auto"/>
          <w:sz w:val="32"/>
          <w:szCs w:val="32"/>
          <w:highlight w:val="none"/>
          <w:lang w:eastAsia="zh-CN"/>
        </w:rPr>
        <w:t>供应商</w:t>
      </w:r>
      <w:r>
        <w:rPr>
          <w:rFonts w:hint="eastAsia" w:ascii="宋体" w:hAnsi="宋体" w:eastAsia="宋体" w:cs="宋体"/>
          <w:bCs/>
          <w:caps/>
          <w:smallCaps/>
          <w:color w:val="auto"/>
          <w:sz w:val="32"/>
          <w:szCs w:val="32"/>
          <w:highlight w:val="none"/>
        </w:rPr>
        <w:t>须知</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_Toc20612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23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0B2553C3">
      <w:pPr>
        <w:pStyle w:val="17"/>
        <w:tabs>
          <w:tab w:val="right" w:leader="dot" w:pos="8390"/>
        </w:tabs>
        <w:jc w:val="left"/>
        <w:rPr>
          <w:rFonts w:hint="default" w:ascii="宋体" w:hAnsi="宋体" w:eastAsia="宋体" w:cs="宋体"/>
          <w:bCs/>
          <w:caps/>
          <w:smallCaps/>
          <w:color w:val="auto"/>
          <w:sz w:val="32"/>
          <w:szCs w:val="32"/>
          <w:highlight w:val="none"/>
          <w:lang w:val="en-US" w:eastAsia="zh-CN"/>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_Toc13590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lang w:val="en-US"/>
        </w:rPr>
        <w:t>第六章 周口市政府采购合同（</w:t>
      </w:r>
      <w:r>
        <w:rPr>
          <w:rFonts w:hint="eastAsia" w:ascii="宋体" w:hAnsi="宋体" w:eastAsia="宋体" w:cs="宋体"/>
          <w:bCs/>
          <w:caps/>
          <w:smallCaps/>
          <w:color w:val="auto"/>
          <w:sz w:val="32"/>
          <w:szCs w:val="32"/>
          <w:highlight w:val="none"/>
          <w:lang w:val="en-US" w:eastAsia="zh-CN"/>
        </w:rPr>
        <w:t>服务</w:t>
      </w:r>
      <w:r>
        <w:rPr>
          <w:rFonts w:hint="eastAsia" w:ascii="宋体" w:hAnsi="宋体" w:eastAsia="宋体" w:cs="宋体"/>
          <w:bCs/>
          <w:caps/>
          <w:smallCaps/>
          <w:color w:val="auto"/>
          <w:sz w:val="32"/>
          <w:szCs w:val="32"/>
          <w:highlight w:val="none"/>
          <w:lang w:val="en-US"/>
        </w:rPr>
        <w:t>类）标准文本</w:t>
      </w:r>
      <w:r>
        <w:rPr>
          <w:rFonts w:hint="eastAsia" w:ascii="宋体" w:hAnsi="宋体" w:eastAsia="宋体" w:cs="宋体"/>
          <w:bCs/>
          <w:caps/>
          <w:smallCaps/>
          <w:color w:val="auto"/>
          <w:sz w:val="32"/>
          <w:szCs w:val="32"/>
          <w:highlight w:val="none"/>
          <w:lang w:val="en-US" w:eastAsia="zh-CN"/>
        </w:rPr>
        <w:t>、</w:t>
      </w:r>
      <w:r>
        <w:rPr>
          <w:rFonts w:hint="eastAsia" w:ascii="宋体" w:hAnsi="宋体" w:eastAsia="宋体" w:cs="宋体"/>
          <w:bCs/>
          <w:caps/>
          <w:smallCaps/>
          <w:color w:val="auto"/>
          <w:sz w:val="32"/>
          <w:szCs w:val="32"/>
          <w:highlight w:val="none"/>
        </w:rPr>
        <w:t>合同签订指引</w:t>
      </w:r>
      <w:r>
        <w:rPr>
          <w:rFonts w:hint="eastAsia" w:ascii="宋体" w:hAnsi="宋体" w:eastAsia="宋体" w:cs="宋体"/>
          <w:bCs/>
          <w:caps/>
          <w:smallCaps/>
          <w:color w:val="auto"/>
          <w:sz w:val="32"/>
          <w:szCs w:val="32"/>
          <w:highlight w:val="none"/>
          <w:lang w:eastAsia="zh-CN"/>
        </w:rPr>
        <w:t>、</w:t>
      </w:r>
      <w:r>
        <w:rPr>
          <w:rFonts w:hint="eastAsia" w:ascii="宋体" w:hAnsi="宋体" w:eastAsia="宋体" w:cs="宋体"/>
          <w:bCs/>
          <w:caps/>
          <w:smallCaps/>
          <w:color w:val="auto"/>
          <w:sz w:val="32"/>
          <w:szCs w:val="32"/>
          <w:highlight w:val="none"/>
        </w:rPr>
        <w:t>供应商履约验收指引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end"/>
      </w:r>
      <w:r>
        <w:rPr>
          <w:rFonts w:hint="eastAsia" w:ascii="宋体" w:hAnsi="宋体" w:cs="宋体"/>
          <w:bCs/>
          <w:caps/>
          <w:smallCaps/>
          <w:color w:val="auto"/>
          <w:sz w:val="32"/>
          <w:szCs w:val="32"/>
          <w:highlight w:val="none"/>
          <w:lang w:val="en-US" w:eastAsia="zh-CN"/>
        </w:rPr>
        <w:t>49</w:t>
      </w:r>
    </w:p>
    <w:p w14:paraId="6F72B5E3">
      <w:pPr>
        <w:pStyle w:val="17"/>
        <w:tabs>
          <w:tab w:val="right" w:leader="dot" w:pos="8390"/>
        </w:tabs>
        <w:jc w:val="left"/>
        <w:rPr>
          <w:rFonts w:hint="eastAsia" w:ascii="宋体" w:hAnsi="宋体" w:eastAsia="宋体" w:cs="宋体"/>
          <w:bCs/>
          <w:caps/>
          <w:smallCaps/>
          <w:color w:val="auto"/>
          <w:sz w:val="32"/>
          <w:szCs w:val="32"/>
          <w:highlight w:val="none"/>
          <w:lang w:val="en-US" w:eastAsia="zh-CN"/>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_Toc30673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采购合同内容</w:t>
      </w:r>
      <w:r>
        <w:rPr>
          <w:rFonts w:hint="eastAsia" w:ascii="宋体" w:hAnsi="宋体" w:eastAsia="宋体" w:cs="宋体"/>
          <w:bCs/>
          <w:caps/>
          <w:smallCaps/>
          <w:color w:val="auto"/>
          <w:sz w:val="32"/>
          <w:szCs w:val="32"/>
          <w:highlight w:val="none"/>
        </w:rPr>
        <w:tab/>
      </w:r>
      <w:r>
        <w:rPr>
          <w:rFonts w:hint="eastAsia" w:ascii="宋体" w:hAnsi="宋体" w:cs="宋体"/>
          <w:bCs/>
          <w:caps/>
          <w:smallCaps/>
          <w:color w:val="auto"/>
          <w:sz w:val="32"/>
          <w:szCs w:val="32"/>
          <w:highlight w:val="none"/>
          <w:lang w:val="en-US" w:eastAsia="zh-CN"/>
        </w:rPr>
        <w:t>5</w:t>
      </w:r>
      <w:r>
        <w:rPr>
          <w:rFonts w:hint="eastAsia" w:ascii="宋体" w:hAnsi="宋体" w:eastAsia="宋体" w:cs="宋体"/>
          <w:bCs/>
          <w:caps/>
          <w:smallCaps/>
          <w:color w:val="auto"/>
          <w:sz w:val="32"/>
          <w:szCs w:val="32"/>
          <w:highlight w:val="none"/>
        </w:rPr>
        <w:fldChar w:fldCharType="end"/>
      </w:r>
      <w:r>
        <w:rPr>
          <w:rFonts w:hint="eastAsia" w:ascii="宋体" w:hAnsi="宋体" w:cs="宋体"/>
          <w:bCs/>
          <w:caps/>
          <w:smallCaps/>
          <w:color w:val="auto"/>
          <w:sz w:val="32"/>
          <w:szCs w:val="32"/>
          <w:highlight w:val="none"/>
          <w:lang w:val="en-US" w:eastAsia="zh-CN"/>
        </w:rPr>
        <w:t>2</w:t>
      </w:r>
    </w:p>
    <w:p w14:paraId="6CFB8A0B">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_Toc30894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第七章 投标文件格式</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_Toc30894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43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076E509">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_Toc12913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周口市政府采购合同融资政策告知函</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_Toc12913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54</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41D0D929">
      <w:pPr>
        <w:pStyle w:val="17"/>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end"/>
      </w:r>
    </w:p>
    <w:p w14:paraId="1F4BDF9B">
      <w:pPr>
        <w:pStyle w:val="17"/>
        <w:tabs>
          <w:tab w:val="right" w:leader="dot" w:pos="8390"/>
        </w:tabs>
        <w:jc w:val="left"/>
        <w:rPr>
          <w:rFonts w:hint="eastAsia" w:ascii="宋体" w:hAnsi="宋体" w:eastAsia="宋体" w:cs="宋体"/>
          <w:bCs/>
          <w:caps/>
          <w:smallCaps/>
          <w:color w:val="auto"/>
          <w:sz w:val="32"/>
          <w:szCs w:val="32"/>
          <w:highlight w:val="none"/>
        </w:rPr>
      </w:pPr>
    </w:p>
    <w:p w14:paraId="1B2C2A06">
      <w:pPr>
        <w:pStyle w:val="17"/>
        <w:tabs>
          <w:tab w:val="right" w:leader="dot" w:pos="8390"/>
        </w:tabs>
        <w:jc w:val="left"/>
        <w:rPr>
          <w:rFonts w:hint="eastAsia" w:ascii="宋体" w:hAnsi="宋体" w:eastAsia="宋体" w:cs="宋体"/>
          <w:bCs/>
          <w:caps/>
          <w:smallCaps/>
          <w:color w:val="auto"/>
          <w:sz w:val="32"/>
          <w:szCs w:val="32"/>
          <w:highlight w:val="none"/>
        </w:rPr>
      </w:pPr>
    </w:p>
    <w:p w14:paraId="2036D8AE">
      <w:pPr>
        <w:pStyle w:val="17"/>
        <w:tabs>
          <w:tab w:val="right" w:leader="dot" w:pos="8390"/>
        </w:tabs>
        <w:jc w:val="left"/>
        <w:rPr>
          <w:rFonts w:hint="eastAsia" w:ascii="宋体" w:hAnsi="宋体" w:eastAsia="宋体" w:cs="宋体"/>
          <w:bCs/>
          <w:caps/>
          <w:smallCaps/>
          <w:color w:val="auto"/>
          <w:sz w:val="32"/>
          <w:szCs w:val="32"/>
          <w:highlight w:val="none"/>
        </w:rPr>
      </w:pPr>
    </w:p>
    <w:p w14:paraId="56F1644F">
      <w:pPr>
        <w:pStyle w:val="17"/>
        <w:tabs>
          <w:tab w:val="right" w:leader="dot" w:pos="8390"/>
        </w:tabs>
        <w:jc w:val="left"/>
        <w:rPr>
          <w:rFonts w:hint="eastAsia" w:ascii="宋体" w:hAnsi="宋体" w:eastAsia="宋体" w:cs="宋体"/>
          <w:bCs/>
          <w:caps/>
          <w:smallCaps/>
          <w:color w:val="auto"/>
          <w:sz w:val="32"/>
          <w:szCs w:val="32"/>
          <w:highlight w:val="none"/>
        </w:rPr>
      </w:pPr>
    </w:p>
    <w:p w14:paraId="2D76983A">
      <w:pPr>
        <w:rPr>
          <w:rFonts w:hint="eastAsia" w:ascii="宋体" w:hAnsi="宋体" w:eastAsia="宋体" w:cs="宋体"/>
          <w:b/>
          <w:bCs/>
          <w:caps/>
          <w:color w:val="auto"/>
          <w:sz w:val="24"/>
          <w:szCs w:val="24"/>
          <w:highlight w:val="none"/>
        </w:rPr>
      </w:pPr>
    </w:p>
    <w:p w14:paraId="033D8EED">
      <w:pPr>
        <w:rPr>
          <w:rFonts w:hint="eastAsia" w:ascii="宋体" w:hAnsi="宋体" w:eastAsia="宋体" w:cs="宋体"/>
          <w:b/>
          <w:bCs/>
          <w:caps/>
          <w:color w:val="auto"/>
          <w:sz w:val="24"/>
          <w:szCs w:val="24"/>
          <w:highlight w:val="none"/>
        </w:rPr>
      </w:pPr>
    </w:p>
    <w:p w14:paraId="5E3BD219">
      <w:pPr>
        <w:rPr>
          <w:rFonts w:hint="eastAsia" w:ascii="宋体" w:hAnsi="宋体" w:eastAsia="宋体" w:cs="宋体"/>
          <w:b/>
          <w:bCs/>
          <w:caps/>
          <w:color w:val="auto"/>
          <w:sz w:val="24"/>
          <w:szCs w:val="24"/>
          <w:highlight w:val="none"/>
        </w:rPr>
      </w:pPr>
    </w:p>
    <w:p w14:paraId="3DE2D8E5">
      <w:pPr>
        <w:rPr>
          <w:rFonts w:hint="eastAsia" w:ascii="宋体" w:hAnsi="宋体" w:eastAsia="宋体" w:cs="宋体"/>
          <w:b/>
          <w:bCs/>
          <w:caps/>
          <w:color w:val="auto"/>
          <w:sz w:val="24"/>
          <w:szCs w:val="24"/>
          <w:highlight w:val="none"/>
        </w:rPr>
      </w:pPr>
    </w:p>
    <w:p w14:paraId="4E80C50D">
      <w:pPr>
        <w:rPr>
          <w:rFonts w:hint="eastAsia" w:ascii="宋体" w:hAnsi="宋体" w:eastAsia="宋体" w:cs="宋体"/>
          <w:b/>
          <w:bCs/>
          <w:caps/>
          <w:color w:val="auto"/>
          <w:sz w:val="24"/>
          <w:szCs w:val="24"/>
          <w:highlight w:val="none"/>
        </w:rPr>
      </w:pPr>
    </w:p>
    <w:p w14:paraId="5B453687">
      <w:pPr>
        <w:jc w:val="center"/>
        <w:rPr>
          <w:rFonts w:hint="eastAsia" w:ascii="宋体" w:hAnsi="宋体" w:eastAsia="宋体" w:cs="宋体"/>
          <w:b/>
          <w:bCs/>
          <w:caps/>
          <w:color w:val="auto"/>
          <w:sz w:val="24"/>
          <w:szCs w:val="24"/>
          <w:highlight w:val="none"/>
        </w:rPr>
      </w:pPr>
      <w:r>
        <w:rPr>
          <w:rFonts w:hint="eastAsia" w:ascii="宋体" w:hAnsi="宋体" w:eastAsia="宋体" w:cs="宋体"/>
          <w:b/>
          <w:bCs/>
          <w:caps/>
          <w:color w:val="auto"/>
          <w:sz w:val="24"/>
          <w:szCs w:val="24"/>
          <w:highlight w:val="none"/>
        </w:rPr>
        <w:br w:type="page"/>
      </w:r>
    </w:p>
    <w:p w14:paraId="27315F7A">
      <w:pPr>
        <w:pStyle w:val="3"/>
        <w:numPr>
          <w:ilvl w:val="0"/>
          <w:numId w:val="1"/>
        </w:numPr>
        <w:spacing w:before="0" w:after="0" w:line="240" w:lineRule="auto"/>
        <w:ind w:firstLine="0"/>
        <w:rPr>
          <w:rFonts w:hint="eastAsia" w:ascii="宋体" w:hAnsi="宋体" w:eastAsia="宋体" w:cs="宋体"/>
          <w:color w:val="auto"/>
          <w:highlight w:val="none"/>
        </w:rPr>
      </w:pPr>
      <w:bookmarkStart w:id="3" w:name="_Toc28426_WPSOffice_Level1"/>
      <w:bookmarkStart w:id="4" w:name="_Toc20608"/>
      <w:r>
        <w:rPr>
          <w:rFonts w:hint="eastAsia" w:ascii="宋体" w:hAnsi="宋体" w:eastAsia="宋体" w:cs="宋体"/>
          <w:color w:val="auto"/>
          <w:highlight w:val="none"/>
        </w:rPr>
        <w:t xml:space="preserve"> 招标公告</w:t>
      </w:r>
      <w:bookmarkEnd w:id="3"/>
      <w:bookmarkEnd w:id="4"/>
    </w:p>
    <w:p w14:paraId="19B0CB66">
      <w:pPr>
        <w:rPr>
          <w:rFonts w:hint="eastAsia"/>
          <w:color w:val="auto"/>
          <w:highlight w:val="none"/>
        </w:rPr>
      </w:pPr>
    </w:p>
    <w:p w14:paraId="7144A0D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28784CE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w:t>
      </w:r>
      <w:r>
        <w:rPr>
          <w:rFonts w:hint="eastAsia" w:ascii="宋体" w:hAnsi="宋体" w:eastAsia="宋体" w:cs="宋体"/>
          <w:i w:val="0"/>
          <w:iCs w:val="0"/>
          <w:color w:val="auto"/>
          <w:sz w:val="24"/>
          <w:szCs w:val="24"/>
          <w:highlight w:val="none"/>
          <w:lang w:val="en-US" w:eastAsia="zh-CN"/>
        </w:rPr>
        <w:t>的潜在</w:t>
      </w:r>
      <w:r>
        <w:rPr>
          <w:rFonts w:hint="eastAsia" w:ascii="宋体" w:hAnsi="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lang w:val="en-US" w:eastAsia="zh-CN"/>
        </w:rPr>
        <w:t>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 xml:space="preserve"> 4 </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 xml:space="preserve"> 3 </w:t>
      </w:r>
      <w:r>
        <w:rPr>
          <w:rFonts w:hint="eastAsia" w:ascii="宋体" w:hAnsi="宋体" w:eastAsia="宋体" w:cs="宋体"/>
          <w:i w:val="0"/>
          <w:iCs w:val="0"/>
          <w:color w:val="auto"/>
          <w:sz w:val="24"/>
          <w:szCs w:val="24"/>
          <w:highlight w:val="none"/>
          <w:lang w:val="en-US" w:eastAsia="zh-CN"/>
        </w:rPr>
        <w:t xml:space="preserve">日 </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 xml:space="preserve"> 点 </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BD226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5" w:name="_Toc28359002"/>
      <w:bookmarkStart w:id="6" w:name="_Toc28359079"/>
      <w:bookmarkStart w:id="7" w:name="_Toc35393790"/>
      <w:bookmarkStart w:id="8" w:name="_Toc35393621"/>
      <w:bookmarkStart w:id="9" w:name="_Hlk24379207"/>
      <w:r>
        <w:rPr>
          <w:rFonts w:hint="eastAsia" w:ascii="宋体" w:hAnsi="宋体" w:eastAsia="宋体" w:cs="宋体"/>
          <w:i w:val="0"/>
          <w:iCs w:val="0"/>
          <w:color w:val="auto"/>
          <w:sz w:val="24"/>
          <w:szCs w:val="24"/>
          <w:highlight w:val="none"/>
        </w:rPr>
        <w:t>一、项目基本情况</w:t>
      </w:r>
      <w:bookmarkEnd w:id="5"/>
      <w:bookmarkEnd w:id="6"/>
      <w:bookmarkEnd w:id="7"/>
      <w:bookmarkEnd w:id="8"/>
    </w:p>
    <w:p w14:paraId="7000B1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项目编号：商水财招标采购-2026-11</w:t>
      </w:r>
    </w:p>
    <w:p w14:paraId="27871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项目名称：</w:t>
      </w:r>
      <w:r>
        <w:rPr>
          <w:rFonts w:hint="eastAsia" w:ascii="宋体" w:hAnsi="宋体" w:cs="宋体"/>
          <w:i w:val="0"/>
          <w:iCs w:val="0"/>
          <w:color w:val="auto"/>
          <w:sz w:val="24"/>
          <w:szCs w:val="24"/>
          <w:highlight w:val="none"/>
          <w:lang w:val="en-US" w:eastAsia="zh-CN"/>
        </w:rPr>
        <w:t>商水县教育体育局2026年农村义务教育学生营养改善计划食材采购项目</w:t>
      </w:r>
    </w:p>
    <w:bookmarkEnd w:id="9"/>
    <w:p w14:paraId="7CA9A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预算金额：8818</w:t>
      </w:r>
      <w:r>
        <w:rPr>
          <w:rFonts w:hint="eastAsia" w:ascii="宋体" w:hAnsi="宋体" w:cs="宋体"/>
          <w:i w:val="0"/>
          <w:iCs w:val="0"/>
          <w:color w:val="auto"/>
          <w:sz w:val="24"/>
          <w:szCs w:val="24"/>
          <w:highlight w:val="none"/>
          <w:lang w:val="en-US" w:eastAsia="zh-CN"/>
        </w:rPr>
        <w:t>0000.00</w:t>
      </w:r>
      <w:r>
        <w:rPr>
          <w:rFonts w:hint="eastAsia" w:ascii="宋体" w:hAnsi="宋体" w:eastAsia="宋体" w:cs="宋体"/>
          <w:i w:val="0"/>
          <w:iCs w:val="0"/>
          <w:color w:val="auto"/>
          <w:sz w:val="24"/>
          <w:szCs w:val="24"/>
          <w:highlight w:val="none"/>
        </w:rPr>
        <w:t>元</w:t>
      </w:r>
    </w:p>
    <w:p w14:paraId="6C53C3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最高限价（如有）：8818</w:t>
      </w:r>
      <w:r>
        <w:rPr>
          <w:rFonts w:hint="eastAsia" w:ascii="宋体" w:hAnsi="宋体" w:cs="宋体"/>
          <w:i w:val="0"/>
          <w:iCs w:val="0"/>
          <w:color w:val="auto"/>
          <w:sz w:val="24"/>
          <w:szCs w:val="24"/>
          <w:highlight w:val="none"/>
          <w:lang w:val="en-US" w:eastAsia="zh-CN"/>
        </w:rPr>
        <w:t>0000.00</w:t>
      </w:r>
      <w:r>
        <w:rPr>
          <w:rFonts w:hint="eastAsia" w:ascii="宋体" w:hAnsi="宋体" w:eastAsia="宋体" w:cs="宋体"/>
          <w:i w:val="0"/>
          <w:iCs w:val="0"/>
          <w:color w:val="auto"/>
          <w:sz w:val="24"/>
          <w:szCs w:val="24"/>
          <w:highlight w:val="none"/>
        </w:rPr>
        <w:t>元</w:t>
      </w:r>
    </w:p>
    <w:p w14:paraId="372210D9">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kern w:val="0"/>
          <w:sz w:val="24"/>
          <w:szCs w:val="24"/>
          <w:highlight w:val="none"/>
          <w:lang w:val="en-US" w:eastAsia="zh-CN"/>
        </w:rPr>
        <w:t>采购方式：公开招标</w:t>
      </w:r>
    </w:p>
    <w:p w14:paraId="57BE52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color w:val="auto"/>
          <w:sz w:val="24"/>
          <w:szCs w:val="24"/>
          <w:highlight w:val="none"/>
        </w:rPr>
        <w:t>包别划分</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5</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个包</w:t>
      </w:r>
    </w:p>
    <w:tbl>
      <w:tblPr>
        <w:tblStyle w:val="23"/>
        <w:tblpPr w:leftFromText="180" w:rightFromText="180" w:vertAnchor="text" w:horzAnchor="margin" w:tblpXSpec="center" w:tblpY="154"/>
        <w:tblW w:w="8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415"/>
        <w:gridCol w:w="2802"/>
      </w:tblGrid>
      <w:tr w14:paraId="1AE8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0227F5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包号</w:t>
            </w:r>
          </w:p>
        </w:tc>
        <w:tc>
          <w:tcPr>
            <w:tcW w:w="4415" w:type="dxa"/>
            <w:noWrap w:val="0"/>
            <w:vAlign w:val="center"/>
          </w:tcPr>
          <w:p w14:paraId="29756E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包名称</w:t>
            </w:r>
          </w:p>
        </w:tc>
        <w:tc>
          <w:tcPr>
            <w:tcW w:w="2802" w:type="dxa"/>
            <w:noWrap w:val="0"/>
            <w:vAlign w:val="center"/>
          </w:tcPr>
          <w:p w14:paraId="561FF0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包最高限价元</w:t>
            </w:r>
          </w:p>
        </w:tc>
      </w:tr>
      <w:tr w14:paraId="2B2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960F8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p>
        </w:tc>
        <w:tc>
          <w:tcPr>
            <w:tcW w:w="4415" w:type="dxa"/>
            <w:noWrap w:val="0"/>
            <w:vAlign w:val="center"/>
          </w:tcPr>
          <w:p w14:paraId="31E14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商水县教育体育局2026年农村义务教育学生营养改善计划食材采购项目包1</w:t>
            </w:r>
          </w:p>
        </w:tc>
        <w:tc>
          <w:tcPr>
            <w:tcW w:w="2802" w:type="dxa"/>
            <w:noWrap w:val="0"/>
            <w:vAlign w:val="center"/>
          </w:tcPr>
          <w:p w14:paraId="6BCBDA4C">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lang w:val="en-US" w:eastAsia="zh-CN"/>
              </w:rPr>
            </w:pPr>
            <w:r>
              <w:rPr>
                <w:rFonts w:hint="default" w:ascii="宋体" w:hAnsi="宋体" w:eastAsia="宋体" w:cs="宋体"/>
                <w:i w:val="0"/>
                <w:iCs w:val="0"/>
                <w:color w:val="auto"/>
                <w:sz w:val="24"/>
                <w:szCs w:val="24"/>
                <w:highlight w:val="none"/>
                <w:lang w:val="en-US" w:eastAsia="zh-CN"/>
              </w:rPr>
              <w:t>17706200</w:t>
            </w:r>
            <w:r>
              <w:rPr>
                <w:rFonts w:hint="eastAsia" w:ascii="宋体" w:hAnsi="宋体" w:cs="宋体"/>
                <w:i w:val="0"/>
                <w:iCs w:val="0"/>
                <w:color w:val="auto"/>
                <w:sz w:val="24"/>
                <w:szCs w:val="24"/>
                <w:highlight w:val="none"/>
                <w:lang w:val="en-US" w:eastAsia="zh-CN"/>
              </w:rPr>
              <w:t>.00</w:t>
            </w:r>
          </w:p>
        </w:tc>
      </w:tr>
      <w:tr w14:paraId="6E49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A8B9E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2</w:t>
            </w:r>
          </w:p>
        </w:tc>
        <w:tc>
          <w:tcPr>
            <w:tcW w:w="4415" w:type="dxa"/>
            <w:noWrap w:val="0"/>
            <w:vAlign w:val="center"/>
          </w:tcPr>
          <w:p w14:paraId="5A39E3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商水县教育体育局2026年农村义务教育学生营养改善计划食材采购项目包2</w:t>
            </w:r>
          </w:p>
        </w:tc>
        <w:tc>
          <w:tcPr>
            <w:tcW w:w="2802" w:type="dxa"/>
            <w:noWrap w:val="0"/>
            <w:vAlign w:val="center"/>
          </w:tcPr>
          <w:p w14:paraId="4BBC3342">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en-US" w:eastAsia="zh-CN"/>
              </w:rPr>
              <w:t>8214600</w:t>
            </w:r>
            <w:r>
              <w:rPr>
                <w:rFonts w:hint="eastAsia" w:ascii="宋体" w:hAnsi="宋体" w:cs="宋体"/>
                <w:i w:val="0"/>
                <w:iCs w:val="0"/>
                <w:color w:val="auto"/>
                <w:sz w:val="24"/>
                <w:szCs w:val="24"/>
                <w:highlight w:val="none"/>
                <w:lang w:val="en-US" w:eastAsia="zh-CN"/>
              </w:rPr>
              <w:t>.00</w:t>
            </w:r>
          </w:p>
        </w:tc>
      </w:tr>
      <w:tr w14:paraId="6405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750547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3</w:t>
            </w:r>
          </w:p>
        </w:tc>
        <w:tc>
          <w:tcPr>
            <w:tcW w:w="4415" w:type="dxa"/>
            <w:noWrap w:val="0"/>
            <w:vAlign w:val="center"/>
          </w:tcPr>
          <w:p w14:paraId="7FF6C1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商水县教育体育局2026年农村义务教育学生营养改善计划食材采购项目包3</w:t>
            </w:r>
          </w:p>
        </w:tc>
        <w:tc>
          <w:tcPr>
            <w:tcW w:w="2802" w:type="dxa"/>
            <w:noWrap w:val="0"/>
            <w:vAlign w:val="center"/>
          </w:tcPr>
          <w:p w14:paraId="0A071A6C">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17737000</w:t>
            </w:r>
            <w:r>
              <w:rPr>
                <w:rFonts w:hint="eastAsia" w:ascii="宋体" w:hAnsi="宋体" w:cs="宋体"/>
                <w:i w:val="0"/>
                <w:iCs w:val="0"/>
                <w:color w:val="auto"/>
                <w:sz w:val="24"/>
                <w:szCs w:val="24"/>
                <w:highlight w:val="none"/>
                <w:lang w:val="en-US" w:eastAsia="zh-CN"/>
              </w:rPr>
              <w:t>.00</w:t>
            </w:r>
          </w:p>
        </w:tc>
      </w:tr>
      <w:tr w14:paraId="1EDF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071A05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4</w:t>
            </w:r>
          </w:p>
        </w:tc>
        <w:tc>
          <w:tcPr>
            <w:tcW w:w="4415" w:type="dxa"/>
            <w:noWrap w:val="0"/>
            <w:vAlign w:val="center"/>
          </w:tcPr>
          <w:p w14:paraId="4CA60C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商水县教育体育局2026年农村义务教育学生营养改善计划食材采购项目包4</w:t>
            </w:r>
          </w:p>
        </w:tc>
        <w:tc>
          <w:tcPr>
            <w:tcW w:w="2802" w:type="dxa"/>
            <w:noWrap w:val="0"/>
            <w:vAlign w:val="center"/>
          </w:tcPr>
          <w:p w14:paraId="760E8A38">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17458100</w:t>
            </w:r>
            <w:r>
              <w:rPr>
                <w:rFonts w:hint="eastAsia" w:ascii="宋体" w:hAnsi="宋体" w:cs="宋体"/>
                <w:i w:val="0"/>
                <w:iCs w:val="0"/>
                <w:color w:val="auto"/>
                <w:kern w:val="0"/>
                <w:sz w:val="24"/>
                <w:szCs w:val="24"/>
                <w:highlight w:val="none"/>
                <w:u w:val="none"/>
                <w:lang w:val="en-US" w:eastAsia="zh-CN" w:bidi="ar"/>
              </w:rPr>
              <w:t>.00</w:t>
            </w:r>
          </w:p>
        </w:tc>
      </w:tr>
      <w:tr w14:paraId="3915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21A01A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5</w:t>
            </w:r>
          </w:p>
        </w:tc>
        <w:tc>
          <w:tcPr>
            <w:tcW w:w="4415" w:type="dxa"/>
            <w:noWrap w:val="0"/>
            <w:vAlign w:val="center"/>
          </w:tcPr>
          <w:p w14:paraId="32C20D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商水县教育体育局2026年农村义务教育学生营养改善计划食材采购项目包5</w:t>
            </w:r>
          </w:p>
        </w:tc>
        <w:tc>
          <w:tcPr>
            <w:tcW w:w="2802" w:type="dxa"/>
            <w:noWrap w:val="0"/>
            <w:vAlign w:val="center"/>
          </w:tcPr>
          <w:p w14:paraId="5ADB224E">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17064100</w:t>
            </w:r>
            <w:r>
              <w:rPr>
                <w:rFonts w:hint="eastAsia" w:ascii="宋体" w:hAnsi="宋体" w:cs="宋体"/>
                <w:i w:val="0"/>
                <w:iCs w:val="0"/>
                <w:color w:val="auto"/>
                <w:kern w:val="0"/>
                <w:sz w:val="24"/>
                <w:szCs w:val="24"/>
                <w:highlight w:val="none"/>
                <w:u w:val="none"/>
                <w:lang w:val="en-US" w:eastAsia="zh-CN" w:bidi="ar"/>
              </w:rPr>
              <w:t>.00</w:t>
            </w:r>
          </w:p>
        </w:tc>
      </w:tr>
    </w:tbl>
    <w:p w14:paraId="108C60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p>
    <w:p w14:paraId="1A4008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w:t>
      </w:r>
      <w:r>
        <w:rPr>
          <w:rFonts w:hint="eastAsia" w:ascii="宋体" w:hAnsi="宋体" w:eastAsia="宋体" w:cs="宋体"/>
          <w:i w:val="0"/>
          <w:iCs w:val="0"/>
          <w:color w:val="auto"/>
          <w:sz w:val="24"/>
          <w:szCs w:val="24"/>
          <w:highlight w:val="none"/>
          <w:lang w:val="en-US" w:eastAsia="zh-CN"/>
        </w:rPr>
        <w:t>详见招标文件第三章需求一览表</w:t>
      </w:r>
      <w:r>
        <w:rPr>
          <w:rFonts w:hint="eastAsia" w:ascii="宋体" w:hAnsi="宋体" w:eastAsia="宋体" w:cs="宋体"/>
          <w:i w:val="0"/>
          <w:iCs w:val="0"/>
          <w:color w:val="auto"/>
          <w:sz w:val="24"/>
          <w:szCs w:val="24"/>
          <w:highlight w:val="none"/>
        </w:rPr>
        <w:t>（包括但不限于标的的名称、数量、简要技术需求或服务要求等）供应商对其提供的产品请出具《关于符合本国产品标准的声明函》或财政部会同有关部门规定的有关证明文件</w:t>
      </w:r>
    </w:p>
    <w:p w14:paraId="0A385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（以教体局确定的日期和以在校在籍学生实际供餐天数和人数为准）</w:t>
      </w:r>
    </w:p>
    <w:p w14:paraId="659931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03"/>
      <w:bookmarkStart w:id="11" w:name="_Toc28359080"/>
      <w:bookmarkStart w:id="12" w:name="_Toc35393791"/>
      <w:bookmarkStart w:id="13" w:name="_Toc35393622"/>
      <w:r>
        <w:rPr>
          <w:rFonts w:hint="eastAsia" w:ascii="宋体" w:hAnsi="宋体" w:eastAsia="宋体" w:cs="宋体"/>
          <w:i w:val="0"/>
          <w:iCs w:val="0"/>
          <w:color w:val="auto"/>
          <w:sz w:val="24"/>
          <w:szCs w:val="24"/>
          <w:highlight w:val="none"/>
        </w:rPr>
        <w:t>是否接受进口产品：否</w:t>
      </w:r>
    </w:p>
    <w:p w14:paraId="2AE0EE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DA7E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49146D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0"/>
      <w:bookmarkEnd w:id="11"/>
      <w:bookmarkEnd w:id="12"/>
      <w:bookmarkEnd w:id="13"/>
    </w:p>
    <w:p w14:paraId="10B192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0B529655">
      <w:pPr>
        <w:pStyle w:val="9"/>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(一)在中华人民共和国境内注册，具有独立承担民事责任的能力。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有效的营业执照</w:t>
      </w:r>
      <w:r>
        <w:rPr>
          <w:rFonts w:hint="eastAsia" w:ascii="宋体" w:hAnsi="宋体" w:eastAsia="宋体" w:cs="宋体"/>
          <w:b/>
          <w:bCs/>
          <w:color w:val="auto"/>
          <w:sz w:val="24"/>
          <w:szCs w:val="24"/>
          <w:highlight w:val="none"/>
          <w:lang w:val="en-US" w:eastAsia="zh-CN"/>
        </w:rPr>
        <w:t>正副本</w:t>
      </w:r>
      <w:r>
        <w:rPr>
          <w:rFonts w:hint="eastAsia" w:ascii="宋体" w:hAnsi="宋体" w:eastAsia="宋体" w:cs="宋体"/>
          <w:color w:val="auto"/>
          <w:sz w:val="24"/>
          <w:szCs w:val="24"/>
          <w:highlight w:val="none"/>
          <w:lang w:eastAsia="zh-CN"/>
        </w:rPr>
        <w:t>）</w:t>
      </w:r>
    </w:p>
    <w:p w14:paraId="544578EE">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(二)供应商如果是食品生产企业的，则必须具备有效的《食品生产许可证》；供应商如不是食品生产企业的，则必须具备有效的《食品经营许可证》或《食品流通许可证》。</w:t>
      </w:r>
    </w:p>
    <w:p w14:paraId="2EC9E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(三)具有良好的商业信誉和健全的财务会计制度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cs="宋体"/>
          <w:color w:val="auto"/>
          <w:sz w:val="24"/>
          <w:szCs w:val="24"/>
          <w:highlight w:val="none"/>
          <w:lang w:val="en-US" w:eastAsia="zh-CN"/>
        </w:rPr>
        <w:t>近三年</w:t>
      </w:r>
      <w:r>
        <w:rPr>
          <w:rFonts w:hint="eastAsia" w:ascii="宋体" w:hAnsi="宋体" w:eastAsia="宋体" w:cs="宋体"/>
          <w:color w:val="auto"/>
          <w:sz w:val="24"/>
          <w:szCs w:val="24"/>
          <w:highlight w:val="none"/>
          <w:lang w:val="en-US" w:eastAsia="zh-CN"/>
        </w:rPr>
        <w:t>年度财务审计报告或者</w:t>
      </w:r>
      <w:r>
        <w:rPr>
          <w:rFonts w:hint="eastAsia" w:ascii="宋体" w:hAnsi="宋体" w:cs="宋体"/>
          <w:color w:val="auto"/>
          <w:sz w:val="24"/>
          <w:szCs w:val="24"/>
          <w:highlight w:val="none"/>
          <w:lang w:val="en-US" w:eastAsia="zh-CN"/>
        </w:rPr>
        <w:t>财务报表原件复印件或者</w:t>
      </w:r>
      <w:r>
        <w:rPr>
          <w:rFonts w:hint="eastAsia" w:ascii="宋体" w:hAnsi="宋体" w:eastAsia="宋体" w:cs="宋体"/>
          <w:color w:val="auto"/>
          <w:sz w:val="24"/>
          <w:szCs w:val="24"/>
          <w:highlight w:val="none"/>
          <w:lang w:val="en-US" w:eastAsia="zh-CN"/>
        </w:rPr>
        <w:t>银行开具的资信证明</w:t>
      </w:r>
      <w:r>
        <w:rPr>
          <w:rFonts w:hint="eastAsia" w:ascii="宋体" w:hAnsi="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新成立的公司提供自成立之日起的</w:t>
      </w:r>
      <w:r>
        <w:rPr>
          <w:rFonts w:hint="eastAsia" w:ascii="宋体" w:hAnsi="宋体" w:eastAsia="宋体" w:cs="宋体"/>
          <w:color w:val="auto"/>
          <w:sz w:val="24"/>
          <w:szCs w:val="24"/>
          <w:highlight w:val="none"/>
          <w:lang w:eastAsia="zh-CN"/>
        </w:rPr>
        <w:t>）</w:t>
      </w:r>
    </w:p>
    <w:p w14:paraId="306E19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(四)具有履行合同必须具备的食品供应保障能力，具有履行合同所必需的设备和专业技术能力</w:t>
      </w:r>
      <w:r>
        <w:rPr>
          <w:rFonts w:hint="eastAsia" w:ascii="宋体" w:hAnsi="宋体" w:cs="宋体"/>
          <w:color w:val="auto"/>
          <w:sz w:val="24"/>
          <w:szCs w:val="24"/>
          <w:highlight w:val="none"/>
          <w:lang w:eastAsia="zh-CN"/>
        </w:rPr>
        <w:t>：</w:t>
      </w:r>
    </w:p>
    <w:p w14:paraId="2BB388F7">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食材配送企业必须具有与经营的食品、食用农产品的品种数量相适应的场所。经营场所环境整洁，与污染源保持合适的距离并具有与经营的食品、食用农产品品种、数量相适应的生产经营设备或者设施。食材配送企业配送中心仓库的配送半径必须能够保障按学校约定的时间配送食材到位。</w:t>
      </w:r>
      <w:r>
        <w:rPr>
          <w:rFonts w:hint="eastAsia" w:ascii="宋体" w:hAnsi="宋体" w:cs="宋体"/>
          <w:color w:val="auto"/>
          <w:sz w:val="24"/>
          <w:szCs w:val="24"/>
          <w:highlight w:val="none"/>
          <w:lang w:eastAsia="zh-CN"/>
        </w:rPr>
        <w:t>（供应商需在投标文件中出具承诺书）</w:t>
      </w:r>
    </w:p>
    <w:p w14:paraId="4ECBF9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食材配送企业经营对温度、湿度有特殊要求的食品和食用农产品，应确保贮存场所、设备、设施满足相应的食品安全要求，并做好相应的温湿度记录。常温库须配备智能温湿度监控系统。冷藏库或冷冻库外部具有便于监测和控制的设备仪器，并定期维护，确保准确有效。库房安装AI视频监控(覆盖装卸区、存储区等关键点位),便于实时管理。</w:t>
      </w:r>
    </w:p>
    <w:p w14:paraId="52A570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食材配送企业应配备符合食材配送要求的专用运输工具。生鲜产品(包含蔬菜水果鲜肉类等食用农产品)和冷藏冷冻食品配送车辆须为冷链车辆，并取得《道路运输经营许可证》(含冷藏保鲜运输资质)。冷链车辆需安装GPS定位及温度传感器，实时监控运行轨迹和运行状况。</w:t>
      </w:r>
    </w:p>
    <w:p w14:paraId="62EE3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4.食材配送企业须自行配备规范的检测室，对销售的食品及食用农产品开展快速检测。食品分重点检测，食用农产品批批检测，确保配送食材符合食品安全国家标准。</w:t>
      </w:r>
    </w:p>
    <w:p w14:paraId="044734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5.食材配送企业须配备有能接入互联网的计算机、打印机等外围设备，并有专人负责平台商品的价格更新、客户沟通、订单管理和食品安全溯源管理等业务。</w:t>
      </w:r>
    </w:p>
    <w:p w14:paraId="6A7FF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食材配送企业应严格落实食品安全相关法律法规明确的相关要求，建立健全食品安全管理制度并严格执行。依法规范配备食品安全总监和食品安全管理人员，定期组织开展培训考核，严格坚持开展“日管控、周排查、月调度”食品安全自查，及时防范化解各类食品安全风险隐患。</w:t>
      </w:r>
    </w:p>
    <w:p w14:paraId="1926C6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食材配送企业应建立食品追溯管理制度，严格落实索证索票和进货台账记录，明确专人及时向供应商索取并保留进货票据、合格证明等溯源凭证，做好食品来源相关的记录。建立食品销售记录制度，根据相关法规要求做好相应的配送去向记录，并保存相关凭证。应采用数字化手段采集、留存上述信息，及时上传食材配送平台，建立健全食品安全追溯体系。</w:t>
      </w:r>
    </w:p>
    <w:p w14:paraId="15704C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8.食品配送企业应制定食品安全事故处置方案，定期组织食品安全事故应急演练。</w:t>
      </w:r>
    </w:p>
    <w:p w14:paraId="26118B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9.食品配送企业具有完善的食品配送应急预案和应急处置体系。建立2小时应急补货机制，在遇到停电停水、极端或灾害天气等情况下，做好食品紧急配货和安全配送。</w:t>
      </w:r>
    </w:p>
    <w:p w14:paraId="063DE8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10.食材配送企业必须购买食品安全责任保险。保险额度需确保在食品安全事故发生后赔偿金额的足额支付。</w:t>
      </w:r>
    </w:p>
    <w:p w14:paraId="1488712F">
      <w:pPr>
        <w:bidi w:val="0"/>
        <w:spacing w:line="360" w:lineRule="auto"/>
        <w:ind w:firstLine="482" w:firstLineChars="200"/>
        <w:rPr>
          <w:rFonts w:hint="eastAsia"/>
          <w:color w:val="auto"/>
          <w:highlight w:val="none"/>
          <w:lang w:eastAsia="zh-CN"/>
        </w:r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对于以上1-10条所需提供的证明材料，应保证其真实性合理性合法性。</w:t>
      </w:r>
    </w:p>
    <w:p w14:paraId="02E36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(五)具有依法缴纳税收和社会保障资金的良好记录。</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提供近半年</w:t>
      </w:r>
      <w:r>
        <w:rPr>
          <w:rFonts w:hint="eastAsia" w:ascii="宋体" w:hAnsi="宋体" w:cs="宋体"/>
          <w:b w:val="0"/>
          <w:bCs w:val="0"/>
          <w:color w:val="auto"/>
          <w:sz w:val="24"/>
          <w:szCs w:val="24"/>
          <w:highlight w:val="none"/>
          <w:lang w:val="en-US" w:eastAsia="zh-CN"/>
        </w:rPr>
        <w:t>连续</w:t>
      </w:r>
      <w:r>
        <w:rPr>
          <w:rFonts w:hint="eastAsia" w:ascii="宋体" w:hAnsi="宋体" w:eastAsia="宋体" w:cs="宋体"/>
          <w:b w:val="0"/>
          <w:bCs w:val="0"/>
          <w:color w:val="auto"/>
          <w:sz w:val="24"/>
          <w:szCs w:val="24"/>
          <w:highlight w:val="none"/>
          <w:lang w:val="en-US" w:eastAsia="zh-CN"/>
        </w:rPr>
        <w:t>3个月的税收和社保证明，新成立的公司提供自成立之日起的。依法免税或不需要缴纳税收、社会保障资金的供应商，须出具有效证明文件。</w:t>
      </w:r>
      <w:r>
        <w:rPr>
          <w:rFonts w:hint="eastAsia" w:ascii="宋体" w:hAnsi="宋体" w:eastAsia="宋体" w:cs="宋体"/>
          <w:b w:val="0"/>
          <w:bCs w:val="0"/>
          <w:color w:val="auto"/>
          <w:sz w:val="24"/>
          <w:szCs w:val="24"/>
          <w:highlight w:val="none"/>
          <w:lang w:eastAsia="zh-CN"/>
        </w:rPr>
        <w:t>）</w:t>
      </w:r>
    </w:p>
    <w:p w14:paraId="2F870E91">
      <w:pP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(六)近3年内，无食品安全行政处罚记录，未发生食品安全事故，在经营活动中没有重大违法记录（提供没有重大违法记录的书面声明函，格式自拟）</w:t>
      </w:r>
    </w:p>
    <w:p w14:paraId="18ED860F">
      <w:pPr>
        <w:spacing w:line="360" w:lineRule="auto"/>
        <w:ind w:firstLine="480" w:firstLineChars="200"/>
        <w:jc w:val="left"/>
        <w:rPr>
          <w:rFonts w:hint="eastAsia"/>
          <w:color w:val="auto"/>
          <w:highlight w:val="none"/>
        </w:rPr>
      </w:pPr>
      <w:r>
        <w:rPr>
          <w:rFonts w:hint="eastAsia" w:ascii="宋体" w:hAnsi="宋体" w:cs="宋体"/>
          <w:color w:val="auto"/>
          <w:sz w:val="24"/>
          <w:szCs w:val="24"/>
          <w:highlight w:val="none"/>
        </w:rPr>
        <w:t>(七)法律、行政法规、规章规定的其他条件。</w:t>
      </w:r>
    </w:p>
    <w:p w14:paraId="3AA0EE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4" w:name="_Toc28359081"/>
      <w:bookmarkStart w:id="15" w:name="_Toc28359004"/>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3A2129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3.本项目的特定资格要求：</w:t>
      </w:r>
      <w:r>
        <w:rPr>
          <w:rFonts w:hint="eastAsia" w:ascii="宋体" w:hAnsi="宋体" w:eastAsia="宋体" w:cs="宋体"/>
          <w:color w:val="auto"/>
          <w:sz w:val="24"/>
          <w:szCs w:val="24"/>
          <w:highlight w:val="none"/>
          <w:lang w:eastAsia="zh-CN"/>
        </w:rPr>
        <w:t>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站（www.creditchina.gov.cn)、“中国执行信息公开网”（zxgk.court.gov.cn）对“列入失信被执行人、重大税收违法案件当事人名单、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r>
        <w:rPr>
          <w:rFonts w:hint="eastAsia" w:ascii="宋体" w:hAnsi="宋体" w:eastAsia="宋体" w:cs="宋体"/>
          <w:i w:val="0"/>
          <w:iCs w:val="0"/>
          <w:color w:val="auto"/>
          <w:sz w:val="24"/>
          <w:szCs w:val="24"/>
          <w:highlight w:val="none"/>
        </w:rPr>
        <w:t>。</w:t>
      </w:r>
      <w:bookmarkStart w:id="16" w:name="_Toc35393792"/>
      <w:bookmarkStart w:id="17" w:name="_Toc35393623"/>
      <w:r>
        <w:rPr>
          <w:rFonts w:hint="eastAsia" w:ascii="宋体" w:hAnsi="宋体" w:eastAsia="宋体" w:cs="宋体"/>
          <w:i w:val="0"/>
          <w:iCs w:val="0"/>
          <w:color w:val="auto"/>
          <w:sz w:val="24"/>
          <w:szCs w:val="24"/>
          <w:highlight w:val="none"/>
          <w:lang w:val="en-US" w:eastAsia="zh-CN"/>
        </w:rPr>
        <w:t xml:space="preserve"> </w:t>
      </w:r>
    </w:p>
    <w:p w14:paraId="2CB9EF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en-US" w:eastAsia="zh-CN"/>
        </w:rPr>
        <w:t>）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p>
    <w:p w14:paraId="6E1674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lang w:val="en-US" w:eastAsia="zh-CN"/>
        </w:rPr>
        <w:t>被工商行政管理机关在全国企业信用信息公示系统中列入严重违法失信企业名单和经营异常名录的被拒绝参与本项目投标。</w:t>
      </w:r>
    </w:p>
    <w:p w14:paraId="07015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各合格供应商均可就本招标项目上述包段中任意包段投标，为避免单一供应商可能导致的供应风险，促进市场良性竞争，保证供应品质，一个供应商最多允许中标一个包段。如果供应商是两个以上包段的第一中标候选人，则按照包段顺序确定第一中标候选人，其他包段按照顺序递补确定为第一中标候选人。</w:t>
      </w:r>
    </w:p>
    <w:p w14:paraId="162501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三、获取招标文件</w:t>
      </w:r>
      <w:bookmarkEnd w:id="14"/>
      <w:bookmarkEnd w:id="15"/>
      <w:bookmarkEnd w:id="16"/>
      <w:bookmarkEnd w:id="17"/>
    </w:p>
    <w:p w14:paraId="68DD51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时间： </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 xml:space="preserve"> 3 </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 xml:space="preserve">13 </w:t>
      </w:r>
      <w:r>
        <w:rPr>
          <w:rFonts w:hint="eastAsia" w:ascii="宋体" w:hAnsi="宋体" w:eastAsia="宋体" w:cs="宋体"/>
          <w:i w:val="0"/>
          <w:iCs w:val="0"/>
          <w:color w:val="auto"/>
          <w:sz w:val="24"/>
          <w:szCs w:val="24"/>
          <w:highlight w:val="none"/>
        </w:rPr>
        <w:t>日至</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 xml:space="preserve"> 3 </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 xml:space="preserve"> 20 </w:t>
      </w:r>
      <w:r>
        <w:rPr>
          <w:rFonts w:hint="eastAsia" w:ascii="宋体" w:hAnsi="宋体" w:eastAsia="宋体" w:cs="宋体"/>
          <w:i w:val="0"/>
          <w:iCs w:val="0"/>
          <w:color w:val="auto"/>
          <w:sz w:val="24"/>
          <w:szCs w:val="24"/>
          <w:highlight w:val="none"/>
        </w:rPr>
        <w:t>日（北京时间，法定节假日除外）</w:t>
      </w:r>
    </w:p>
    <w:p w14:paraId="5D771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255D4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w:t>
      </w:r>
      <w:bookmarkStart w:id="212" w:name="_GoBack"/>
      <w:bookmarkEnd w:id="212"/>
      <w:r>
        <w:rPr>
          <w:rFonts w:hint="eastAsia" w:ascii="宋体" w:hAnsi="宋体" w:eastAsia="宋体" w:cs="宋体"/>
          <w:i w:val="0"/>
          <w:iCs w:val="0"/>
          <w:color w:val="auto"/>
          <w:sz w:val="24"/>
          <w:szCs w:val="24"/>
          <w:highlight w:val="none"/>
        </w:rPr>
        <w:t>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0345C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r>
        <w:rPr>
          <w:rFonts w:hint="eastAsia" w:ascii="宋体" w:hAnsi="宋体" w:cs="宋体"/>
          <w:i w:val="0"/>
          <w:iCs w:val="0"/>
          <w:color w:val="auto"/>
          <w:sz w:val="24"/>
          <w:szCs w:val="24"/>
          <w:highlight w:val="none"/>
          <w:lang w:val="en-US" w:eastAsia="zh-CN"/>
        </w:rPr>
        <w:t>元。</w:t>
      </w:r>
    </w:p>
    <w:p w14:paraId="0BB176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05"/>
      <w:bookmarkStart w:id="19" w:name="_Toc28359082"/>
      <w:bookmarkStart w:id="20" w:name="_Toc35393793"/>
      <w:bookmarkStart w:id="21" w:name="_Toc35393624"/>
      <w:r>
        <w:rPr>
          <w:rFonts w:hint="eastAsia" w:ascii="宋体" w:hAnsi="宋体" w:eastAsia="宋体" w:cs="宋体"/>
          <w:i w:val="0"/>
          <w:iCs w:val="0"/>
          <w:color w:val="auto"/>
          <w:sz w:val="24"/>
          <w:szCs w:val="24"/>
          <w:highlight w:val="none"/>
        </w:rPr>
        <w:t>四、提交投标文件</w:t>
      </w:r>
      <w:bookmarkEnd w:id="18"/>
      <w:bookmarkEnd w:id="19"/>
      <w:r>
        <w:rPr>
          <w:rFonts w:hint="eastAsia" w:ascii="宋体" w:hAnsi="宋体" w:eastAsia="宋体" w:cs="宋体"/>
          <w:i w:val="0"/>
          <w:iCs w:val="0"/>
          <w:color w:val="auto"/>
          <w:sz w:val="24"/>
          <w:szCs w:val="24"/>
          <w:highlight w:val="none"/>
        </w:rPr>
        <w:t>截止时间、开标时间和地点</w:t>
      </w:r>
      <w:bookmarkEnd w:id="20"/>
      <w:bookmarkEnd w:id="21"/>
    </w:p>
    <w:p w14:paraId="56FC55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 xml:space="preserve"> 4 </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 xml:space="preserve"> 3 </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507658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0989A4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35393625"/>
      <w:bookmarkStart w:id="23" w:name="_Toc28359007"/>
      <w:bookmarkStart w:id="24" w:name="_Toc35393794"/>
      <w:bookmarkStart w:id="25" w:name="_Toc28359084"/>
      <w:r>
        <w:rPr>
          <w:rFonts w:hint="eastAsia" w:ascii="宋体" w:hAnsi="宋体" w:eastAsia="宋体" w:cs="宋体"/>
          <w:i w:val="0"/>
          <w:iCs w:val="0"/>
          <w:color w:val="auto"/>
          <w:sz w:val="24"/>
          <w:szCs w:val="24"/>
          <w:highlight w:val="none"/>
        </w:rPr>
        <w:t>五、公告期限</w:t>
      </w:r>
      <w:bookmarkEnd w:id="22"/>
      <w:bookmarkEnd w:id="23"/>
      <w:bookmarkEnd w:id="24"/>
      <w:bookmarkEnd w:id="25"/>
    </w:p>
    <w:p w14:paraId="66C7CA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08E359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795"/>
      <w:bookmarkStart w:id="27" w:name="_Toc35393626"/>
      <w:r>
        <w:rPr>
          <w:rFonts w:hint="eastAsia" w:ascii="宋体" w:hAnsi="宋体" w:eastAsia="宋体" w:cs="宋体"/>
          <w:i w:val="0"/>
          <w:iCs w:val="0"/>
          <w:color w:val="auto"/>
          <w:sz w:val="24"/>
          <w:szCs w:val="24"/>
          <w:highlight w:val="none"/>
        </w:rPr>
        <w:t>六、其他补充事宜</w:t>
      </w:r>
      <w:bookmarkEnd w:id="26"/>
      <w:bookmarkEnd w:id="27"/>
    </w:p>
    <w:p w14:paraId="33E29F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28" w:name="_Toc28359085"/>
      <w:bookmarkStart w:id="29" w:name="_Toc28359008"/>
      <w:bookmarkStart w:id="30" w:name="_Toc35393796"/>
      <w:bookmarkStart w:id="31" w:name="_Toc35393627"/>
      <w:r>
        <w:rPr>
          <w:rFonts w:hint="eastAsia" w:ascii="宋体" w:hAnsi="宋体" w:eastAsia="宋体" w:cs="宋体"/>
          <w:i w:val="0"/>
          <w:iCs w:val="0"/>
          <w:color w:val="auto"/>
          <w:sz w:val="24"/>
          <w:szCs w:val="24"/>
          <w:highlight w:val="none"/>
          <w:lang w:val="en-US" w:eastAsia="zh-CN"/>
        </w:rPr>
        <w:t>无</w:t>
      </w:r>
    </w:p>
    <w:p w14:paraId="7E7B1E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28"/>
      <w:bookmarkEnd w:id="29"/>
      <w:bookmarkEnd w:id="30"/>
      <w:bookmarkEnd w:id="31"/>
    </w:p>
    <w:p w14:paraId="03D686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69919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val="en-US" w:eastAsia="zh-CN"/>
        </w:rPr>
        <w:t>商水县教育体育局</w:t>
      </w:r>
      <w:r>
        <w:rPr>
          <w:rFonts w:hint="eastAsia" w:ascii="宋体" w:hAnsi="宋体" w:eastAsia="宋体" w:cs="宋体"/>
          <w:i w:val="0"/>
          <w:iCs w:val="0"/>
          <w:color w:val="auto"/>
          <w:sz w:val="24"/>
          <w:szCs w:val="24"/>
          <w:highlight w:val="none"/>
        </w:rPr>
        <w:t>　　　　　　　　　　　　</w:t>
      </w:r>
    </w:p>
    <w:p w14:paraId="1037E8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商水县</w:t>
      </w:r>
      <w:r>
        <w:rPr>
          <w:rFonts w:hint="eastAsia" w:ascii="宋体" w:hAnsi="宋体" w:cs="宋体"/>
          <w:i w:val="0"/>
          <w:iCs w:val="0"/>
          <w:color w:val="auto"/>
          <w:sz w:val="24"/>
          <w:szCs w:val="24"/>
          <w:highlight w:val="none"/>
          <w:lang w:eastAsia="zh-CN"/>
        </w:rPr>
        <w:t>境内</w:t>
      </w:r>
      <w:r>
        <w:rPr>
          <w:rFonts w:hint="eastAsia" w:ascii="宋体" w:hAnsi="宋体" w:eastAsia="宋体" w:cs="宋体"/>
          <w:i w:val="0"/>
          <w:iCs w:val="0"/>
          <w:color w:val="auto"/>
          <w:sz w:val="24"/>
          <w:szCs w:val="24"/>
          <w:highlight w:val="none"/>
        </w:rPr>
        <w:t>　　　　　　　　　　　　</w:t>
      </w:r>
    </w:p>
    <w:p w14:paraId="2E920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项目联系人：马全明</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联系方式：15138358065 </w:t>
      </w:r>
      <w:bookmarkStart w:id="32" w:name="_Toc28359086"/>
      <w:bookmarkStart w:id="33" w:name="_Toc28359009"/>
    </w:p>
    <w:p w14:paraId="707421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028E322F">
      <w:pPr>
        <w:pStyle w:val="9"/>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6CD031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252801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 王园园</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宋体" w:hAnsi="宋体" w:cs="宋体"/>
          <w:i w:val="0"/>
          <w:iCs w:val="0"/>
          <w:color w:val="auto"/>
          <w:sz w:val="24"/>
          <w:szCs w:val="24"/>
          <w:highlight w:val="none"/>
          <w:lang w:val="en-US" w:eastAsia="zh-CN"/>
        </w:rPr>
        <w:t>0394-8106517、19913281180</w:t>
      </w:r>
      <w:r>
        <w:rPr>
          <w:rFonts w:hint="eastAsia" w:ascii="宋体" w:hAnsi="宋体" w:eastAsia="宋体" w:cs="宋体"/>
          <w:i w:val="0"/>
          <w:iCs w:val="0"/>
          <w:color w:val="auto"/>
          <w:sz w:val="24"/>
          <w:szCs w:val="24"/>
          <w:highlight w:val="none"/>
        </w:rPr>
        <w:t>　　　　　　　　</w:t>
      </w:r>
    </w:p>
    <w:bookmarkEnd w:id="34"/>
    <w:bookmarkEnd w:id="35"/>
    <w:p w14:paraId="06014A08">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3.监督单位：商水县政府采购监督管理办公室</w:t>
      </w:r>
    </w:p>
    <w:p w14:paraId="5B353703">
      <w:pPr>
        <w:pStyle w:val="27"/>
        <w:ind w:firstLine="480" w:firstLineChars="200"/>
        <w:rPr>
          <w:rFonts w:hint="default"/>
          <w:color w:val="auto"/>
          <w:highlight w:val="none"/>
          <w:lang w:val="en-US" w:eastAsia="zh-CN"/>
        </w:rPr>
      </w:pPr>
      <w:r>
        <w:rPr>
          <w:rFonts w:hint="eastAsia" w:ascii="宋体" w:hAnsi="宋体" w:cs="宋体"/>
          <w:color w:val="auto"/>
          <w:sz w:val="24"/>
          <w:szCs w:val="24"/>
          <w:highlight w:val="none"/>
        </w:rPr>
        <w:t>联系方式：</w:t>
      </w:r>
      <w:r>
        <w:rPr>
          <w:rFonts w:ascii="宋体" w:hAnsi="宋体" w:cs="宋体"/>
          <w:color w:val="auto"/>
          <w:sz w:val="24"/>
          <w:szCs w:val="24"/>
          <w:highlight w:val="none"/>
        </w:rPr>
        <w:t>0394-7821169</w:t>
      </w:r>
      <w:r>
        <w:rPr>
          <w:rFonts w:hint="eastAsia" w:ascii="宋体" w:hAnsi="宋体" w:eastAsia="宋体" w:cs="宋体"/>
          <w:i w:val="0"/>
          <w:iCs w:val="0"/>
          <w:color w:val="auto"/>
          <w:sz w:val="24"/>
          <w:szCs w:val="24"/>
          <w:highlight w:val="none"/>
          <w:lang w:val="en-US" w:eastAsia="zh-CN"/>
        </w:rPr>
        <w:t xml:space="preserve">  </w:t>
      </w:r>
    </w:p>
    <w:p w14:paraId="017699DE">
      <w:pPr>
        <w:pStyle w:val="27"/>
        <w:numPr>
          <w:ilvl w:val="0"/>
          <w:numId w:val="0"/>
        </w:numPr>
        <w:rPr>
          <w:rFonts w:hint="default"/>
          <w:color w:val="auto"/>
          <w:highlight w:val="none"/>
          <w:lang w:val="en-US" w:eastAsia="zh-CN"/>
        </w:rPr>
      </w:pPr>
    </w:p>
    <w:p w14:paraId="65FEE453">
      <w:pPr>
        <w:pStyle w:val="9"/>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672EB3E0">
      <w:pPr>
        <w:pStyle w:val="16"/>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3 </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13 </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4C15B04E">
      <w:pPr>
        <w:rPr>
          <w:rFonts w:hint="eastAsia" w:ascii="宋体" w:hAnsi="宋体" w:eastAsia="宋体" w:cs="宋体"/>
          <w:color w:val="auto"/>
          <w:highlight w:val="none"/>
        </w:rPr>
      </w:pPr>
      <w:bookmarkStart w:id="36" w:name="_Hlt510343011"/>
      <w:bookmarkStart w:id="37" w:name="_Hlt510342998"/>
      <w:bookmarkStart w:id="38" w:name="_Toc7329_WPSOffice_Level1"/>
      <w:bookmarkStart w:id="39" w:name="_Toc8586"/>
      <w:r>
        <w:rPr>
          <w:rFonts w:hint="eastAsia" w:ascii="宋体" w:hAnsi="宋体" w:eastAsia="宋体" w:cs="宋体"/>
          <w:color w:val="auto"/>
          <w:highlight w:val="none"/>
        </w:rPr>
        <w:br w:type="page"/>
      </w:r>
    </w:p>
    <w:p w14:paraId="1599CBB5">
      <w:pPr>
        <w:pStyle w:val="3"/>
        <w:ind w:firstLine="0"/>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第二章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须</w:t>
      </w:r>
      <w:bookmarkEnd w:id="36"/>
      <w:r>
        <w:rPr>
          <w:rFonts w:hint="eastAsia" w:ascii="宋体" w:hAnsi="宋体" w:eastAsia="宋体" w:cs="宋体"/>
          <w:color w:val="auto"/>
          <w:highlight w:val="none"/>
        </w:rPr>
        <w:t>知前</w:t>
      </w:r>
      <w:bookmarkEnd w:id="37"/>
      <w:r>
        <w:rPr>
          <w:rFonts w:hint="eastAsia" w:ascii="宋体" w:hAnsi="宋体" w:eastAsia="宋体" w:cs="宋体"/>
          <w:color w:val="auto"/>
          <w:highlight w:val="none"/>
        </w:rPr>
        <w:t>附表</w:t>
      </w:r>
      <w:bookmarkEnd w:id="38"/>
      <w:bookmarkEnd w:id="39"/>
    </w:p>
    <w:tbl>
      <w:tblPr>
        <w:tblStyle w:val="23"/>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933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noWrap w:val="0"/>
            <w:vAlign w:val="center"/>
          </w:tcPr>
          <w:p w14:paraId="6F9001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833" w:type="dxa"/>
            <w:noWrap w:val="0"/>
            <w:vAlign w:val="center"/>
          </w:tcPr>
          <w:p w14:paraId="551FC1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19" w:type="dxa"/>
            <w:noWrap w:val="0"/>
            <w:vAlign w:val="center"/>
          </w:tcPr>
          <w:p w14:paraId="0DB440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0E74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3EC9BD7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33" w:type="dxa"/>
            <w:noWrap w:val="0"/>
            <w:vAlign w:val="center"/>
          </w:tcPr>
          <w:p w14:paraId="4FAACAD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19" w:type="dxa"/>
            <w:noWrap w:val="0"/>
            <w:vAlign w:val="center"/>
          </w:tcPr>
          <w:p w14:paraId="1B62ABAE">
            <w:pPr>
              <w:rPr>
                <w:rFonts w:hint="eastAsia" w:ascii="宋体" w:hAnsi="宋体" w:eastAsia="宋体" w:cs="宋体"/>
                <w:color w:val="auto"/>
                <w:sz w:val="24"/>
                <w:szCs w:val="24"/>
                <w:highlight w:val="none"/>
              </w:rPr>
            </w:pPr>
            <w:r>
              <w:rPr>
                <w:rFonts w:hint="eastAsia" w:ascii="宋体" w:hAnsi="宋体" w:cs="宋体"/>
                <w:i w:val="0"/>
                <w:iCs w:val="0"/>
                <w:color w:val="auto"/>
                <w:sz w:val="24"/>
                <w:szCs w:val="24"/>
                <w:highlight w:val="none"/>
                <w:lang w:val="en-US" w:eastAsia="zh-CN"/>
              </w:rPr>
              <w:t>商水县教育体育局</w:t>
            </w:r>
            <w:r>
              <w:rPr>
                <w:rFonts w:hint="eastAsia" w:ascii="宋体" w:hAnsi="宋体" w:eastAsia="宋体" w:cs="宋体"/>
                <w:i w:val="0"/>
                <w:iCs w:val="0"/>
                <w:color w:val="auto"/>
                <w:sz w:val="24"/>
                <w:szCs w:val="24"/>
                <w:highlight w:val="none"/>
              </w:rPr>
              <w:t>　</w:t>
            </w:r>
          </w:p>
        </w:tc>
      </w:tr>
      <w:tr w14:paraId="548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0CA693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33" w:type="dxa"/>
            <w:noWrap w:val="0"/>
            <w:vAlign w:val="center"/>
          </w:tcPr>
          <w:p w14:paraId="143B533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19" w:type="dxa"/>
            <w:noWrap w:val="0"/>
            <w:vAlign w:val="center"/>
          </w:tcPr>
          <w:p w14:paraId="4F7D48D0">
            <w:pPr>
              <w:rPr>
                <w:rFonts w:hint="eastAsia" w:ascii="宋体" w:hAnsi="宋体" w:eastAsia="宋体" w:cs="宋体"/>
                <w:color w:val="auto"/>
                <w:sz w:val="24"/>
                <w:szCs w:val="24"/>
                <w:highlight w:val="none"/>
              </w:rPr>
            </w:pPr>
            <w:r>
              <w:rPr>
                <w:rFonts w:hint="eastAsia" w:ascii="宋体" w:hAnsi="宋体" w:cs="宋体"/>
                <w:i w:val="0"/>
                <w:iCs w:val="0"/>
                <w:color w:val="auto"/>
                <w:sz w:val="24"/>
                <w:szCs w:val="24"/>
                <w:highlight w:val="none"/>
                <w:lang w:val="en-US" w:eastAsia="zh-CN"/>
              </w:rPr>
              <w:t>商水县教育体育局</w:t>
            </w:r>
            <w:r>
              <w:rPr>
                <w:rFonts w:hint="eastAsia" w:ascii="宋体" w:hAnsi="宋体" w:eastAsia="宋体" w:cs="宋体"/>
                <w:i w:val="0"/>
                <w:iCs w:val="0"/>
                <w:color w:val="auto"/>
                <w:sz w:val="24"/>
                <w:szCs w:val="24"/>
                <w:highlight w:val="none"/>
              </w:rPr>
              <w:t>　</w:t>
            </w:r>
          </w:p>
        </w:tc>
      </w:tr>
      <w:tr w14:paraId="4EA9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B67E00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33" w:type="dxa"/>
            <w:noWrap w:val="0"/>
            <w:vAlign w:val="center"/>
          </w:tcPr>
          <w:p w14:paraId="24E9DE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19" w:type="dxa"/>
            <w:noWrap w:val="0"/>
            <w:vAlign w:val="center"/>
          </w:tcPr>
          <w:p w14:paraId="079B73A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6FC3EED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74B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62C530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33" w:type="dxa"/>
            <w:noWrap w:val="0"/>
            <w:vAlign w:val="center"/>
          </w:tcPr>
          <w:p w14:paraId="4546148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19" w:type="dxa"/>
            <w:noWrap w:val="0"/>
            <w:vAlign w:val="center"/>
          </w:tcPr>
          <w:p w14:paraId="32D7366B">
            <w:pPr>
              <w:rPr>
                <w:rFonts w:hint="eastAsia" w:ascii="宋体" w:hAnsi="宋体" w:eastAsia="宋体" w:cs="宋体"/>
                <w:color w:val="auto"/>
                <w:sz w:val="24"/>
                <w:szCs w:val="24"/>
                <w:highlight w:val="none"/>
              </w:rPr>
            </w:pPr>
            <w:r>
              <w:rPr>
                <w:rFonts w:hint="eastAsia" w:ascii="宋体" w:hAnsi="宋体" w:cs="宋体"/>
                <w:i w:val="0"/>
                <w:iCs w:val="0"/>
                <w:color w:val="auto"/>
                <w:sz w:val="24"/>
                <w:szCs w:val="24"/>
                <w:highlight w:val="none"/>
                <w:lang w:val="en-US" w:eastAsia="zh-CN"/>
              </w:rPr>
              <w:t>商水县教育体育局2026年农村义务教育学生营养改善计划食材采购项目</w:t>
            </w:r>
          </w:p>
        </w:tc>
      </w:tr>
      <w:tr w14:paraId="3D00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7C277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33" w:type="dxa"/>
            <w:noWrap w:val="0"/>
            <w:vAlign w:val="center"/>
          </w:tcPr>
          <w:p w14:paraId="651D44D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19" w:type="dxa"/>
            <w:noWrap w:val="0"/>
            <w:vAlign w:val="center"/>
          </w:tcPr>
          <w:p w14:paraId="3E64A777">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商水财招标采购-2026-11</w:t>
            </w:r>
          </w:p>
        </w:tc>
      </w:tr>
      <w:tr w14:paraId="5E97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02E232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33" w:type="dxa"/>
            <w:noWrap w:val="0"/>
            <w:vAlign w:val="center"/>
          </w:tcPr>
          <w:p w14:paraId="3502A7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19" w:type="dxa"/>
            <w:noWrap w:val="0"/>
            <w:vAlign w:val="center"/>
          </w:tcPr>
          <w:p w14:paraId="5A11F8B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类</w:t>
            </w:r>
          </w:p>
        </w:tc>
      </w:tr>
      <w:tr w14:paraId="3FAE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3C0468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33" w:type="dxa"/>
            <w:noWrap w:val="0"/>
            <w:vAlign w:val="center"/>
          </w:tcPr>
          <w:p w14:paraId="30A73E7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19" w:type="dxa"/>
            <w:noWrap w:val="0"/>
            <w:vAlign w:val="center"/>
          </w:tcPr>
          <w:p w14:paraId="5FC9ADBC">
            <w:pPr>
              <w:rPr>
                <w:rFonts w:hint="eastAsia" w:ascii="宋体" w:hAnsi="宋体" w:eastAsia="宋体" w:cs="宋体"/>
                <w:color w:val="auto"/>
                <w:sz w:val="24"/>
                <w:szCs w:val="24"/>
                <w:highlight w:val="none"/>
              </w:rPr>
            </w:pPr>
            <w:r>
              <w:rPr>
                <w:rFonts w:hint="eastAsia" w:ascii="宋体" w:hAnsi="宋体"/>
                <w:color w:val="auto"/>
                <w:sz w:val="24"/>
                <w:szCs w:val="24"/>
                <w:highlight w:val="none"/>
              </w:rPr>
              <w:t>财政资金</w:t>
            </w:r>
          </w:p>
        </w:tc>
      </w:tr>
      <w:tr w14:paraId="68BF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328864C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33" w:type="dxa"/>
            <w:noWrap w:val="0"/>
            <w:vAlign w:val="top"/>
          </w:tcPr>
          <w:p w14:paraId="619B45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19" w:type="dxa"/>
            <w:noWrap w:val="0"/>
            <w:vAlign w:val="center"/>
          </w:tcPr>
          <w:p w14:paraId="580E6D4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个包</w:t>
            </w:r>
          </w:p>
        </w:tc>
      </w:tr>
      <w:tr w14:paraId="19BE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D199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33" w:type="dxa"/>
            <w:noWrap w:val="0"/>
            <w:vAlign w:val="center"/>
          </w:tcPr>
          <w:p w14:paraId="2974619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19" w:type="dxa"/>
            <w:noWrap w:val="0"/>
            <w:vAlign w:val="center"/>
          </w:tcPr>
          <w:p w14:paraId="59350F06">
            <w:pPr>
              <w:pStyle w:val="21"/>
              <w:spacing w:line="240" w:lineRule="auto"/>
              <w:ind w:left="0" w:leftChars="0" w:right="-21" w:firstLine="0" w:firstLineChars="0"/>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由采购人付款。由学校统计每月供货数量及金额，乡镇中心校审核，教体局汇总后按相关程序按月付款。</w:t>
            </w:r>
          </w:p>
        </w:tc>
      </w:tr>
      <w:tr w14:paraId="6945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4D556A1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833" w:type="dxa"/>
            <w:noWrap w:val="0"/>
            <w:vAlign w:val="center"/>
          </w:tcPr>
          <w:p w14:paraId="7FA8901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19" w:type="dxa"/>
            <w:noWrap w:val="0"/>
            <w:vAlign w:val="center"/>
          </w:tcPr>
          <w:p w14:paraId="7DC3560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5B83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2E6C75F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833" w:type="dxa"/>
            <w:noWrap w:val="0"/>
            <w:vAlign w:val="center"/>
          </w:tcPr>
          <w:p w14:paraId="24F3AF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19" w:type="dxa"/>
            <w:noWrap w:val="0"/>
            <w:vAlign w:val="center"/>
          </w:tcPr>
          <w:p w14:paraId="1B7FF3F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35FD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4A221B8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833" w:type="dxa"/>
            <w:noWrap w:val="0"/>
            <w:vAlign w:val="center"/>
          </w:tcPr>
          <w:p w14:paraId="307DF87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p>
        </w:tc>
        <w:tc>
          <w:tcPr>
            <w:tcW w:w="6519" w:type="dxa"/>
            <w:noWrap w:val="0"/>
            <w:vAlign w:val="center"/>
          </w:tcPr>
          <w:p w14:paraId="50E127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564B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B22E1A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833" w:type="dxa"/>
            <w:noWrap w:val="0"/>
            <w:vAlign w:val="center"/>
          </w:tcPr>
          <w:p w14:paraId="403B0F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0FB66574">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（以教体局确定的日期和以在校在籍学生实际供餐天数和人数为准）</w:t>
            </w:r>
          </w:p>
        </w:tc>
      </w:tr>
      <w:tr w14:paraId="0EA2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71223E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2833" w:type="dxa"/>
            <w:noWrap w:val="0"/>
            <w:vAlign w:val="center"/>
          </w:tcPr>
          <w:p w14:paraId="4BCD408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投标保证金金额</w:t>
            </w:r>
          </w:p>
        </w:tc>
        <w:tc>
          <w:tcPr>
            <w:tcW w:w="6519" w:type="dxa"/>
            <w:noWrap w:val="0"/>
            <w:vAlign w:val="center"/>
          </w:tcPr>
          <w:p w14:paraId="666B876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不需要缴纳投标保证金</w:t>
            </w:r>
          </w:p>
        </w:tc>
      </w:tr>
      <w:tr w14:paraId="335E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96CC522">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p>
        </w:tc>
        <w:tc>
          <w:tcPr>
            <w:tcW w:w="2833" w:type="dxa"/>
            <w:noWrap w:val="0"/>
            <w:vAlign w:val="center"/>
          </w:tcPr>
          <w:p w14:paraId="55A5E5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19" w:type="dxa"/>
            <w:noWrap w:val="0"/>
            <w:vAlign w:val="center"/>
          </w:tcPr>
          <w:p w14:paraId="771117F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须知第36条。</w:t>
            </w:r>
          </w:p>
          <w:p w14:paraId="0F1E401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具有同样约束力效力。</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应主动上网查询。周口市公共资源交易中心政府采购中心不承担</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未及时关注相关信息引发的相关责任。</w:t>
            </w:r>
          </w:p>
        </w:tc>
      </w:tr>
      <w:tr w14:paraId="7358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blHeader/>
          <w:jc w:val="center"/>
        </w:trPr>
        <w:tc>
          <w:tcPr>
            <w:tcW w:w="788" w:type="dxa"/>
            <w:noWrap w:val="0"/>
            <w:vAlign w:val="center"/>
          </w:tcPr>
          <w:p w14:paraId="13FB206F">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p>
        </w:tc>
        <w:tc>
          <w:tcPr>
            <w:tcW w:w="2833" w:type="dxa"/>
            <w:noWrap w:val="0"/>
            <w:vAlign w:val="center"/>
          </w:tcPr>
          <w:p w14:paraId="484230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19" w:type="dxa"/>
            <w:noWrap w:val="0"/>
            <w:vAlign w:val="center"/>
          </w:tcPr>
          <w:p w14:paraId="3088784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确保项目的顺利实施，请合格的供应商自行与采购人联系（联系人：马全明，联系方式：15138358065），在下载招标文件截止日后第一个工作日及时到项目所在地进行实地勘查，经采购人证实供应商已到现场勘察后，开具加盖采购单位公章的勘察证明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供应商应将证明函原件放在投标文件中作为评审依据（电子标为原件扫描件）</w:t>
            </w:r>
          </w:p>
        </w:tc>
      </w:tr>
      <w:tr w14:paraId="502F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0EDEB60">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p>
        </w:tc>
        <w:tc>
          <w:tcPr>
            <w:tcW w:w="2833" w:type="dxa"/>
            <w:noWrap w:val="0"/>
            <w:vAlign w:val="center"/>
          </w:tcPr>
          <w:p w14:paraId="1F33D75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19" w:type="dxa"/>
            <w:noWrap w:val="0"/>
            <w:vAlign w:val="center"/>
          </w:tcPr>
          <w:p w14:paraId="70BEF66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highlight w:val="none"/>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13387AF">
            <w:pPr>
              <w:pStyle w:val="16"/>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6F70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8595A53">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p>
        </w:tc>
        <w:tc>
          <w:tcPr>
            <w:tcW w:w="2833" w:type="dxa"/>
            <w:noWrap w:val="0"/>
            <w:vAlign w:val="center"/>
          </w:tcPr>
          <w:p w14:paraId="4D632E9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19" w:type="dxa"/>
            <w:noWrap w:val="0"/>
            <w:vAlign w:val="center"/>
          </w:tcPr>
          <w:p w14:paraId="5B799F9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投标截止时间：***年***月  日***（见招标公告）      </w:t>
            </w:r>
          </w:p>
          <w:p w14:paraId="6D9FDCF5">
            <w:pPr>
              <w:rPr>
                <w:rFonts w:hint="eastAsia" w:ascii="宋体" w:hAnsi="宋体" w:eastAsia="宋体"/>
                <w:color w:val="auto"/>
                <w:sz w:val="24"/>
                <w:highlight w:val="none"/>
                <w:lang w:val="en-US" w:eastAsia="zh-CN"/>
              </w:rPr>
            </w:pPr>
            <w:r>
              <w:rPr>
                <w:rFonts w:hint="eastAsia" w:ascii="宋体" w:hAnsi="宋体" w:eastAsia="宋体" w:cs="宋体"/>
                <w:color w:val="auto"/>
                <w:sz w:val="24"/>
                <w:szCs w:val="24"/>
                <w:highlight w:val="none"/>
              </w:rPr>
              <w:t>标书递交地点：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2A873026">
            <w:pPr>
              <w:rPr>
                <w:rFonts w:hint="eastAsia" w:ascii="宋体" w:hAnsi="宋体" w:eastAsia="宋体" w:cs="宋体"/>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r>
              <w:rPr>
                <w:rFonts w:hint="eastAsia" w:ascii="宋体" w:hAnsi="宋体" w:eastAsia="宋体"/>
                <w:color w:val="auto"/>
                <w:highlight w:val="none"/>
                <w:lang w:eastAsia="zh-CN"/>
              </w:rPr>
              <w:t>）</w:t>
            </w:r>
          </w:p>
          <w:p w14:paraId="2E636B6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1A15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noWrap w:val="0"/>
            <w:vAlign w:val="center"/>
          </w:tcPr>
          <w:p w14:paraId="780632D3">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2833" w:type="dxa"/>
            <w:noWrap w:val="0"/>
            <w:vAlign w:val="center"/>
          </w:tcPr>
          <w:p w14:paraId="7BCADBB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19" w:type="dxa"/>
            <w:noWrap w:val="0"/>
            <w:vAlign w:val="center"/>
          </w:tcPr>
          <w:p w14:paraId="345781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开标时间：***年***月   日***（见招标公告）      </w:t>
            </w:r>
          </w:p>
          <w:p w14:paraId="2B85C41D">
            <w:pPr>
              <w:ind w:left="360" w:hanging="360" w:hangingChars="15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r>
              <w:rPr>
                <w:rFonts w:hint="eastAsia" w:ascii="宋体" w:hAnsi="宋体" w:cs="宋体"/>
                <w:i w:val="0"/>
                <w:iCs w:val="0"/>
                <w:color w:val="auto"/>
                <w:sz w:val="24"/>
                <w:szCs w:val="24"/>
                <w:highlight w:val="none"/>
                <w:lang w:val="en-US" w:eastAsia="zh-CN"/>
              </w:rPr>
              <w:t>周口市</w:t>
            </w:r>
            <w:r>
              <w:rPr>
                <w:rFonts w:hint="eastAsia" w:ascii="宋体" w:hAnsi="宋体" w:eastAsia="宋体" w:cs="宋体"/>
                <w:color w:val="auto"/>
                <w:sz w:val="24"/>
                <w:szCs w:val="24"/>
                <w:highlight w:val="none"/>
              </w:rPr>
              <w:t>公共资源交易中心</w:t>
            </w:r>
            <w:r>
              <w:rPr>
                <w:rFonts w:hint="eastAsia" w:ascii="宋体" w:hAnsi="宋体" w:eastAsia="宋体" w:cs="宋体"/>
                <w:i w:val="0"/>
                <w:iCs w:val="0"/>
                <w:color w:val="auto"/>
                <w:sz w:val="24"/>
                <w:szCs w:val="24"/>
                <w:highlight w:val="none"/>
                <w:lang w:val="en-US" w:eastAsia="zh-CN"/>
              </w:rPr>
              <w:t>四楼开标室)</w:t>
            </w:r>
            <w:r>
              <w:rPr>
                <w:rFonts w:hint="eastAsia" w:ascii="宋体" w:hAnsi="宋体" w:cs="宋体"/>
                <w:i w:val="0"/>
                <w:iCs w:val="0"/>
                <w:color w:val="auto"/>
                <w:sz w:val="24"/>
                <w:szCs w:val="24"/>
                <w:highlight w:val="none"/>
                <w:lang w:val="en-US" w:eastAsia="zh-CN"/>
              </w:rPr>
              <w:t xml:space="preserve">          </w:t>
            </w:r>
          </w:p>
        </w:tc>
      </w:tr>
      <w:tr w14:paraId="774B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noWrap w:val="0"/>
            <w:vAlign w:val="center"/>
          </w:tcPr>
          <w:p w14:paraId="22F943C4">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2833" w:type="dxa"/>
            <w:noWrap w:val="0"/>
            <w:vAlign w:val="center"/>
          </w:tcPr>
          <w:p w14:paraId="73571F3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19" w:type="dxa"/>
            <w:noWrap w:val="0"/>
            <w:vAlign w:val="center"/>
          </w:tcPr>
          <w:p w14:paraId="4CDB4D0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17EF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7736295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6E01C8F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387D29E9">
            <w:pPr>
              <w:numPr>
                <w:ilvl w:val="0"/>
                <w:numId w:val="2"/>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在投标文件中承诺未被纳入本地黑名单且未存在不诚信记录，如若实际情况与供应商承诺内容不一致，一经查实将取消其中标资格，此内容为采购人实质性要求，供应商需在投标文件中出具承诺书，否则按无效标处理。</w:t>
            </w:r>
          </w:p>
          <w:p w14:paraId="3748563D">
            <w:pPr>
              <w:numPr>
                <w:ilvl w:val="0"/>
                <w:numId w:val="2"/>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采购人验收如需第三方质检部门介入，第三方质检验收所需费用由中标人负担。</w:t>
            </w:r>
          </w:p>
          <w:p w14:paraId="4FFBD0DD">
            <w:pPr>
              <w:numPr>
                <w:ilvl w:val="0"/>
                <w:numId w:val="2"/>
              </w:numPr>
              <w:rPr>
                <w:rFonts w:hint="eastAsia" w:ascii="宋体" w:hAnsi="宋体" w:eastAsia="宋体" w:cs="宋体"/>
                <w:color w:val="auto"/>
                <w:kern w:val="2"/>
                <w:sz w:val="24"/>
                <w:szCs w:val="24"/>
                <w:highlight w:val="none"/>
                <w:lang w:val="en-US" w:eastAsia="zh-CN" w:bidi="ar-SA"/>
              </w:rPr>
            </w:pPr>
            <w:r>
              <w:rPr>
                <w:rFonts w:hint="default" w:ascii="宋体" w:hAnsi="宋体" w:cs="宋体"/>
                <w:color w:val="auto"/>
                <w:sz w:val="24"/>
                <w:szCs w:val="24"/>
                <w:highlight w:val="none"/>
                <w:lang w:val="en-US" w:eastAsia="zh-CN"/>
              </w:rPr>
              <w:t>评标结束后，7个工作日内采购人</w:t>
            </w:r>
            <w:r>
              <w:rPr>
                <w:rFonts w:hint="eastAsia" w:ascii="宋体" w:hAnsi="宋体" w:cs="宋体"/>
                <w:color w:val="auto"/>
                <w:sz w:val="24"/>
                <w:szCs w:val="24"/>
                <w:highlight w:val="none"/>
                <w:lang w:val="en-US" w:eastAsia="zh-CN"/>
              </w:rPr>
              <w:t>成立专班</w:t>
            </w:r>
            <w:r>
              <w:rPr>
                <w:rFonts w:hint="default" w:ascii="宋体" w:hAnsi="宋体" w:cs="宋体"/>
                <w:color w:val="auto"/>
                <w:sz w:val="24"/>
                <w:szCs w:val="24"/>
                <w:highlight w:val="none"/>
                <w:lang w:val="en-US" w:eastAsia="zh-CN"/>
              </w:rPr>
              <w:t>对中标（成交）候选人进行据实核查。核查内容包括信用信息、有无行受贿行为、企业履约能力情况等内容，以及采购人认为需要核查的其他事项。核查内容不得设置不合理限制和隐性壁垒。经核查发现中标（成交）候选人确有弄虚作假、串通投标等情形的，应否决相应中标（成交）候选人中标资格，重新招投标或按高低分递补的方式再次据实核查和认定中标（成交）候选人资格，核查结果要及时向行政监督部门报告。</w:t>
            </w:r>
          </w:p>
        </w:tc>
      </w:tr>
      <w:tr w14:paraId="28B6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6A8C690">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w:t>
            </w:r>
          </w:p>
        </w:tc>
        <w:tc>
          <w:tcPr>
            <w:tcW w:w="2833" w:type="dxa"/>
            <w:noWrap w:val="0"/>
            <w:vAlign w:val="center"/>
          </w:tcPr>
          <w:p w14:paraId="176D6198">
            <w:pPr>
              <w:rPr>
                <w:rFonts w:hint="eastAsia" w:ascii="宋体" w:hAnsi="宋体" w:eastAsia="宋体" w:cs="宋体"/>
                <w:color w:val="auto"/>
                <w:sz w:val="24"/>
                <w:szCs w:val="24"/>
                <w:highlight w:val="none"/>
              </w:rPr>
            </w:pPr>
            <w:r>
              <w:rPr>
                <w:rFonts w:hint="eastAsia" w:ascii="宋体" w:hAnsi="宋体"/>
                <w:b w:val="0"/>
                <w:bCs w:val="0"/>
                <w:color w:val="auto"/>
                <w:sz w:val="24"/>
                <w:szCs w:val="24"/>
                <w:highlight w:val="none"/>
              </w:rPr>
              <w:t>所属行业</w:t>
            </w:r>
          </w:p>
        </w:tc>
        <w:tc>
          <w:tcPr>
            <w:tcW w:w="6519" w:type="dxa"/>
            <w:noWrap w:val="0"/>
            <w:vAlign w:val="center"/>
          </w:tcPr>
          <w:p w14:paraId="20781D20">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餐饮业</w:t>
            </w:r>
            <w:r>
              <w:rPr>
                <w:rFonts w:hint="eastAsia" w:ascii="宋体" w:hAnsi="宋体" w:eastAsia="宋体" w:cs="宋体"/>
                <w:color w:val="auto"/>
                <w:sz w:val="24"/>
                <w:szCs w:val="24"/>
                <w:highlight w:val="none"/>
                <w:lang w:val="en-US" w:eastAsia="zh-CN"/>
              </w:rPr>
              <w:t xml:space="preserve">        </w:t>
            </w:r>
          </w:p>
        </w:tc>
      </w:tr>
      <w:tr w14:paraId="5254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307B48A1">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23</w:t>
            </w:r>
          </w:p>
        </w:tc>
        <w:tc>
          <w:tcPr>
            <w:tcW w:w="2833" w:type="dxa"/>
            <w:noWrap w:val="0"/>
            <w:vAlign w:val="center"/>
          </w:tcPr>
          <w:p w14:paraId="1F8771FC">
            <w:pPr>
              <w:rPr>
                <w:rFonts w:hint="eastAsia" w:ascii="宋体" w:hAnsi="宋体"/>
                <w:b w:val="0"/>
                <w:bCs w:val="0"/>
                <w:color w:val="auto"/>
                <w:sz w:val="24"/>
                <w:szCs w:val="24"/>
                <w:highlight w:val="none"/>
              </w:rPr>
            </w:pPr>
            <w:r>
              <w:rPr>
                <w:rFonts w:hint="eastAsia" w:ascii="宋体" w:hAnsi="宋体"/>
                <w:color w:val="auto"/>
                <w:sz w:val="24"/>
                <w:szCs w:val="24"/>
                <w:highlight w:val="none"/>
                <w:lang w:val="en-US" w:eastAsia="zh-CN"/>
              </w:rPr>
              <w:t>食品质量安全</w:t>
            </w:r>
            <w:r>
              <w:rPr>
                <w:rFonts w:hint="eastAsia" w:ascii="宋体" w:hAnsi="宋体"/>
                <w:color w:val="auto"/>
                <w:sz w:val="24"/>
                <w:szCs w:val="24"/>
                <w:highlight w:val="none"/>
              </w:rPr>
              <w:t>保证金</w:t>
            </w:r>
          </w:p>
        </w:tc>
        <w:tc>
          <w:tcPr>
            <w:tcW w:w="6519" w:type="dxa"/>
            <w:noWrap w:val="0"/>
            <w:vAlign w:val="center"/>
          </w:tcPr>
          <w:p w14:paraId="1F40C220">
            <w:pPr>
              <w:rPr>
                <w:rFonts w:hint="eastAsia" w:ascii="宋体" w:hAnsi="宋体" w:cs="宋体"/>
                <w:color w:val="auto"/>
                <w:sz w:val="24"/>
                <w:szCs w:val="24"/>
                <w:highlight w:val="none"/>
                <w:lang w:val="en-US" w:eastAsia="zh-CN"/>
              </w:rPr>
            </w:pPr>
            <w:r>
              <w:rPr>
                <w:rFonts w:hint="eastAsia" w:ascii="宋体" w:hAnsi="宋体"/>
                <w:color w:val="auto"/>
                <w:sz w:val="24"/>
                <w:szCs w:val="24"/>
                <w:highlight w:val="none"/>
                <w:lang w:val="en-US" w:eastAsia="zh-CN"/>
              </w:rPr>
              <w:t>食品质量安全</w:t>
            </w:r>
            <w:r>
              <w:rPr>
                <w:rFonts w:hint="eastAsia" w:ascii="宋体" w:hAnsi="宋体"/>
                <w:color w:val="auto"/>
                <w:sz w:val="24"/>
                <w:szCs w:val="24"/>
                <w:highlight w:val="none"/>
              </w:rPr>
              <w:t>保证金具体金额以签订合同时双方商定的金额为准</w:t>
            </w:r>
          </w:p>
        </w:tc>
      </w:tr>
    </w:tbl>
    <w:p w14:paraId="6B3F11E5">
      <w:pPr>
        <w:pStyle w:val="3"/>
        <w:ind w:firstLine="0"/>
        <w:rPr>
          <w:rFonts w:hint="eastAsia" w:ascii="宋体" w:hAnsi="宋体" w:eastAsia="宋体" w:cs="宋体"/>
          <w:color w:val="auto"/>
          <w:highlight w:val="none"/>
        </w:rPr>
      </w:pPr>
      <w:bookmarkStart w:id="40" w:name="_Hlt509650351"/>
      <w:bookmarkEnd w:id="40"/>
      <w:bookmarkStart w:id="41" w:name="_Hlt519045778"/>
      <w:bookmarkEnd w:id="41"/>
      <w:bookmarkStart w:id="42" w:name="_Hlt509650027"/>
      <w:bookmarkEnd w:id="42"/>
      <w:bookmarkStart w:id="43" w:name="_Hlt516969057"/>
      <w:bookmarkEnd w:id="43"/>
      <w:bookmarkStart w:id="44" w:name="_Toc22493"/>
      <w:bookmarkStart w:id="45" w:name="_Toc450_WPSOffice_Level1"/>
      <w:bookmarkStart w:id="46" w:name="_Toc220232390"/>
      <w:r>
        <w:rPr>
          <w:rFonts w:hint="eastAsia" w:ascii="宋体" w:hAnsi="宋体" w:eastAsia="宋体" w:cs="宋体"/>
          <w:color w:val="auto"/>
          <w:highlight w:val="none"/>
        </w:rPr>
        <w:t>第三章</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rPr>
        <w:t>需求一览表</w:t>
      </w:r>
      <w:bookmarkEnd w:id="44"/>
      <w:bookmarkEnd w:id="45"/>
      <w:bookmarkEnd w:id="46"/>
    </w:p>
    <w:p w14:paraId="551F5BCF">
      <w:pPr>
        <w:spacing w:line="360" w:lineRule="auto"/>
        <w:ind w:firstLine="480" w:firstLineChars="200"/>
        <w:rPr>
          <w:rFonts w:hint="eastAsia" w:ascii="宋体" w:hAnsi="宋体" w:eastAsia="宋体" w:cs="宋体"/>
          <w:color w:val="auto"/>
          <w:sz w:val="24"/>
          <w:szCs w:val="28"/>
          <w:highlight w:val="none"/>
        </w:rPr>
      </w:pPr>
      <w:bookmarkStart w:id="47" w:name="_Hlt509716920"/>
      <w:bookmarkEnd w:id="47"/>
      <w:r>
        <w:rPr>
          <w:rFonts w:hint="eastAsia" w:ascii="宋体" w:hAnsi="宋体" w:eastAsia="宋体" w:cs="宋体"/>
          <w:color w:val="auto"/>
          <w:sz w:val="24"/>
          <w:szCs w:val="28"/>
          <w:highlight w:val="none"/>
        </w:rPr>
        <w:t>前注：1） 本需求中提出的技术方案仅为参考，如无明确限制，</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可以进行优化，提供满足用户实际需要的更优（或者性能实质上不低于的）</w:t>
      </w:r>
      <w:r>
        <w:rPr>
          <w:rFonts w:hint="eastAsia" w:ascii="宋体" w:hAnsi="宋体" w:eastAsia="宋体" w:cs="宋体"/>
          <w:color w:val="auto"/>
          <w:sz w:val="24"/>
          <w:szCs w:val="24"/>
          <w:highlight w:val="none"/>
        </w:rPr>
        <w:t>技术方案或者设备配置，且此方案或配置须经评委会审核认可；</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 xml:space="preserve">    2） 为鼓励不同品牌的充分竞争，如某设备的某技术参数或要求属于个别品牌专有，则该技术参数及要求不具有限制性，</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可对该参数或要求进行适当调整，并应当说明调整的理由，且此调整须经评委会审核认可；</w:t>
      </w:r>
    </w:p>
    <w:p w14:paraId="655F1E7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 为有助于</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选择投标产品，项目需求中提供了推荐品牌（或型号）、参考品牌（或型号）等，但这些品牌（或型号）仅供参考，并无限制性。</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可以选择性能不低于推荐（或参考）的品牌（或型号）的其他品牌产品，但投标时应当提供有关技术证明资料，未提供的可能导致投标无效；</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4） </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应当在投标文件中列出完成本项目并通过验收所需的所有各项服务等明细表及全部费用。</w:t>
      </w:r>
      <w:r>
        <w:rPr>
          <w:rFonts w:hint="eastAsia" w:ascii="宋体" w:hAnsi="宋体" w:cs="宋体"/>
          <w:color w:val="auto"/>
          <w:sz w:val="24"/>
          <w:szCs w:val="28"/>
          <w:highlight w:val="none"/>
          <w:lang w:val="en-US" w:eastAsia="zh-CN"/>
        </w:rPr>
        <w:t>供应商必须在投标文件中书面承诺，若中标，</w:t>
      </w:r>
      <w:r>
        <w:rPr>
          <w:rFonts w:hint="eastAsia" w:ascii="宋体" w:hAnsi="宋体" w:eastAsia="宋体" w:cs="宋体"/>
          <w:color w:val="auto"/>
          <w:sz w:val="24"/>
          <w:szCs w:val="28"/>
          <w:highlight w:val="none"/>
        </w:rPr>
        <w:t>确保整体通过用户方及有关主管部门验收,所发生的验收费用由中标人承担；</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应自行踏勘现场，如</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因未及时踏勘现场而导致的报价缺项漏项废标、或中标后无法完工，</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自行承担一切后果；</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5）如对本招标文件有任何疑问或澄清要求，请按本招标文件“</w:t>
      </w: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须知前附表”中约定联系周口市公共交资源交易中心政府采购中心，或接受答疑截止时间前联系采购人。否则视同理解和接受。</w:t>
      </w:r>
      <w:bookmarkStart w:id="48" w:name="_Toc6821_WPSOffice_Level2"/>
    </w:p>
    <w:p w14:paraId="7FA411D6">
      <w:pPr>
        <w:spacing w:line="360" w:lineRule="auto"/>
        <w:ind w:firstLine="643" w:firstLineChars="200"/>
        <w:rPr>
          <w:rFonts w:hint="eastAsia" w:ascii="宋体" w:hAnsi="宋体" w:eastAsia="宋体" w:cs="宋体"/>
          <w:b/>
          <w:color w:val="auto"/>
          <w:sz w:val="32"/>
          <w:szCs w:val="32"/>
          <w:highlight w:val="none"/>
        </w:rPr>
      </w:pPr>
    </w:p>
    <w:p w14:paraId="1C412658">
      <w:pPr>
        <w:spacing w:line="360" w:lineRule="auto"/>
        <w:ind w:firstLine="643" w:firstLineChars="200"/>
        <w:rPr>
          <w:rFonts w:hint="eastAsia" w:ascii="宋体" w:hAnsi="宋体" w:eastAsia="宋体" w:cs="宋体"/>
          <w:b/>
          <w:color w:val="auto"/>
          <w:sz w:val="32"/>
          <w:szCs w:val="32"/>
          <w:highlight w:val="none"/>
        </w:rPr>
      </w:pPr>
    </w:p>
    <w:p w14:paraId="3AAFAF4B">
      <w:pPr>
        <w:spacing w:line="360" w:lineRule="auto"/>
        <w:ind w:firstLine="643" w:firstLineChars="200"/>
        <w:rPr>
          <w:rFonts w:hint="eastAsia" w:ascii="宋体" w:hAnsi="宋体" w:eastAsia="宋体" w:cs="宋体"/>
          <w:b/>
          <w:color w:val="auto"/>
          <w:sz w:val="32"/>
          <w:szCs w:val="32"/>
          <w:highlight w:val="none"/>
        </w:rPr>
      </w:pPr>
    </w:p>
    <w:bookmarkEnd w:id="48"/>
    <w:p w14:paraId="6B6EDE2E">
      <w:pPr>
        <w:jc w:val="left"/>
        <w:rPr>
          <w:rFonts w:hint="eastAsia" w:ascii="宋体" w:hAnsi="宋体" w:eastAsia="宋体" w:cs="宋体"/>
          <w:color w:val="auto"/>
          <w:highlight w:val="none"/>
        </w:rPr>
        <w:sectPr>
          <w:footerReference r:id="rId3" w:type="default"/>
          <w:pgSz w:w="11906" w:h="16838"/>
          <w:pgMar w:top="1440" w:right="1689" w:bottom="1440" w:left="1633" w:header="851" w:footer="992" w:gutter="0"/>
          <w:cols w:space="720" w:num="1"/>
          <w:docGrid w:linePitch="312" w:charSpace="0"/>
        </w:sectPr>
      </w:pPr>
    </w:p>
    <w:p w14:paraId="18D8DE9B">
      <w:pPr>
        <w:pBdr>
          <w:bottom w:val="dotted" w:color="auto" w:sz="24" w:space="1"/>
        </w:pBd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服务需求</w:t>
      </w:r>
      <w:bookmarkStart w:id="49" w:name="_Toc14806_WPSOffice_Level2"/>
    </w:p>
    <w:p w14:paraId="719DC934">
      <w:pPr>
        <w:bidi w:val="0"/>
        <w:rPr>
          <w:rFonts w:hint="eastAsia"/>
          <w:color w:val="auto"/>
          <w:highlight w:val="none"/>
        </w:rPr>
      </w:pPr>
      <w:bookmarkStart w:id="50" w:name="_Toc11739_WPSOffice_Level1"/>
    </w:p>
    <w:p w14:paraId="4B9C8264">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一、项目概况：</w:t>
      </w:r>
    </w:p>
    <w:p w14:paraId="506A2A2F">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 范围；实现</w:t>
      </w:r>
      <w:r>
        <w:rPr>
          <w:rFonts w:hint="eastAsia" w:asciiTheme="minorEastAsia" w:hAnsiTheme="minorEastAsia" w:eastAsiaTheme="minorEastAsia" w:cstheme="minorEastAsia"/>
          <w:color w:val="auto"/>
          <w:sz w:val="24"/>
          <w:szCs w:val="24"/>
          <w:highlight w:val="none"/>
          <w:lang w:eastAsia="zh-CN"/>
        </w:rPr>
        <w:t>商水县农村义务教育</w:t>
      </w:r>
      <w:r>
        <w:rPr>
          <w:rFonts w:hint="eastAsia" w:asciiTheme="minorEastAsia" w:hAnsiTheme="minorEastAsia" w:eastAsiaTheme="minorEastAsia" w:cstheme="minorEastAsia"/>
          <w:color w:val="auto"/>
          <w:sz w:val="24"/>
          <w:szCs w:val="24"/>
          <w:highlight w:val="none"/>
        </w:rPr>
        <w:t>学校全覆盖。全县</w:t>
      </w:r>
      <w:r>
        <w:rPr>
          <w:rFonts w:hint="eastAsia" w:asciiTheme="minorEastAsia" w:hAnsiTheme="minorEastAsia" w:eastAsiaTheme="minorEastAsia" w:cstheme="minorEastAsia"/>
          <w:color w:val="auto"/>
          <w:sz w:val="24"/>
          <w:szCs w:val="24"/>
          <w:highlight w:val="none"/>
          <w:lang w:val="en-US" w:eastAsia="zh-CN"/>
        </w:rPr>
        <w:t>22</w:t>
      </w:r>
      <w:r>
        <w:rPr>
          <w:rFonts w:hint="eastAsia" w:asciiTheme="minorEastAsia" w:hAnsiTheme="minorEastAsia" w:eastAsiaTheme="minorEastAsia" w:cstheme="minorEastAsia"/>
          <w:color w:val="auto"/>
          <w:sz w:val="24"/>
          <w:szCs w:val="24"/>
          <w:highlight w:val="none"/>
        </w:rPr>
        <w:t>个乡镇</w:t>
      </w:r>
      <w:r>
        <w:rPr>
          <w:rFonts w:hint="eastAsia" w:asciiTheme="minorEastAsia" w:hAnsiTheme="minorEastAsia" w:eastAsiaTheme="minorEastAsia" w:cstheme="minorEastAsia"/>
          <w:color w:val="auto"/>
          <w:sz w:val="24"/>
          <w:szCs w:val="24"/>
          <w:highlight w:val="none"/>
          <w:lang w:eastAsia="zh-CN"/>
        </w:rPr>
        <w:t>（街道办）</w:t>
      </w:r>
      <w:r>
        <w:rPr>
          <w:rFonts w:hint="eastAsia" w:asciiTheme="minorEastAsia" w:hAnsiTheme="minorEastAsia" w:eastAsiaTheme="minorEastAsia" w:cstheme="minorEastAsia"/>
          <w:color w:val="auto"/>
          <w:sz w:val="24"/>
          <w:szCs w:val="24"/>
          <w:highlight w:val="none"/>
        </w:rPr>
        <w:t>、学校约</w:t>
      </w:r>
      <w:r>
        <w:rPr>
          <w:rFonts w:hint="eastAsia" w:asciiTheme="minorEastAsia" w:hAnsiTheme="minorEastAsia" w:eastAsiaTheme="minorEastAsia" w:cstheme="minorEastAsia"/>
          <w:color w:val="auto"/>
          <w:sz w:val="24"/>
          <w:szCs w:val="24"/>
          <w:highlight w:val="none"/>
          <w:lang w:val="en-US" w:eastAsia="zh-CN"/>
        </w:rPr>
        <w:t>267</w:t>
      </w:r>
      <w:r>
        <w:rPr>
          <w:rFonts w:hint="eastAsia" w:asciiTheme="minorEastAsia" w:hAnsiTheme="minorEastAsia" w:eastAsiaTheme="minorEastAsia" w:cstheme="minorEastAsia"/>
          <w:color w:val="auto"/>
          <w:sz w:val="24"/>
          <w:szCs w:val="24"/>
          <w:highlight w:val="none"/>
        </w:rPr>
        <w:t>所，人员</w:t>
      </w:r>
      <w:r>
        <w:rPr>
          <w:rFonts w:hint="eastAsia" w:asciiTheme="minorEastAsia" w:hAnsiTheme="minorEastAsia" w:eastAsiaTheme="minorEastAsia" w:cstheme="minorEastAsia"/>
          <w:color w:val="auto"/>
          <w:sz w:val="24"/>
          <w:szCs w:val="24"/>
          <w:highlight w:val="none"/>
          <w:lang w:val="en-US" w:eastAsia="zh-CN"/>
        </w:rPr>
        <w:t>约9万人/年</w:t>
      </w:r>
      <w:r>
        <w:rPr>
          <w:rFonts w:hint="eastAsia" w:asciiTheme="minorEastAsia" w:hAnsiTheme="minorEastAsia" w:eastAsiaTheme="minorEastAsia" w:cstheme="minorEastAsia"/>
          <w:color w:val="auto"/>
          <w:sz w:val="24"/>
          <w:szCs w:val="24"/>
          <w:highlight w:val="none"/>
        </w:rPr>
        <w:t>。</w:t>
      </w:r>
    </w:p>
    <w:p w14:paraId="71D7C7B3">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本次采购为商水县教育体育局2026年农村义务教育学生营养改善计划食材采购项目，采购配送内容为面粉（小麦粉）、大米、肉类（以猪肉、鸡肉为主）、非转基因食用油、鸡蛋、蔬菜、调味品等大宗食品及原辅材料。</w:t>
      </w:r>
    </w:p>
    <w:p w14:paraId="00DD0C8C">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2、资金来源及落实情况：</w:t>
      </w:r>
      <w:r>
        <w:rPr>
          <w:rFonts w:hint="eastAsia" w:asciiTheme="minorEastAsia" w:hAnsiTheme="minorEastAsia" w:eastAsiaTheme="minorEastAsia" w:cstheme="minorEastAsia"/>
          <w:color w:val="auto"/>
          <w:sz w:val="24"/>
          <w:szCs w:val="24"/>
          <w:highlight w:val="none"/>
          <w:lang w:eastAsia="zh-CN"/>
        </w:rPr>
        <w:t>财政</w:t>
      </w:r>
      <w:r>
        <w:rPr>
          <w:rFonts w:hint="eastAsia" w:asciiTheme="minorEastAsia" w:hAnsiTheme="minorEastAsia" w:eastAsiaTheme="minorEastAsia" w:cstheme="minorEastAsia"/>
          <w:color w:val="auto"/>
          <w:sz w:val="24"/>
          <w:szCs w:val="24"/>
          <w:highlight w:val="none"/>
        </w:rPr>
        <w:t>资金,已落实。</w:t>
      </w:r>
    </w:p>
    <w:p w14:paraId="63B6150C">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3、配送地点：采购人指定的学校食堂。</w:t>
      </w:r>
    </w:p>
    <w:p w14:paraId="24DD1579">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4、合同履行期限：一年，</w:t>
      </w:r>
      <w:r>
        <w:rPr>
          <w:rFonts w:hint="eastAsia" w:asciiTheme="minorEastAsia" w:hAnsiTheme="minorEastAsia" w:eastAsiaTheme="minorEastAsia" w:cstheme="minorEastAsia"/>
          <w:color w:val="auto"/>
          <w:sz w:val="24"/>
          <w:szCs w:val="24"/>
          <w:highlight w:val="none"/>
          <w:lang w:val="en-US" w:eastAsia="zh-CN"/>
        </w:rPr>
        <w:t>以教体局确定的日期和以在校在籍学生实际供餐天数和人数为准。</w:t>
      </w:r>
    </w:p>
    <w:p w14:paraId="13126967">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5、标包划分：本次招标共划分为</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个包。</w:t>
      </w:r>
    </w:p>
    <w:p w14:paraId="7075C837">
      <w:pPr>
        <w:pStyle w:val="3"/>
        <w:ind w:firstLine="0"/>
        <w:jc w:val="both"/>
        <w:rPr>
          <w:rFonts w:hint="eastAsia" w:ascii="宋体" w:hAnsi="宋体" w:eastAsia="宋体" w:cs="宋体"/>
          <w:color w:val="auto"/>
          <w:highlight w:val="none"/>
        </w:rPr>
      </w:pPr>
      <w:r>
        <w:rPr>
          <w:rFonts w:ascii="宋体" w:hAnsi="宋体" w:eastAsia="宋体" w:cs="宋体"/>
          <w:color w:val="auto"/>
          <w:highlight w:val="none"/>
        </w:rPr>
        <w:br w:type="page"/>
      </w:r>
      <w:r>
        <w:rPr>
          <w:rFonts w:hint="eastAsia" w:ascii="宋体" w:hAnsi="宋体" w:cs="宋体"/>
          <w:color w:val="auto"/>
          <w:sz w:val="24"/>
          <w:szCs w:val="24"/>
          <w:highlight w:val="none"/>
        </w:rPr>
        <w:t>二、配送原材料的技术规格、质量标准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7380"/>
      </w:tblGrid>
      <w:tr w14:paraId="55FBF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912" w:type="dxa"/>
            <w:noWrap w:val="0"/>
            <w:vAlign w:val="center"/>
          </w:tcPr>
          <w:p w14:paraId="1DF14C78">
            <w:pPr>
              <w:autoSpaceDE w:val="0"/>
              <w:autoSpaceDN w:val="0"/>
              <w:adjustRightInd w:val="0"/>
              <w:spacing w:line="560" w:lineRule="exact"/>
              <w:ind w:right="6"/>
              <w:jc w:val="center"/>
              <w:rPr>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lang w:val="zh-CN"/>
              </w:rPr>
              <w:t>名称</w:t>
            </w:r>
          </w:p>
        </w:tc>
        <w:tc>
          <w:tcPr>
            <w:tcW w:w="7380" w:type="dxa"/>
            <w:noWrap w:val="0"/>
            <w:vAlign w:val="center"/>
          </w:tcPr>
          <w:p w14:paraId="7803D382">
            <w:pPr>
              <w:spacing w:line="560" w:lineRule="exact"/>
              <w:ind w:firstLine="480"/>
              <w:jc w:val="center"/>
              <w:rPr>
                <w:rFonts w:hint="eastAsia" w:ascii="宋体" w:hAnsi="宋体" w:cs="宋体"/>
                <w:b/>
                <w:bCs/>
                <w:color w:val="auto"/>
                <w:sz w:val="24"/>
                <w:szCs w:val="24"/>
                <w:highlight w:val="none"/>
                <w:lang w:val="zh-CN"/>
              </w:rPr>
            </w:pPr>
            <w:r>
              <w:rPr>
                <w:rFonts w:hint="eastAsia" w:ascii="宋体" w:hAnsi="宋体"/>
                <w:color w:val="auto"/>
                <w:sz w:val="24"/>
                <w:szCs w:val="24"/>
                <w:highlight w:val="none"/>
              </w:rPr>
              <w:t>技术规格要求（质量标准）</w:t>
            </w:r>
          </w:p>
        </w:tc>
      </w:tr>
      <w:tr w14:paraId="2213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0F22EBA6">
            <w:pPr>
              <w:autoSpaceDE w:val="0"/>
              <w:autoSpaceDN w:val="0"/>
              <w:adjustRightInd w:val="0"/>
              <w:spacing w:line="560" w:lineRule="exact"/>
              <w:ind w:right="6"/>
              <w:jc w:val="center"/>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大米</w:t>
            </w:r>
          </w:p>
        </w:tc>
        <w:tc>
          <w:tcPr>
            <w:tcW w:w="7380" w:type="dxa"/>
            <w:noWrap w:val="0"/>
            <w:vAlign w:val="center"/>
          </w:tcPr>
          <w:p w14:paraId="3208B093">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型号规格：25kg/袋。等级：国标一级。质量要求：1、符合ＧＢ/T1354-2018标准要求；2、新鲜安全，在保质期内；3、无霉变、无黄芽、完整率在85%以上；4、有产品质量检验合格证明；5、包装袋上标有食品名称、配料表、净含量和规格、生产者名称、生产者地址、生产者联系方式、生产日期、保质期、贮存条件、食品生产许可证编号、执行标准、食品产地、质量等级；6、应是国家知名品牌</w:t>
            </w:r>
          </w:p>
        </w:tc>
      </w:tr>
      <w:tr w14:paraId="6F55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1912" w:type="dxa"/>
            <w:noWrap w:val="0"/>
            <w:vAlign w:val="center"/>
          </w:tcPr>
          <w:p w14:paraId="7B5205AD">
            <w:pPr>
              <w:autoSpaceDE w:val="0"/>
              <w:autoSpaceDN w:val="0"/>
              <w:adjustRightInd w:val="0"/>
              <w:spacing w:line="560" w:lineRule="exact"/>
              <w:ind w:right="6"/>
              <w:jc w:val="center"/>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面粉（小麦粉）</w:t>
            </w:r>
          </w:p>
        </w:tc>
        <w:tc>
          <w:tcPr>
            <w:tcW w:w="7380" w:type="dxa"/>
            <w:noWrap w:val="0"/>
            <w:vAlign w:val="center"/>
          </w:tcPr>
          <w:p w14:paraId="292A01D3">
            <w:pPr>
              <w:jc w:val="left"/>
              <w:rPr>
                <w:rFonts w:hint="eastAsia"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型号规格：25kg/袋；等级：</w:t>
            </w:r>
            <w:r>
              <w:rPr>
                <w:rFonts w:hint="eastAsia" w:ascii="宋体" w:hAnsi="宋体" w:cs="Times New Roman"/>
                <w:color w:val="auto"/>
                <w:sz w:val="24"/>
                <w:szCs w:val="24"/>
                <w:highlight w:val="none"/>
                <w:lang w:val="en-US" w:eastAsia="zh-CN"/>
              </w:rPr>
              <w:t>精致粉</w:t>
            </w:r>
            <w:r>
              <w:rPr>
                <w:rFonts w:hint="eastAsia" w:ascii="宋体" w:hAnsi="宋体" w:eastAsia="宋体" w:cs="Times New Roman"/>
                <w:color w:val="auto"/>
                <w:sz w:val="24"/>
                <w:szCs w:val="24"/>
                <w:highlight w:val="none"/>
                <w:lang w:val="zh-CN"/>
              </w:rPr>
              <w:t>。质量要求：1、符合小麦粉国家质量标准GB/T1355-2021要求；2、在保质期内；3、有产品质量检验合格证； 4、包装袋上标有食品名称、配料表、净含量和规格、生产者名称、生产者地址、联系方式、生产日期、保质期、贮存条件、食品生产许可证编号、执行标准、食品产地、质量等级；5、应是国家知名品牌。</w:t>
            </w:r>
          </w:p>
        </w:tc>
      </w:tr>
      <w:tr w14:paraId="709A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4A62425B">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食用油</w:t>
            </w:r>
          </w:p>
        </w:tc>
        <w:tc>
          <w:tcPr>
            <w:tcW w:w="7380" w:type="dxa"/>
            <w:noWrap w:val="0"/>
            <w:vAlign w:val="center"/>
          </w:tcPr>
          <w:p w14:paraId="38EA658C">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型号规格：5Ｌ/桶、10Ｌ/桶或20Ｌ/桶。等级：国标一级菜籽油或大豆油。质量要求：1、符合ＧＢ1536-2004标准要求；2、在保质期以内；3、有产品质量检验合格证明；4、包装桶上标有食品名称、配料表、净含量和规格、生产者名称、生产者地址、生产者联系方式、生产日期、保质期、贮存条件、食品生产许可证编号、执行标准、食品产地、质量等级；5、非转基因；6、应是国家知名品牌。</w:t>
            </w:r>
          </w:p>
        </w:tc>
      </w:tr>
      <w:tr w14:paraId="53E5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1AF3C7F7">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肉类</w:t>
            </w:r>
          </w:p>
        </w:tc>
        <w:tc>
          <w:tcPr>
            <w:tcW w:w="7380" w:type="dxa"/>
            <w:noWrap w:val="0"/>
            <w:vAlign w:val="center"/>
          </w:tcPr>
          <w:p w14:paraId="7F87503D">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以猪肉、鸡肉为主，质量要求：国内品牌新鲜肉或冷鲜肉，有检验检疫合格证明，</w:t>
            </w:r>
            <w:r>
              <w:rPr>
                <w:rFonts w:hint="eastAsia" w:ascii="宋体" w:hAnsi="宋体" w:cs="Times New Roman"/>
                <w:color w:val="auto"/>
                <w:sz w:val="24"/>
                <w:szCs w:val="24"/>
                <w:highlight w:val="none"/>
                <w:lang w:val="en-US" w:eastAsia="zh-CN"/>
              </w:rPr>
              <w:t>需</w:t>
            </w:r>
            <w:r>
              <w:rPr>
                <w:rFonts w:hint="eastAsia" w:ascii="宋体" w:hAnsi="宋体" w:eastAsia="宋体" w:cs="Times New Roman"/>
                <w:color w:val="auto"/>
                <w:sz w:val="24"/>
                <w:szCs w:val="24"/>
                <w:highlight w:val="none"/>
                <w:lang w:val="zh-CN" w:eastAsia="zh-CN"/>
              </w:rPr>
              <w:t>在保质期内。</w:t>
            </w:r>
          </w:p>
        </w:tc>
      </w:tr>
      <w:tr w14:paraId="7859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32092A6A">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蔬菜（含豆制品）</w:t>
            </w:r>
          </w:p>
        </w:tc>
        <w:tc>
          <w:tcPr>
            <w:tcW w:w="7380" w:type="dxa"/>
            <w:noWrap w:val="0"/>
            <w:vAlign w:val="center"/>
          </w:tcPr>
          <w:p w14:paraId="4AF85242">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质量要求：新鲜、绿色、安全、无公害产品；在正常情况下为应季蔬菜，有农残检测合格报告，在保质期内（如有），能够进行溯源。</w:t>
            </w:r>
          </w:p>
        </w:tc>
      </w:tr>
      <w:tr w14:paraId="3B4E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645015E6">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鸡蛋</w:t>
            </w:r>
          </w:p>
        </w:tc>
        <w:tc>
          <w:tcPr>
            <w:tcW w:w="7380" w:type="dxa"/>
            <w:noWrap w:val="0"/>
            <w:vAlign w:val="center"/>
          </w:tcPr>
          <w:p w14:paraId="59673823">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无公害产品，质量可靠，新鲜，蛋皮光滑、干净，无破损。无沙壳、畸形、蛋黄蛋清界限分明。有产品质量检验合格证，在保质期内，能够进行溯源。</w:t>
            </w:r>
          </w:p>
        </w:tc>
      </w:tr>
      <w:tr w14:paraId="3341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00FBD200">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调味品</w:t>
            </w:r>
          </w:p>
        </w:tc>
        <w:tc>
          <w:tcPr>
            <w:tcW w:w="7380" w:type="dxa"/>
            <w:noWrap w:val="0"/>
            <w:vAlign w:val="center"/>
          </w:tcPr>
          <w:p w14:paraId="00BC41C0">
            <w:pPr>
              <w:jc w:val="left"/>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应是国家知名品牌，正规厂家生产，符合国家质量标准，根据饭菜适量配置，在质保期内</w:t>
            </w:r>
          </w:p>
        </w:tc>
      </w:tr>
      <w:tr w14:paraId="6362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7D3EAC68">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产品质检</w:t>
            </w:r>
          </w:p>
        </w:tc>
        <w:tc>
          <w:tcPr>
            <w:tcW w:w="7380" w:type="dxa"/>
            <w:noWrap w:val="0"/>
            <w:vAlign w:val="center"/>
          </w:tcPr>
          <w:p w14:paraId="23BA4E95">
            <w:pPr>
              <w:jc w:val="left"/>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1.提供大米、面粉(小麦粉)、肉类(猪肉和鸡肉)、蔬菜(常用蔬菜不少于 5 种)、 食用油、鸡蛋和任一种调味品等 7 种食材的生产及检测标准、方法(包括自检和外检);2.提供大米、面粉(小麦粉)、肉类(猪肉和鸡肉)、食用油、鸡蛋和任一种调味品等 6 种食材</w:t>
            </w:r>
            <w:r>
              <w:rPr>
                <w:rFonts w:hint="eastAsia" w:ascii="宋体" w:hAnsi="宋体" w:cs="宋体"/>
                <w:color w:val="auto"/>
                <w:sz w:val="24"/>
                <w:highlight w:val="none"/>
                <w:lang w:val="en-US" w:eastAsia="zh-CN"/>
              </w:rPr>
              <w:t>出厂检验、监督检验或形式检验（</w:t>
            </w:r>
            <w:r>
              <w:rPr>
                <w:rFonts w:hint="eastAsia" w:ascii="宋体" w:hAnsi="宋体" w:cs="宋体"/>
                <w:color w:val="auto"/>
                <w:sz w:val="24"/>
                <w:highlight w:val="none"/>
              </w:rPr>
              <w:t>第三方质量检测机构</w:t>
            </w:r>
            <w:r>
              <w:rPr>
                <w:rFonts w:hint="eastAsia" w:ascii="宋体" w:hAnsi="宋体" w:cs="宋体"/>
                <w:color w:val="auto"/>
                <w:sz w:val="24"/>
                <w:highlight w:val="none"/>
                <w:lang w:eastAsia="zh-CN"/>
              </w:rPr>
              <w:t>）</w:t>
            </w:r>
            <w:r>
              <w:rPr>
                <w:rFonts w:hint="eastAsia" w:ascii="宋体" w:hAnsi="宋体" w:cs="宋体"/>
                <w:color w:val="auto"/>
                <w:sz w:val="24"/>
                <w:highlight w:val="none"/>
              </w:rPr>
              <w:t>有效期内质量检测合格报告</w:t>
            </w:r>
            <w:r>
              <w:rPr>
                <w:rFonts w:hint="eastAsia" w:ascii="宋体" w:hAnsi="宋体" w:cs="宋体"/>
                <w:color w:val="auto"/>
                <w:sz w:val="24"/>
                <w:highlight w:val="none"/>
                <w:lang w:eastAsia="zh-CN"/>
              </w:rPr>
              <w:t>。</w:t>
            </w:r>
          </w:p>
        </w:tc>
      </w:tr>
      <w:tr w14:paraId="5750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noWrap w:val="0"/>
            <w:vAlign w:val="center"/>
          </w:tcPr>
          <w:p w14:paraId="479A9552">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配送管理</w:t>
            </w:r>
          </w:p>
        </w:tc>
        <w:tc>
          <w:tcPr>
            <w:tcW w:w="7380" w:type="dxa"/>
            <w:noWrap w:val="0"/>
            <w:vAlign w:val="center"/>
          </w:tcPr>
          <w:p w14:paraId="73793A90">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1.提供配送管理制度(人员、车辆、安全、卫生、考勤、奖惩)合理、具体、详细 并切合实际；2.提供配送方案，包含线路安排和时间安排；3.用于本项目的配送冷链车辆，需提供车辆照片、车辆购置发票或车辆租赁协议、车辆行驶证、司机需提供驾驶证； 4.车辆加装有 GPS 定位系统。5.保证食材按时免费送到所有供餐加工学校；6.提 供对突发事件的应急配送预案。7.纳入学校食材配送数字化监管平台管理，并通过数字化平台接收学校食材订单，在学校规定的收货时间内完成食材配送。8.所配送食材必须符合国家现行相关标准和强制性规定要求，并在平台公示。根据供应商许可或备案经营项目，将销售商品实物照片上传到平台，并按系统制定的上架商品表单项目要求填写完整销售商品的身份信息(商品实物照片、库存数量、以500克计价的单价(含税)、预包装食品的生产供应商信息和证照图片、检验检疫(质检)报告、经销商资质证书进货发票、商品批号、商品规格、商品品质描述、销售约定等)。食材配送企业不得配送未在平台上架的食品，不得配送有问题的食品，不得配送未经平台下单的食品，不得委托其他企业(个人)向学校配送食品。同等条件下鼓励优先采购本地品牌产品。</w:t>
            </w:r>
          </w:p>
          <w:p w14:paraId="366D2794">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要严格落实原料进货查验，做到源头可控，有据可查。食材进货查验记录和相关凭证保存期限不得少于产品保质期满后6个月；没有明确保质期的，保存期限不得少于2年。食用农产品的记录和凭证保存期限不得少于6个月。</w:t>
            </w:r>
          </w:p>
          <w:p w14:paraId="732C4F80">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在采购食材时，必须严格主体资质核验和进货查验。从食品生产者采购时，须查验《食品生产许可证》及同批次产品合格证明，留存加盖公章复印件;从食品经营者采购时，须查验《食品经营许可证》，索取同批次出厂检验报告，留存每笔送货单及购物凭证；从食用农产品生产者采购时，需核验营业执照或身份证，并按照规定收取、保存承诺达标合格证或者其他质量安全合格证明。对其收购的农产品进行混装或者分装销售的，应当按照规定开具承诺达标合格证。鼓励和支持优先采购绿色优质农产品。从集中交易市场采购的食用农产品索取的凭证需市场方盖章确认。所有索证资料加盖供货企业红印章，建立票证档案。建立供货商食品安全评价档案，定期开展现场考察评估，对存在质量问题的供应商实施退出机制。食品入库前，须查验包装完整性、标签标识(含生产日期、保质期、贮存条件、生产者信息等)，核对食品与标签内容物一致性;生鲜畜禽肉类需查验检疫证明，检疫标志及肉品品质检验合格证;感官查验:无腐败变质、异物污染，散装食品需标注名称、生产批号、使用期限。禁止采购亚硝酸盐、野生蘑菇发芽土豆、鲜黄花菜、四季豆等高风险食材,禁止接收超保质期、感官异常、无标签标识、运输污染及法律法规明令禁止的食品。</w:t>
            </w:r>
          </w:p>
          <w:p w14:paraId="4DDBBBBA">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11.需每天在数字化平台公布配送食材价格、食材进货来源等信息。</w:t>
            </w:r>
          </w:p>
          <w:p w14:paraId="720EBA63">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食材验收、入库、出库环节要全程在学校食材配送数字化监管平台视频监控范围，智能化称重设备将数据实时上传至平台，与采购系统数据互联互通，验收完成即刻生成电子签收单，形成采购单、配送单、收货单、出入库单、结算单等多重单据的数据闭环。</w:t>
            </w:r>
          </w:p>
          <w:p w14:paraId="4315E519">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从事直接接触食品的管理人员、从业人员和车辆驾驶人员均应取得健康证和相关从业资格证，企业应配备充足的口罩、体温计、消毒液和免洗手消毒剂等防控物资，并对员工开展健康教育及法治教育，做好人员卫生和健康档案管理，准确掌握其健康状况。</w:t>
            </w:r>
          </w:p>
          <w:p w14:paraId="2EA48397">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14.要严格执行食材配送各项管理制度和规定，加强对食品安全管理人员和从业人员的教育管理和业务培训，增强员工食品安全意识、法律意识和服务意识，提高员工业务水平。</w:t>
            </w:r>
          </w:p>
          <w:p w14:paraId="3153FC3F">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15.不得对涉及学校食材配送工作的人员进行贿赂、宴请等任何形式的不正当利益输送。</w:t>
            </w:r>
          </w:p>
          <w:p w14:paraId="169EDCD7">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16.实施负责人需有健康证，每个乡镇配备一名。</w:t>
            </w:r>
          </w:p>
        </w:tc>
      </w:tr>
      <w:tr w14:paraId="50F8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912" w:type="dxa"/>
            <w:noWrap w:val="0"/>
            <w:vAlign w:val="center"/>
          </w:tcPr>
          <w:p w14:paraId="7E9E9E37">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zh-CN" w:eastAsia="zh-CN"/>
              </w:rPr>
              <w:t>冷藏仓储</w:t>
            </w:r>
          </w:p>
        </w:tc>
        <w:tc>
          <w:tcPr>
            <w:tcW w:w="7380" w:type="dxa"/>
            <w:noWrap w:val="0"/>
            <w:vAlign w:val="center"/>
          </w:tcPr>
          <w:p w14:paraId="3154E844">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要有固定的符合安全和卫生要求的冷藏仓储和分拣场所。提供冷藏仓储房产证或租赁合同、分拣场所的房产证或租赁合同、冷藏仓储及分拣场所的照片。</w:t>
            </w:r>
          </w:p>
        </w:tc>
      </w:tr>
      <w:tr w14:paraId="700B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9292" w:type="dxa"/>
            <w:gridSpan w:val="2"/>
            <w:tcBorders>
              <w:top w:val="single" w:color="auto" w:sz="4" w:space="0"/>
            </w:tcBorders>
            <w:noWrap w:val="0"/>
            <w:vAlign w:val="center"/>
          </w:tcPr>
          <w:p w14:paraId="7CEB3E5D">
            <w:pPr>
              <w:jc w:val="center"/>
              <w:rPr>
                <w:rFonts w:hint="eastAsia" w:ascii="宋体" w:hAnsi="宋体" w:eastAsia="宋体" w:cs="Times New Roman"/>
                <w:color w:val="auto"/>
                <w:sz w:val="24"/>
                <w:szCs w:val="24"/>
                <w:highlight w:val="none"/>
                <w:lang w:val="zh-CN" w:eastAsia="zh-CN"/>
              </w:rPr>
            </w:pPr>
            <w:r>
              <w:rPr>
                <w:rFonts w:hint="eastAsia" w:ascii="宋体" w:hAnsi="宋体" w:eastAsia="宋体" w:cs="Times New Roman"/>
                <w:color w:val="auto"/>
                <w:sz w:val="24"/>
                <w:szCs w:val="24"/>
                <w:highlight w:val="none"/>
                <w:lang w:val="en-US" w:eastAsia="zh-CN"/>
              </w:rPr>
              <w:t>中标供应商在供应食材过程中，在县教体局营养办指导下，所供应各项货物在总体报价不变的情况下，可由学生使用量根据学校要求合理调整所供各项货物数量，以达到最佳配货供餐方案，让学生吃好、吃饱、吃得营养。</w:t>
            </w:r>
          </w:p>
        </w:tc>
      </w:tr>
    </w:tbl>
    <w:p w14:paraId="6F8E565B">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三、商务要求</w:t>
      </w:r>
    </w:p>
    <w:p w14:paraId="5972EE15">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（1）质量保证：</w:t>
      </w:r>
    </w:p>
    <w:p w14:paraId="6B1C8421">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1.投标人提供所投大米、面粉(小麦粉)、肉类(以猪肉、鸡肉为主)、食用油、</w:t>
      </w:r>
      <w:r>
        <w:rPr>
          <w:rFonts w:hint="eastAsia" w:ascii="宋体" w:hAnsi="宋体" w:cs="宋体"/>
          <w:b w:val="0"/>
          <w:bCs w:val="0"/>
          <w:color w:val="auto"/>
          <w:sz w:val="24"/>
          <w:szCs w:val="24"/>
          <w:highlight w:val="none"/>
          <w:lang w:eastAsia="zh-CN"/>
        </w:rPr>
        <w:t>鸡蛋</w:t>
      </w:r>
      <w:r>
        <w:rPr>
          <w:rFonts w:hint="eastAsia" w:ascii="宋体" w:hAnsi="宋体" w:cs="宋体"/>
          <w:b w:val="0"/>
          <w:bCs w:val="0"/>
          <w:color w:val="auto"/>
          <w:sz w:val="24"/>
          <w:szCs w:val="24"/>
          <w:highlight w:val="none"/>
        </w:rPr>
        <w:t>和任一种调味品等生产厂家资质(营业执照、食品生产许可证);</w:t>
      </w:r>
    </w:p>
    <w:p w14:paraId="29D77528">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2.中标人配送的生鲜类（蔬菜、肉类）原料，为干净、安全卫生的原材料。所配送的食品原材料必须达到食品安全存放相关要求，确保食品原材料质量安全无害，符合《食品安全法》等相关法律、法规的规定，达到国家标准相关要求。</w:t>
      </w:r>
    </w:p>
    <w:p w14:paraId="421A8A8F">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3、中标人所供食品必须留样且提供每批次的安全检测报告。</w:t>
      </w:r>
    </w:p>
    <w:p w14:paraId="09DE274A">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（2）供货要求：采购人（采购人指定联系人）于提前三日历天前以适当方式向中标人确定下周订单，订单内容包括主副食品的名称、数量等。 </w:t>
      </w:r>
    </w:p>
    <w:p w14:paraId="6C635899">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1、中标人须在接到订单后及时将货物按照约定的时间配送至采购人指定的学校食堂。待采购人验收、核对后配送才算完成。 </w:t>
      </w:r>
    </w:p>
    <w:p w14:paraId="22E834F1">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2、中标人所配送的货物必须符合国家食品卫生标准和营养要求，无毒、无害、具有良好的感官</w:t>
      </w:r>
      <w:r>
        <w:rPr>
          <w:rFonts w:hint="eastAsia" w:ascii="宋体" w:hAnsi="宋体" w:cs="宋体"/>
          <w:b w:val="0"/>
          <w:bCs w:val="0"/>
          <w:color w:val="auto"/>
          <w:sz w:val="24"/>
          <w:szCs w:val="24"/>
          <w:highlight w:val="none"/>
          <w:lang w:val="en-US" w:eastAsia="zh-CN"/>
        </w:rPr>
        <w:t>性</w:t>
      </w:r>
      <w:r>
        <w:rPr>
          <w:rFonts w:hint="eastAsia" w:ascii="宋体" w:hAnsi="宋体" w:cs="宋体"/>
          <w:b w:val="0"/>
          <w:bCs w:val="0"/>
          <w:color w:val="auto"/>
          <w:sz w:val="24"/>
          <w:szCs w:val="24"/>
          <w:highlight w:val="none"/>
        </w:rPr>
        <w:t>状，否则，食堂有权退货。</w:t>
      </w:r>
    </w:p>
    <w:p w14:paraId="231F095A">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3、每次配送，中标人及学校食堂须各委派专门负责人，负责食材的运输、过秤，并协助采购人验收食材，食材的品种和重量以采购人验收的结果为准。</w:t>
      </w:r>
    </w:p>
    <w:p w14:paraId="5142E0AA">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4、食材的等级、质量须符合国家质检部门及卫生部门的相关规定，若采购人发现中标所供食材不符合卫生规定的，采购人有权拒收。若所供食材由于质量问题导致发生食物中毒的，采购人有权向中标人追究法律责任，并赔偿采购人的一切损失。</w:t>
      </w:r>
    </w:p>
    <w:p w14:paraId="5D61231B">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 中标人需具有履约本项目的人员、设备、场地、运输及检测能力。</w:t>
      </w:r>
    </w:p>
    <w:p w14:paraId="5E223365">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6、配送地点：采购人（用户）指定地点。</w:t>
      </w:r>
    </w:p>
    <w:p w14:paraId="13E43D86">
      <w:pPr>
        <w:spacing w:line="360" w:lineRule="auto"/>
        <w:ind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7、项目管理人员需为公司正式员工并提供近三个月社保。</w:t>
      </w:r>
    </w:p>
    <w:p w14:paraId="262679E3">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 （3）违约责任： </w:t>
      </w:r>
    </w:p>
    <w:p w14:paraId="625751D9">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1中标人存在以下情形的采购人有权解除合同： </w:t>
      </w:r>
    </w:p>
    <w:p w14:paraId="08372686">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①中标人多次（2 次以上）不能按照合同约定时间按时交货的； </w:t>
      </w:r>
    </w:p>
    <w:p w14:paraId="490ED5D0">
      <w:pPr>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rPr>
        <w:t>②中标人未按合同约定，提供的货物在质量、数量、规格等方面不符合采购人条件的</w:t>
      </w:r>
      <w:r>
        <w:rPr>
          <w:rFonts w:hint="eastAsia" w:ascii="宋体" w:hAnsi="宋体" w:cs="宋体"/>
          <w:b w:val="0"/>
          <w:bCs w:val="0"/>
          <w:color w:val="auto"/>
          <w:sz w:val="24"/>
          <w:szCs w:val="24"/>
          <w:highlight w:val="none"/>
          <w:lang w:eastAsia="zh-CN"/>
        </w:rPr>
        <w:t>。</w:t>
      </w:r>
    </w:p>
    <w:p w14:paraId="720670F3">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2中标人在供货期间，如发生下列行为之一的，解除合同，情节严重的追究中标人法律责任： </w:t>
      </w:r>
    </w:p>
    <w:p w14:paraId="3EA32352">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①因配送的食品质量问题引发食品安全事故的； </w:t>
      </w:r>
    </w:p>
    <w:p w14:paraId="094A9492">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② 配送的食品有</w:t>
      </w:r>
      <w:r>
        <w:rPr>
          <w:rFonts w:hint="eastAsia" w:ascii="宋体" w:hAnsi="宋体" w:cs="宋体"/>
          <w:b w:val="0"/>
          <w:bCs w:val="0"/>
          <w:color w:val="auto"/>
          <w:sz w:val="24"/>
          <w:szCs w:val="24"/>
          <w:highlight w:val="none"/>
          <w:lang w:val="en-US" w:eastAsia="zh-CN"/>
        </w:rPr>
        <w:t>以次充好</w:t>
      </w:r>
      <w:r>
        <w:rPr>
          <w:rFonts w:hint="eastAsia" w:ascii="宋体" w:hAnsi="宋体" w:cs="宋体"/>
          <w:b w:val="0"/>
          <w:bCs w:val="0"/>
          <w:color w:val="auto"/>
          <w:sz w:val="24"/>
          <w:szCs w:val="24"/>
          <w:highlight w:val="none"/>
        </w:rPr>
        <w:t xml:space="preserve">产品累计三次以上（含三次）的； </w:t>
      </w:r>
    </w:p>
    <w:p w14:paraId="26F2A97B">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③因安全隐患问题造成严重后果的； </w:t>
      </w:r>
    </w:p>
    <w:p w14:paraId="3B56048F">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④中标人配送人员在开展本项目工作中发生违纪、违法行为的。 </w:t>
      </w:r>
    </w:p>
    <w:p w14:paraId="14D51183">
      <w:pPr>
        <w:spacing w:line="360" w:lineRule="auto"/>
        <w:ind w:firstLine="480" w:firstLineChars="200"/>
        <w:rPr>
          <w:rFonts w:ascii="宋体" w:hAnsi="宋体"/>
          <w:b w:val="0"/>
          <w:bCs w:val="0"/>
          <w:color w:val="auto"/>
          <w:sz w:val="24"/>
          <w:szCs w:val="24"/>
          <w:highlight w:val="none"/>
        </w:rPr>
      </w:pPr>
      <w:r>
        <w:rPr>
          <w:rFonts w:hint="eastAsia" w:ascii="宋体" w:hAnsi="宋体" w:cs="宋体"/>
          <w:b w:val="0"/>
          <w:bCs w:val="0"/>
          <w:color w:val="auto"/>
          <w:sz w:val="24"/>
          <w:szCs w:val="24"/>
          <w:highlight w:val="none"/>
        </w:rPr>
        <w:t>⑤</w:t>
      </w:r>
      <w:r>
        <w:rPr>
          <w:rFonts w:hint="eastAsia" w:ascii="宋体" w:hAnsi="宋体"/>
          <w:b w:val="0"/>
          <w:bCs w:val="0"/>
          <w:color w:val="auto"/>
          <w:sz w:val="24"/>
          <w:szCs w:val="24"/>
          <w:highlight w:val="none"/>
        </w:rPr>
        <w:t>配送蔬菜类农副产品农药残留检测超标的；</w:t>
      </w:r>
    </w:p>
    <w:p w14:paraId="629DC8D1">
      <w:pPr>
        <w:spacing w:line="360" w:lineRule="auto"/>
        <w:ind w:firstLine="480" w:firstLineChars="200"/>
        <w:rPr>
          <w:rFonts w:ascii="宋体" w:hAnsi="宋体"/>
          <w:b w:val="0"/>
          <w:bCs w:val="0"/>
          <w:color w:val="auto"/>
          <w:sz w:val="24"/>
          <w:szCs w:val="24"/>
          <w:highlight w:val="none"/>
        </w:rPr>
      </w:pPr>
      <w:r>
        <w:rPr>
          <w:rFonts w:hint="eastAsia" w:ascii="宋体" w:hAnsi="宋体"/>
          <w:b w:val="0"/>
          <w:bCs w:val="0"/>
          <w:color w:val="auto"/>
          <w:sz w:val="24"/>
          <w:szCs w:val="24"/>
          <w:highlight w:val="none"/>
        </w:rPr>
        <w:t>⑥调味品属于三无产品的：</w:t>
      </w:r>
    </w:p>
    <w:p w14:paraId="2C7221E5">
      <w:pPr>
        <w:numPr>
          <w:ilvl w:val="0"/>
          <w:numId w:val="3"/>
        </w:numPr>
        <w:spacing w:line="360" w:lineRule="auto"/>
        <w:ind w:firstLine="48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考核；</w:t>
      </w:r>
    </w:p>
    <w:p w14:paraId="06199809">
      <w:pPr>
        <w:spacing w:line="360" w:lineRule="auto"/>
        <w:ind w:firstLine="960" w:firstLineChars="4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建立考核制度，引进竞争机制，采购人与各学校每月定期对中标人进行考核，包括但不限于食材质量、食材价格、配送时效、应急处理等</w:t>
      </w:r>
    </w:p>
    <w:p w14:paraId="24C5CA23">
      <w:pPr>
        <w:spacing w:line="360" w:lineRule="auto"/>
        <w:ind w:firstLine="960" w:firstLineChars="4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考评结果连续二个月不满意率达 15%以上（含 15%）的；减少配送范围，具体配送范围有采购人确定。连续二个月不满意率达 30%以上（含 30%）的取消配送资格，解除合同。</w:t>
      </w:r>
    </w:p>
    <w:p w14:paraId="431DB8E2">
      <w:pPr>
        <w:spacing w:line="360" w:lineRule="auto"/>
        <w:ind w:firstLine="960" w:firstLineChars="4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（5）食品安全要求</w:t>
      </w:r>
    </w:p>
    <w:p w14:paraId="24A8A69B">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中标人应对本项目食品安全进行全权负责，中标人应制定食品安全相关制度和管理办法、食品安全工作考核办法和食品安全事故责任追究制度以及食品安全事故处理（置）应急预案。采购人对中标人进行食品安全的监管。</w:t>
      </w:r>
    </w:p>
    <w:p w14:paraId="296F78F1">
      <w:pPr>
        <w:spacing w:line="360" w:lineRule="auto"/>
        <w:ind w:firstLine="480" w:firstLineChars="200"/>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rPr>
        <w:t>2、采购人有权对中标人配送的食品原材料不定期委托第三方进行检验</w:t>
      </w:r>
      <w:r>
        <w:rPr>
          <w:rFonts w:hint="eastAsia" w:ascii="宋体" w:hAnsi="宋体" w:cs="宋体"/>
          <w:b w:val="0"/>
          <w:bCs w:val="0"/>
          <w:color w:val="auto"/>
          <w:sz w:val="24"/>
          <w:szCs w:val="24"/>
          <w:highlight w:val="none"/>
          <w:lang w:eastAsia="zh-CN"/>
        </w:rPr>
        <w:t>。</w:t>
      </w:r>
    </w:p>
    <w:p w14:paraId="25E4EA2B">
      <w:pPr>
        <w:spacing w:line="360" w:lineRule="auto"/>
        <w:ind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rPr>
        <w:t>3、学校食堂管理及从业人员食品安全培训由采购人组织，采购人与中标人共同制定食品安全方面的培训方案。</w:t>
      </w:r>
      <w:r>
        <w:rPr>
          <w:rFonts w:hint="eastAsia" w:ascii="宋体" w:hAnsi="宋体" w:cs="宋体"/>
          <w:b w:val="0"/>
          <w:bCs w:val="0"/>
          <w:color w:val="auto"/>
          <w:sz w:val="24"/>
          <w:szCs w:val="24"/>
          <w:highlight w:val="none"/>
          <w:lang w:val="en-US" w:eastAsia="zh-CN"/>
        </w:rPr>
        <w:t>培训费用由中标人支付。</w:t>
      </w:r>
    </w:p>
    <w:p w14:paraId="6FADC494">
      <w:pPr>
        <w:pStyle w:val="26"/>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（6）服务承诺要求 </w:t>
      </w:r>
    </w:p>
    <w:p w14:paraId="2EE8F15D">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rPr>
        <w:t>售后服务：供应商针对本项目提供供货服务计划、售后服务承诺及应急措施，包括服务电话、即时响应、服务人员1小时内到达现场、售后服务、解决问题时间等服务承诺，并严格落实。</w:t>
      </w:r>
    </w:p>
    <w:p w14:paraId="667BC249">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2</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rPr>
        <w:t>交货要求：由招标人指定地点，中标人负责办理运输和保险，将货物运抵现场。有关运输和保险的一切费用由中标人承担。</w:t>
      </w:r>
    </w:p>
    <w:p w14:paraId="6BB78402">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3.供方交货时，由招标人指定人员验收货物品牌、质量、数量、包装规格等。</w:t>
      </w:r>
    </w:p>
    <w:p w14:paraId="69DA2123">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4.供方需提供货物供货清单、数量、每生产批次检验单及对应的合格证复印件等。</w:t>
      </w:r>
    </w:p>
    <w:p w14:paraId="3AB8B445">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5.货物质量达不到合同要求的或超过协议部分的，招标人或其指定的代理人有权拒收。</w:t>
      </w:r>
    </w:p>
    <w:p w14:paraId="69898B96">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6</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rPr>
        <w:t>中标人应配备专职负责人与采购人保持联系，随时解决各类问题；</w:t>
      </w:r>
      <w:bookmarkStart w:id="51" w:name="八、其他服务"/>
      <w:bookmarkEnd w:id="51"/>
      <w:bookmarkStart w:id="52" w:name="七、优惠服务"/>
      <w:bookmarkEnd w:id="52"/>
    </w:p>
    <w:p w14:paraId="6E853EA7">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7</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rPr>
        <w:t>供应商须对招标文件中提出的服务内容和各项要求做出明确的承诺；</w:t>
      </w:r>
    </w:p>
    <w:p w14:paraId="4FD8626A">
      <w:pPr>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8</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rPr>
        <w:t>服务方案和相关服务承诺应内容明确，范围清楚，内容真实可行，并必须真实可靠，否则一切后果供应商自负。</w:t>
      </w:r>
    </w:p>
    <w:p w14:paraId="1A71158D">
      <w:pPr>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b w:val="0"/>
          <w:bCs w:val="0"/>
          <w:color w:val="auto"/>
          <w:sz w:val="24"/>
          <w:szCs w:val="24"/>
          <w:highlight w:val="none"/>
        </w:rPr>
        <w:t>9.法律、法规另有规定的，从其规定</w:t>
      </w:r>
      <w:r>
        <w:rPr>
          <w:rFonts w:hint="eastAsia" w:ascii="宋体" w:hAnsi="宋体" w:cs="宋体"/>
          <w:b w:val="0"/>
          <w:bCs w:val="0"/>
          <w:color w:val="auto"/>
          <w:sz w:val="24"/>
          <w:szCs w:val="24"/>
          <w:highlight w:val="none"/>
          <w:lang w:eastAsia="zh-CN"/>
        </w:rPr>
        <w:t>。</w:t>
      </w:r>
    </w:p>
    <w:p w14:paraId="2CFC8A13">
      <w:pPr>
        <w:bidi w:val="0"/>
        <w:spacing w:line="360" w:lineRule="auto"/>
        <w:ind w:firstLine="562" w:firstLineChars="200"/>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标段划分：</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47"/>
        <w:gridCol w:w="1943"/>
        <w:gridCol w:w="2449"/>
        <w:gridCol w:w="2275"/>
      </w:tblGrid>
      <w:tr w14:paraId="0AD05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1DFE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sz w:val="24"/>
                <w:szCs w:val="24"/>
                <w:highlight w:val="none"/>
                <w:u w:val="none"/>
              </w:rPr>
              <w:t>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A2B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sz w:val="24"/>
                <w:szCs w:val="24"/>
                <w:highlight w:val="none"/>
                <w:u w:val="none"/>
              </w:rPr>
              <w:t>序号</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EA9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学生人数</w:t>
            </w:r>
          </w:p>
        </w:tc>
        <w:tc>
          <w:tcPr>
            <w:tcW w:w="1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4C1C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乡镇</w:t>
            </w:r>
          </w:p>
        </w:tc>
      </w:tr>
      <w:tr w14:paraId="7C905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restart"/>
            <w:tcBorders>
              <w:top w:val="single" w:color="000000" w:sz="4" w:space="0"/>
              <w:left w:val="single" w:color="000000" w:sz="4" w:space="0"/>
              <w:right w:val="single" w:color="000000" w:sz="4" w:space="0"/>
            </w:tcBorders>
            <w:shd w:val="clear" w:color="auto" w:fill="auto"/>
            <w:noWrap/>
            <w:vAlign w:val="center"/>
          </w:tcPr>
          <w:p w14:paraId="065524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第一标段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F1F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03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4139</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E84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i w:val="0"/>
                <w:iCs w:val="0"/>
                <w:color w:val="auto"/>
                <w:sz w:val="24"/>
                <w:szCs w:val="24"/>
                <w:highlight w:val="none"/>
                <w:u w:val="none"/>
              </w:rPr>
              <w:t>邓城</w:t>
            </w:r>
          </w:p>
        </w:tc>
      </w:tr>
      <w:tr w14:paraId="1A798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2B5A99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A02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760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3245</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43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i w:val="0"/>
                <w:iCs w:val="0"/>
                <w:color w:val="auto"/>
                <w:sz w:val="24"/>
                <w:szCs w:val="24"/>
                <w:highlight w:val="none"/>
                <w:u w:val="none"/>
              </w:rPr>
              <w:t>郝岗</w:t>
            </w:r>
          </w:p>
        </w:tc>
      </w:tr>
      <w:tr w14:paraId="37CC9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54D33E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07B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7D1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4571</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BA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张明</w:t>
            </w:r>
          </w:p>
        </w:tc>
      </w:tr>
      <w:tr w14:paraId="124A3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061FE8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657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4</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5E4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6684</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5F1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谭庄</w:t>
            </w:r>
          </w:p>
        </w:tc>
      </w:tr>
      <w:tr w14:paraId="3580B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bottom w:val="single" w:color="000000" w:sz="4" w:space="0"/>
              <w:right w:val="single" w:color="000000" w:sz="4" w:space="0"/>
            </w:tcBorders>
            <w:shd w:val="clear" w:color="auto" w:fill="auto"/>
            <w:noWrap/>
            <w:vAlign w:val="center"/>
          </w:tcPr>
          <w:p w14:paraId="603F11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DE2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3E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18639</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40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2E63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restart"/>
            <w:tcBorders>
              <w:top w:val="single" w:color="000000" w:sz="4" w:space="0"/>
              <w:left w:val="single" w:color="000000" w:sz="4" w:space="0"/>
              <w:right w:val="single" w:color="000000" w:sz="4" w:space="0"/>
            </w:tcBorders>
            <w:shd w:val="clear" w:color="auto" w:fill="auto"/>
            <w:noWrap/>
            <w:vAlign w:val="center"/>
          </w:tcPr>
          <w:p w14:paraId="67C89B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第</w:t>
            </w:r>
            <w:r>
              <w:rPr>
                <w:rFonts w:hint="eastAsia" w:ascii="宋体" w:hAnsi="宋体" w:cs="宋体"/>
                <w:i w:val="0"/>
                <w:iCs w:val="0"/>
                <w:color w:val="auto"/>
                <w:sz w:val="24"/>
                <w:szCs w:val="24"/>
                <w:highlight w:val="none"/>
                <w:u w:val="none"/>
                <w:lang w:eastAsia="zh-CN"/>
              </w:rPr>
              <w:t>二</w:t>
            </w:r>
            <w:r>
              <w:rPr>
                <w:rFonts w:hint="eastAsia" w:ascii="宋体" w:hAnsi="宋体" w:eastAsia="宋体" w:cs="宋体"/>
                <w:i w:val="0"/>
                <w:iCs w:val="0"/>
                <w:color w:val="auto"/>
                <w:sz w:val="24"/>
                <w:szCs w:val="24"/>
                <w:highlight w:val="none"/>
                <w:u w:val="none"/>
              </w:rPr>
              <w:t>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872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sz w:val="24"/>
                <w:szCs w:val="24"/>
                <w:highlight w:val="none"/>
                <w:u w:val="none"/>
                <w:lang w:val="en-US" w:eastAsia="zh-CN"/>
              </w:rPr>
              <w:t>1</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469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4258</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C1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大武</w:t>
            </w:r>
          </w:p>
        </w:tc>
      </w:tr>
      <w:tr w14:paraId="67CF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6CF5A3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8EB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sz w:val="24"/>
                <w:szCs w:val="24"/>
                <w:highlight w:val="none"/>
                <w:u w:val="none"/>
                <w:lang w:val="en-US" w:eastAsia="zh-CN"/>
              </w:rPr>
              <w:t>2</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AA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3992</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6F4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巴村</w:t>
            </w:r>
          </w:p>
        </w:tc>
      </w:tr>
      <w:tr w14:paraId="1714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368BF9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DFA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sz w:val="24"/>
                <w:szCs w:val="24"/>
                <w:highlight w:val="none"/>
                <w:u w:val="none"/>
                <w:lang w:val="en-US" w:eastAsia="zh-CN"/>
              </w:rPr>
              <w:t>3</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A6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3217</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0D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白寺</w:t>
            </w:r>
          </w:p>
        </w:tc>
      </w:tr>
      <w:tr w14:paraId="5A639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5E1723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0D0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sz w:val="24"/>
                <w:szCs w:val="24"/>
                <w:highlight w:val="none"/>
                <w:u w:val="none"/>
                <w:lang w:val="en-US" w:eastAsia="zh-CN"/>
              </w:rPr>
              <w:t>4</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A56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4978</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AC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姚集</w:t>
            </w:r>
          </w:p>
        </w:tc>
      </w:tr>
      <w:tr w14:paraId="29618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16C6F6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223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5</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A8C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2729</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CC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汤庄</w:t>
            </w:r>
          </w:p>
        </w:tc>
      </w:tr>
      <w:tr w14:paraId="6F82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bottom w:val="single" w:color="000000" w:sz="4" w:space="0"/>
              <w:right w:val="single" w:color="000000" w:sz="4" w:space="0"/>
            </w:tcBorders>
            <w:shd w:val="clear" w:color="auto" w:fill="auto"/>
            <w:noWrap/>
            <w:vAlign w:val="center"/>
          </w:tcPr>
          <w:p w14:paraId="475B8B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22F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CE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19174</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38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67E6F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restart"/>
            <w:tcBorders>
              <w:top w:val="single" w:color="000000" w:sz="4" w:space="0"/>
              <w:left w:val="single" w:color="000000" w:sz="4" w:space="0"/>
              <w:right w:val="single" w:color="000000" w:sz="4" w:space="0"/>
            </w:tcBorders>
            <w:shd w:val="clear" w:color="auto" w:fill="auto"/>
            <w:noWrap/>
            <w:vAlign w:val="center"/>
          </w:tcPr>
          <w:p w14:paraId="45F9E6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第三标段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ECA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A9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4901</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9E4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张庄</w:t>
            </w:r>
          </w:p>
        </w:tc>
      </w:tr>
      <w:tr w14:paraId="4A475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05F23A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1D6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70C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4334</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53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舒庄</w:t>
            </w:r>
          </w:p>
        </w:tc>
      </w:tr>
      <w:tr w14:paraId="62946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0D5669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107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880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1741</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3E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老城</w:t>
            </w:r>
          </w:p>
        </w:tc>
      </w:tr>
      <w:tr w14:paraId="72B2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15B4CC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504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4</w:t>
            </w:r>
          </w:p>
        </w:tc>
        <w:tc>
          <w:tcPr>
            <w:tcW w:w="1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7F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7696</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B82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阳城</w:t>
            </w:r>
          </w:p>
        </w:tc>
      </w:tr>
      <w:tr w14:paraId="0FB9E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bottom w:val="single" w:color="000000" w:sz="4" w:space="0"/>
              <w:right w:val="single" w:color="000000" w:sz="4" w:space="0"/>
            </w:tcBorders>
            <w:shd w:val="clear" w:color="auto" w:fill="auto"/>
            <w:noWrap/>
            <w:vAlign w:val="center"/>
          </w:tcPr>
          <w:p w14:paraId="0D037F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32F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5A1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18672</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36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2845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restart"/>
            <w:tcBorders>
              <w:top w:val="single" w:color="000000" w:sz="4" w:space="0"/>
              <w:left w:val="single" w:color="000000" w:sz="4" w:space="0"/>
              <w:right w:val="single" w:color="000000" w:sz="4" w:space="0"/>
            </w:tcBorders>
            <w:shd w:val="clear" w:color="auto" w:fill="auto"/>
            <w:noWrap/>
            <w:vAlign w:val="center"/>
          </w:tcPr>
          <w:p w14:paraId="73DF36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第四标段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A9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C8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2821</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62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魏集</w:t>
            </w:r>
          </w:p>
        </w:tc>
      </w:tr>
      <w:tr w14:paraId="0C02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21680A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020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B15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1443</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9D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东城</w:t>
            </w:r>
          </w:p>
        </w:tc>
      </w:tr>
      <w:tr w14:paraId="373C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6AB3CA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93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D8F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7796</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83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固墙</w:t>
            </w:r>
          </w:p>
        </w:tc>
      </w:tr>
      <w:tr w14:paraId="1D9AA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37A847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23F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4</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193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2643</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54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胡吉</w:t>
            </w:r>
          </w:p>
        </w:tc>
      </w:tr>
      <w:tr w14:paraId="64AA6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025F09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B21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5</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51B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3675</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27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化河</w:t>
            </w:r>
          </w:p>
        </w:tc>
      </w:tr>
      <w:tr w14:paraId="431AF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bottom w:val="single" w:color="000000" w:sz="4" w:space="0"/>
              <w:right w:val="single" w:color="000000" w:sz="4" w:space="0"/>
            </w:tcBorders>
            <w:shd w:val="clear" w:color="auto" w:fill="auto"/>
            <w:noWrap/>
            <w:vAlign w:val="center"/>
          </w:tcPr>
          <w:p w14:paraId="1DBE5E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444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964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18378</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BC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5AFEA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restart"/>
            <w:tcBorders>
              <w:top w:val="single" w:color="000000" w:sz="4" w:space="0"/>
              <w:left w:val="single" w:color="000000" w:sz="4" w:space="0"/>
              <w:right w:val="single" w:color="000000" w:sz="4" w:space="0"/>
            </w:tcBorders>
            <w:shd w:val="clear" w:color="auto" w:fill="auto"/>
            <w:noWrap/>
            <w:vAlign w:val="center"/>
          </w:tcPr>
          <w:p w14:paraId="65AAF4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第五标段</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5D9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4A3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5430</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6A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黄寨</w:t>
            </w:r>
          </w:p>
        </w:tc>
      </w:tr>
      <w:tr w14:paraId="632A5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06DE5C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65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51B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5287</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D0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平店</w:t>
            </w:r>
          </w:p>
        </w:tc>
      </w:tr>
      <w:tr w14:paraId="15B97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39DA1E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FB2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2BD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4028</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42B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练集</w:t>
            </w:r>
          </w:p>
        </w:tc>
      </w:tr>
      <w:tr w14:paraId="461E6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right w:val="single" w:color="000000" w:sz="4" w:space="0"/>
            </w:tcBorders>
            <w:shd w:val="clear" w:color="auto" w:fill="auto"/>
            <w:noWrap/>
            <w:vAlign w:val="center"/>
          </w:tcPr>
          <w:p w14:paraId="30E19B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036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4</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9E2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3218</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17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袁老</w:t>
            </w:r>
          </w:p>
        </w:tc>
      </w:tr>
      <w:tr w14:paraId="569EF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96" w:type="pct"/>
            <w:vMerge w:val="continue"/>
            <w:tcBorders>
              <w:left w:val="single" w:color="000000" w:sz="4" w:space="0"/>
              <w:bottom w:val="single" w:color="000000" w:sz="4" w:space="0"/>
              <w:right w:val="single" w:color="000000" w:sz="4" w:space="0"/>
            </w:tcBorders>
            <w:shd w:val="clear" w:color="auto" w:fill="auto"/>
            <w:noWrap/>
            <w:vAlign w:val="center"/>
          </w:tcPr>
          <w:p w14:paraId="351765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274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520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17963</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69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5B507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5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B5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合计</w:t>
            </w:r>
          </w:p>
        </w:tc>
        <w:tc>
          <w:tcPr>
            <w:tcW w:w="1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662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92826</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7F23B">
            <w:pPr>
              <w:rPr>
                <w:rFonts w:hint="eastAsia" w:ascii="宋体" w:hAnsi="宋体" w:eastAsia="宋体" w:cs="宋体"/>
                <w:i w:val="0"/>
                <w:iCs w:val="0"/>
                <w:color w:val="auto"/>
                <w:sz w:val="24"/>
                <w:szCs w:val="24"/>
                <w:highlight w:val="none"/>
                <w:u w:val="none"/>
              </w:rPr>
            </w:pPr>
          </w:p>
        </w:tc>
      </w:tr>
    </w:tbl>
    <w:p w14:paraId="03F9D52D">
      <w:pPr>
        <w:bidi w:val="0"/>
        <w:rPr>
          <w:rFonts w:hint="default"/>
          <w:color w:val="auto"/>
          <w:highlight w:val="none"/>
          <w:lang w:val="en-US" w:eastAsia="zh-CN"/>
        </w:rPr>
      </w:pPr>
    </w:p>
    <w:p w14:paraId="01CF41E3">
      <w:pPr>
        <w:bidi w:val="0"/>
        <w:rPr>
          <w:rFonts w:hint="eastAsia" w:ascii="宋体" w:hAnsi="宋体" w:eastAsia="宋体" w:cs="宋体"/>
          <w:color w:val="auto"/>
          <w:highlight w:val="none"/>
        </w:rPr>
      </w:pPr>
    </w:p>
    <w:p w14:paraId="23C8881C">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53" w:name="_Toc2172"/>
      <w:r>
        <w:rPr>
          <w:rFonts w:hint="eastAsia" w:ascii="宋体" w:hAnsi="宋体" w:eastAsia="宋体" w:cs="宋体"/>
          <w:color w:val="auto"/>
          <w:highlight w:val="none"/>
        </w:rPr>
        <w:t>第</w:t>
      </w:r>
      <w:bookmarkStart w:id="54" w:name="_Hlt240110027"/>
      <w:bookmarkEnd w:id="54"/>
      <w:r>
        <w:rPr>
          <w:rFonts w:hint="eastAsia" w:ascii="宋体" w:hAnsi="宋体" w:eastAsia="宋体" w:cs="宋体"/>
          <w:color w:val="auto"/>
          <w:highlight w:val="none"/>
        </w:rPr>
        <w:t>四章 评标办法</w:t>
      </w:r>
      <w:bookmarkEnd w:id="50"/>
      <w:bookmarkEnd w:id="53"/>
    </w:p>
    <w:p w14:paraId="050D94F2">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eastAsia="宋体" w:cs="宋体"/>
          <w:b/>
          <w:color w:val="auto"/>
          <w:sz w:val="24"/>
          <w:highlight w:val="none"/>
        </w:rPr>
      </w:pPr>
      <w:bookmarkStart w:id="55" w:name="_Toc10750_WPSOffice_Level2"/>
      <w:r>
        <w:rPr>
          <w:rFonts w:hint="eastAsia" w:ascii="宋体" w:hAnsi="宋体" w:eastAsia="宋体" w:cs="宋体"/>
          <w:b/>
          <w:color w:val="auto"/>
          <w:sz w:val="24"/>
          <w:highlight w:val="none"/>
        </w:rPr>
        <w:t>一．总  则</w:t>
      </w:r>
      <w:bookmarkEnd w:id="55"/>
    </w:p>
    <w:p w14:paraId="67F783F3">
      <w:pPr>
        <w:adjustRightInd w:val="0"/>
        <w:snapToGrid w:val="0"/>
        <w:spacing w:line="360" w:lineRule="auto"/>
        <w:ind w:right="-10" w:firstLine="422" w:firstLineChars="17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第一条 </w:t>
      </w:r>
      <w:r>
        <w:rPr>
          <w:rFonts w:hint="eastAsia" w:ascii="宋体" w:hAnsi="宋体" w:eastAsia="宋体" w:cs="宋体"/>
          <w:color w:val="auto"/>
          <w:sz w:val="24"/>
          <w:highlight w:val="none"/>
        </w:rPr>
        <w:t>为了做好</w:t>
      </w:r>
      <w:r>
        <w:rPr>
          <w:rFonts w:hint="eastAsia" w:ascii="宋体" w:hAnsi="宋体" w:eastAsia="宋体" w:cs="宋体"/>
          <w:b/>
          <w:bCs/>
          <w:color w:val="auto"/>
          <w:sz w:val="24"/>
          <w:highlight w:val="none"/>
        </w:rPr>
        <w:t>本项目（</w:t>
      </w:r>
      <w:r>
        <w:rPr>
          <w:rFonts w:hint="eastAsia" w:ascii="宋体" w:hAnsi="宋体" w:eastAsia="宋体" w:cs="宋体"/>
          <w:b/>
          <w:color w:val="auto"/>
          <w:sz w:val="24"/>
          <w:highlight w:val="none"/>
        </w:rPr>
        <w:t>项目编号:</w:t>
      </w:r>
      <w:r>
        <w:rPr>
          <w:rFonts w:hint="eastAsia" w:ascii="宋体" w:hAnsi="宋体" w:eastAsia="宋体" w:cs="宋体"/>
          <w:b w:val="0"/>
          <w:bCs/>
          <w:color w:val="auto"/>
          <w:sz w:val="24"/>
          <w:highlight w:val="none"/>
        </w:rPr>
        <w:t>商水财招标采购-2026-11</w:t>
      </w:r>
      <w:r>
        <w:rPr>
          <w:rFonts w:hint="eastAsia" w:ascii="宋体" w:hAnsi="宋体" w:cs="宋体"/>
          <w:b w:val="0"/>
          <w:bCs/>
          <w:color w:val="auto"/>
          <w:sz w:val="24"/>
          <w:highlight w:val="none"/>
          <w:lang w:val="en-US" w:eastAsia="zh-CN"/>
        </w:rPr>
        <w:t xml:space="preserve"> </w:t>
      </w:r>
      <w:r>
        <w:rPr>
          <w:rFonts w:hint="eastAsia" w:ascii="宋体" w:hAnsi="宋体" w:eastAsia="宋体" w:cs="宋体"/>
          <w:b/>
          <w:bCs w:val="0"/>
          <w:color w:val="auto"/>
          <w:sz w:val="24"/>
          <w:highlight w:val="none"/>
        </w:rPr>
        <w:t>）</w:t>
      </w:r>
      <w:r>
        <w:rPr>
          <w:rFonts w:hint="eastAsia" w:ascii="宋体" w:hAnsi="宋体" w:eastAsia="宋体" w:cs="宋体"/>
          <w:color w:val="auto"/>
          <w:sz w:val="24"/>
          <w:highlight w:val="none"/>
        </w:rPr>
        <w:t>的招标评标工作，保证项目评审工作的正常有序进行，维护采购人、</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的合法权益，依据《中华人民共和国政府采购法》及其它相关法律法规，本着公开、公平、公正的原则，制定评标办法。</w:t>
      </w:r>
    </w:p>
    <w:p w14:paraId="5CF78F3E">
      <w:pPr>
        <w:adjustRightInd w:val="0"/>
        <w:snapToGrid w:val="0"/>
        <w:spacing w:line="360" w:lineRule="auto"/>
        <w:ind w:right="-10" w:firstLine="422" w:firstLineChars="17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第二条 </w:t>
      </w:r>
      <w:r>
        <w:rPr>
          <w:rFonts w:hint="eastAsia" w:ascii="宋体" w:hAnsi="宋体" w:eastAsia="宋体" w:cs="宋体"/>
          <w:color w:val="auto"/>
          <w:sz w:val="24"/>
          <w:highlight w:val="none"/>
        </w:rPr>
        <w:t>本次项目评标采用</w:t>
      </w:r>
      <w:r>
        <w:rPr>
          <w:rFonts w:hint="eastAsia" w:ascii="宋体" w:hAnsi="宋体" w:eastAsia="宋体" w:cs="宋体"/>
          <w:b/>
          <w:color w:val="auto"/>
          <w:sz w:val="24"/>
          <w:highlight w:val="none"/>
        </w:rPr>
        <w:t>综合评分法</w:t>
      </w:r>
      <w:r>
        <w:rPr>
          <w:rFonts w:hint="eastAsia" w:ascii="宋体" w:hAnsi="宋体" w:eastAsia="宋体" w:cs="宋体"/>
          <w:color w:val="auto"/>
          <w:sz w:val="24"/>
          <w:highlight w:val="none"/>
        </w:rPr>
        <w:t>作为对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标书的比较方法。</w:t>
      </w:r>
    </w:p>
    <w:p w14:paraId="503F3A39">
      <w:pPr>
        <w:adjustRightInd w:val="0"/>
        <w:snapToGrid w:val="0"/>
        <w:spacing w:line="360" w:lineRule="auto"/>
        <w:ind w:left="-61" w:leftChars="-29"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第三条 </w:t>
      </w:r>
      <w:r>
        <w:rPr>
          <w:rFonts w:hint="eastAsia" w:ascii="宋体" w:hAnsi="宋体" w:eastAsia="宋体" w:cs="宋体"/>
          <w:color w:val="auto"/>
          <w:sz w:val="24"/>
          <w:highlight w:val="none"/>
        </w:rPr>
        <w:t>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53A3FA53">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第四条 </w:t>
      </w:r>
      <w:r>
        <w:rPr>
          <w:rFonts w:hint="eastAsia" w:ascii="宋体" w:hAnsi="宋体" w:eastAsia="宋体" w:cs="宋体"/>
          <w:color w:val="auto"/>
          <w:sz w:val="24"/>
          <w:highlight w:val="none"/>
        </w:rPr>
        <w:t>评委会按照“客观公正，实事求是”的原则，评价参加本次招标的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所提供的产品价格、性能、质量、服务及对招标文件的符合性及响应性。</w:t>
      </w:r>
    </w:p>
    <w:p w14:paraId="4B8AEA64">
      <w:pPr>
        <w:adjustRightInd w:val="0"/>
        <w:snapToGrid w:val="0"/>
        <w:spacing w:line="360" w:lineRule="auto"/>
        <w:jc w:val="center"/>
        <w:rPr>
          <w:rFonts w:hint="eastAsia" w:ascii="宋体" w:hAnsi="宋体" w:eastAsia="宋体" w:cs="宋体"/>
          <w:color w:val="auto"/>
          <w:sz w:val="24"/>
          <w:highlight w:val="none"/>
        </w:rPr>
      </w:pPr>
      <w:bookmarkStart w:id="56" w:name="_Toc31922_WPSOffice_Level2"/>
      <w:r>
        <w:rPr>
          <w:rFonts w:hint="eastAsia" w:ascii="宋体" w:hAnsi="宋体" w:eastAsia="宋体" w:cs="宋体"/>
          <w:b/>
          <w:color w:val="auto"/>
          <w:sz w:val="24"/>
          <w:highlight w:val="none"/>
        </w:rPr>
        <w:t>二．评标程序及评审细则</w:t>
      </w:r>
      <w:bookmarkEnd w:id="56"/>
    </w:p>
    <w:p w14:paraId="729FF417">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bCs/>
          <w:color w:val="auto"/>
          <w:sz w:val="24"/>
          <w:highlight w:val="none"/>
        </w:rPr>
        <w:t xml:space="preserve"> 评标工作于开标后进行。评委会应认真研究招标文件，至少应了解和熟悉以下内容：</w:t>
      </w:r>
    </w:p>
    <w:p w14:paraId="06EC806D">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（一）招标的目标；</w:t>
      </w:r>
    </w:p>
    <w:p w14:paraId="1A56A023">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（二）招标项目的范围和性质；</w:t>
      </w:r>
    </w:p>
    <w:p w14:paraId="6EDC885B">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（三）招标文件中规定的主要技术要求、标准和商务条款；</w:t>
      </w:r>
    </w:p>
    <w:p w14:paraId="633E7518">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（四）招标文件规定的评标标准、评标方法和在评标过程中考虑的相关因素。</w:t>
      </w:r>
    </w:p>
    <w:p w14:paraId="4FE0D0ED">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bCs/>
          <w:color w:val="auto"/>
          <w:sz w:val="24"/>
          <w:highlight w:val="none"/>
        </w:rPr>
        <w:t xml:space="preserve"> 有效投标应符合以下原则：</w:t>
      </w:r>
    </w:p>
    <w:p w14:paraId="7DB58A19">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（一）满足招标文件的实质性要求；</w:t>
      </w:r>
    </w:p>
    <w:p w14:paraId="3CC78B0B">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（二）无重大偏离、保留或采购人不能接受的附加条件；</w:t>
      </w:r>
    </w:p>
    <w:p w14:paraId="6476ABC5">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（三）通过投标符合性审查；</w:t>
      </w:r>
    </w:p>
    <w:p w14:paraId="5646B1FC">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（四）评委会依据招标文件认定的其他原则；</w:t>
      </w:r>
    </w:p>
    <w:p w14:paraId="6F59CB59">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（五）商务偏差表或技术偏差表数据不存在弄虚作假现象；</w:t>
      </w:r>
    </w:p>
    <w:p w14:paraId="023DBFD3">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报价未超过采购人的采购预算；</w:t>
      </w:r>
    </w:p>
    <w:p w14:paraId="6217AB3F">
      <w:pPr>
        <w:adjustRightInd w:val="0"/>
        <w:snapToGrid w:val="0"/>
        <w:spacing w:line="360" w:lineRule="auto"/>
        <w:ind w:right="-10" w:firstLine="482" w:firstLineChars="200"/>
        <w:rPr>
          <w:rFonts w:hint="eastAsia" w:ascii="宋体" w:hAnsi="宋体" w:eastAsia="宋体" w:cs="宋体"/>
          <w:bCs/>
          <w:color w:val="auto"/>
          <w:sz w:val="24"/>
          <w:szCs w:val="22"/>
          <w:highlight w:val="none"/>
        </w:rPr>
      </w:pPr>
      <w:r>
        <w:rPr>
          <w:rFonts w:hint="eastAsia" w:ascii="宋体" w:hAnsi="宋体" w:eastAsia="宋体" w:cs="宋体"/>
          <w:b/>
          <w:color w:val="auto"/>
          <w:sz w:val="24"/>
          <w:highlight w:val="none"/>
        </w:rPr>
        <w:t xml:space="preserve">第七条 </w:t>
      </w:r>
      <w:r>
        <w:rPr>
          <w:rFonts w:hint="eastAsia" w:ascii="宋体" w:hAnsi="宋体" w:eastAsia="宋体" w:cs="宋体"/>
          <w:color w:val="auto"/>
          <w:sz w:val="24"/>
          <w:highlight w:val="none"/>
        </w:rPr>
        <w:t>评委会从每个</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的投标文件开始独立评审，对开标后</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所提出的优惠条件不予以考虑。按</w:t>
      </w:r>
      <w:r>
        <w:rPr>
          <w:rFonts w:hint="eastAsia" w:ascii="宋体" w:hAnsi="宋体" w:eastAsia="宋体" w:cs="宋体"/>
          <w:bCs/>
          <w:color w:val="auto"/>
          <w:sz w:val="24"/>
          <w:szCs w:val="22"/>
          <w:highlight w:val="none"/>
        </w:rPr>
        <w:t>综合得分从高到低的顺序评出中标候选人。</w:t>
      </w:r>
    </w:p>
    <w:p w14:paraId="5568C12B">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第八条 </w:t>
      </w:r>
      <w:r>
        <w:rPr>
          <w:rFonts w:hint="eastAsia" w:ascii="宋体" w:hAnsi="宋体" w:eastAsia="宋体" w:cs="宋体"/>
          <w:color w:val="auto"/>
          <w:sz w:val="24"/>
          <w:highlight w:val="none"/>
        </w:rPr>
        <w:t>评审中，评委会发现</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的投标文件中对同类问题表述不一致、前后矛盾、有明显文字和计算错误的内容、有可能不符合招标文件规定等情况需要澄清时，评委会将以询标的方式告知并要求</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以书面方式进行必要的澄清、说明或补正。对于询标后判定为不符合招标文件的投标文件，评委要提出充足的否定理由。</w:t>
      </w:r>
    </w:p>
    <w:p w14:paraId="05F07883">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第九条</w:t>
      </w:r>
      <w:r>
        <w:rPr>
          <w:rFonts w:hint="eastAsia" w:ascii="宋体" w:hAnsi="宋体" w:eastAsia="宋体" w:cs="宋体"/>
          <w:color w:val="auto"/>
          <w:sz w:val="24"/>
          <w:highlight w:val="none"/>
        </w:rPr>
        <w:t xml:space="preserve"> 评委会首先对各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进行符合性审查，通过符合性审查的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为有效</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，有效</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进入综合评分环节，按招标文件约定由评委会推荐中标候选人；没有通过符合性审查的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为无效投标。</w:t>
      </w:r>
    </w:p>
    <w:p w14:paraId="564501A5">
      <w:pPr>
        <w:rPr>
          <w:rFonts w:hint="eastAsia" w:ascii="宋体" w:hAnsi="宋体" w:eastAsia="宋体" w:cs="宋体"/>
          <w:color w:val="auto"/>
          <w:sz w:val="24"/>
          <w:highlight w:val="none"/>
        </w:rPr>
      </w:pPr>
    </w:p>
    <w:p w14:paraId="4BC85E67">
      <w:pPr>
        <w:pStyle w:val="16"/>
        <w:ind w:firstLine="480" w:firstLineChars="200"/>
        <w:rPr>
          <w:rFonts w:hint="eastAsia" w:ascii="宋体" w:hAnsi="宋体" w:eastAsia="宋体" w:cs="宋体"/>
          <w:color w:val="auto"/>
          <w:sz w:val="24"/>
          <w:szCs w:val="20"/>
          <w:highlight w:val="none"/>
        </w:rPr>
      </w:pPr>
    </w:p>
    <w:p w14:paraId="044955AA">
      <w:pPr>
        <w:pStyle w:val="16"/>
        <w:rPr>
          <w:rFonts w:hint="eastAsia" w:ascii="宋体" w:hAnsi="宋体" w:eastAsia="宋体" w:cs="宋体"/>
          <w:color w:val="auto"/>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95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1B6C5A9F">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highlight w:val="none"/>
                <w:lang w:val="en-US" w:eastAsia="zh-CN"/>
              </w:rPr>
            </w:pPr>
            <w:r>
              <w:rPr>
                <w:rFonts w:hint="eastAsia" w:ascii="宋体" w:hAnsi="宋体" w:eastAsia="宋体" w:cs="宋体"/>
                <w:b/>
                <w:color w:val="auto"/>
                <w:kern w:val="2"/>
                <w:highlight w:val="none"/>
                <w:lang w:val="en-US" w:eastAsia="zh-CN"/>
              </w:rPr>
              <w:t>项目符合性审查表</w:t>
            </w:r>
          </w:p>
        </w:tc>
      </w:tr>
      <w:tr w14:paraId="15F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F12D2F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005" w:type="dxa"/>
            <w:tcBorders>
              <w:bottom w:val="single" w:color="auto" w:sz="4" w:space="0"/>
            </w:tcBorders>
            <w:noWrap w:val="0"/>
            <w:vAlign w:val="center"/>
          </w:tcPr>
          <w:p w14:paraId="73525BD8">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lang w:val="en-US" w:eastAsia="zh-CN"/>
              </w:rPr>
              <w:t>指标名称</w:t>
            </w:r>
          </w:p>
        </w:tc>
        <w:tc>
          <w:tcPr>
            <w:tcW w:w="2353" w:type="dxa"/>
            <w:tcBorders>
              <w:bottom w:val="single" w:color="auto" w:sz="4" w:space="0"/>
            </w:tcBorders>
            <w:noWrap w:val="0"/>
            <w:vAlign w:val="center"/>
          </w:tcPr>
          <w:p w14:paraId="77BD34E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725" w:type="dxa"/>
            <w:tcBorders>
              <w:bottom w:val="single" w:color="auto" w:sz="4" w:space="0"/>
            </w:tcBorders>
            <w:noWrap w:val="0"/>
            <w:vAlign w:val="center"/>
          </w:tcPr>
          <w:p w14:paraId="0792F737">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32B44B4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569" w:type="dxa"/>
            <w:tcBorders>
              <w:bottom w:val="single" w:color="auto" w:sz="4" w:space="0"/>
            </w:tcBorders>
            <w:noWrap w:val="0"/>
            <w:vAlign w:val="center"/>
          </w:tcPr>
          <w:p w14:paraId="1DAEF61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33E5EBD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40CA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7D8422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005" w:type="dxa"/>
            <w:noWrap w:val="0"/>
            <w:vAlign w:val="center"/>
          </w:tcPr>
          <w:p w14:paraId="3BC2FE68">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cs="宋体"/>
                <w:color w:val="auto"/>
                <w:sz w:val="24"/>
                <w:szCs w:val="28"/>
                <w:highlight w:val="none"/>
                <w:lang w:eastAsia="zh-CN"/>
              </w:rPr>
              <w:t>供应商</w:t>
            </w:r>
            <w:r>
              <w:rPr>
                <w:rFonts w:hint="eastAsia" w:ascii="宋体" w:hAnsi="宋体" w:eastAsia="宋体" w:cs="宋体"/>
                <w:color w:val="auto"/>
                <w:sz w:val="24"/>
                <w:szCs w:val="28"/>
                <w:highlight w:val="none"/>
              </w:rPr>
              <w:t>资格</w:t>
            </w:r>
          </w:p>
        </w:tc>
        <w:tc>
          <w:tcPr>
            <w:tcW w:w="2353" w:type="dxa"/>
            <w:noWrap w:val="0"/>
            <w:vAlign w:val="center"/>
          </w:tcPr>
          <w:p w14:paraId="4995539B">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10B0BF1E">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73AC18B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571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584E04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005" w:type="dxa"/>
            <w:noWrap w:val="0"/>
            <w:vAlign w:val="center"/>
          </w:tcPr>
          <w:p w14:paraId="2BF40CAC">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技术要求</w:t>
            </w:r>
          </w:p>
        </w:tc>
        <w:tc>
          <w:tcPr>
            <w:tcW w:w="2353" w:type="dxa"/>
            <w:noWrap w:val="0"/>
            <w:vAlign w:val="center"/>
          </w:tcPr>
          <w:p w14:paraId="51B820CA">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725" w:type="dxa"/>
            <w:noWrap w:val="0"/>
            <w:vAlign w:val="center"/>
          </w:tcPr>
          <w:p w14:paraId="46546327">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6E9C9D5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F93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D60D99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005" w:type="dxa"/>
            <w:noWrap w:val="0"/>
            <w:vAlign w:val="center"/>
          </w:tcPr>
          <w:p w14:paraId="17A1524B">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质保及售后等</w:t>
            </w:r>
          </w:p>
        </w:tc>
        <w:tc>
          <w:tcPr>
            <w:tcW w:w="2353" w:type="dxa"/>
            <w:noWrap w:val="0"/>
            <w:vAlign w:val="center"/>
          </w:tcPr>
          <w:p w14:paraId="611988B0">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137F73D8">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255D825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bl>
    <w:p w14:paraId="759A679C">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评分标准（满分为100分）</w:t>
      </w:r>
      <w:r>
        <w:rPr>
          <w:rFonts w:hint="eastAsia" w:ascii="宋体" w:hAnsi="宋体" w:eastAsia="宋体" w:cs="宋体"/>
          <w:color w:val="auto"/>
          <w:sz w:val="24"/>
          <w:highlight w:val="none"/>
        </w:rPr>
        <w:t>说明:</w:t>
      </w:r>
      <w:r>
        <w:rPr>
          <w:rFonts w:hint="eastAsia" w:ascii="宋体" w:hAnsi="宋体" w:eastAsia="宋体" w:cs="宋体"/>
          <w:color w:val="auto"/>
          <w:sz w:val="24"/>
          <w:szCs w:val="24"/>
          <w:highlight w:val="none"/>
        </w:rPr>
        <w:t>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的最终得分为各评委得分的算术平均值；评分分值计算保留小数点后两位，小数点后第三位“四舍五入”。</w:t>
      </w:r>
    </w:p>
    <w:p w14:paraId="5154D546">
      <w:pPr>
        <w:pStyle w:val="19"/>
        <w:spacing w:before="0" w:beforeAutospacing="0" w:after="0" w:afterAutospacing="0"/>
        <w:contextualSpacing/>
        <w:jc w:val="center"/>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评标办法</w:t>
      </w:r>
    </w:p>
    <w:p w14:paraId="73DE366F">
      <w:pPr>
        <w:pStyle w:val="19"/>
        <w:spacing w:before="0" w:beforeAutospacing="0" w:after="0" w:afterAutospacing="0"/>
        <w:contextualSpacing/>
        <w:jc w:val="center"/>
        <w:rPr>
          <w:rFonts w:hint="eastAsia" w:ascii="宋体" w:hAnsi="宋体" w:eastAsia="宋体" w:cs="宋体"/>
          <w:color w:val="auto"/>
          <w:sz w:val="32"/>
          <w:szCs w:val="32"/>
          <w:highlight w:val="none"/>
        </w:rPr>
      </w:pPr>
    </w:p>
    <w:bookmarkEnd w:id="49"/>
    <w:tbl>
      <w:tblPr>
        <w:tblStyle w:val="23"/>
        <w:tblW w:w="1017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91"/>
        <w:gridCol w:w="1670"/>
        <w:gridCol w:w="7217"/>
      </w:tblGrid>
      <w:tr w14:paraId="6B8FF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01" w:hRule="atLeast"/>
          <w:jc w:val="center"/>
        </w:trPr>
        <w:tc>
          <w:tcPr>
            <w:tcW w:w="1291" w:type="dxa"/>
            <w:tcBorders>
              <w:top w:val="single" w:color="000000" w:sz="12" w:space="0"/>
            </w:tcBorders>
            <w:noWrap w:val="0"/>
            <w:vAlign w:val="center"/>
          </w:tcPr>
          <w:p w14:paraId="5EE0B8FD">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投标报价（0分）</w:t>
            </w:r>
          </w:p>
        </w:tc>
        <w:tc>
          <w:tcPr>
            <w:tcW w:w="1670" w:type="dxa"/>
            <w:tcBorders>
              <w:top w:val="single" w:color="000000" w:sz="12" w:space="0"/>
            </w:tcBorders>
            <w:noWrap w:val="0"/>
            <w:vAlign w:val="center"/>
          </w:tcPr>
          <w:p w14:paraId="05026E3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（0分）</w:t>
            </w:r>
          </w:p>
        </w:tc>
        <w:tc>
          <w:tcPr>
            <w:tcW w:w="7217" w:type="dxa"/>
            <w:tcBorders>
              <w:top w:val="single" w:color="000000" w:sz="12" w:space="0"/>
            </w:tcBorders>
            <w:noWrap w:val="0"/>
            <w:vAlign w:val="center"/>
          </w:tcPr>
          <w:p w14:paraId="4BBD7810">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【河南省学生营养办〔2018〕6号】及财政部、教育部关于深入实施农村义务教育学生营养改善计划的通知》（财教（2021）174 号）的精神及中华人民共和国财政部第87号令--第55条规定“执行国家统一定价标准和采用固定价格采购的项目，其价格不列为评审因素。”</w:t>
            </w:r>
          </w:p>
        </w:tc>
      </w:tr>
      <w:tr w14:paraId="14B3CE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68" w:hRule="atLeast"/>
          <w:jc w:val="center"/>
        </w:trPr>
        <w:tc>
          <w:tcPr>
            <w:tcW w:w="1291" w:type="dxa"/>
            <w:vMerge w:val="restart"/>
            <w:noWrap w:val="0"/>
            <w:vAlign w:val="center"/>
          </w:tcPr>
          <w:p w14:paraId="47AFA204">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75</w:t>
            </w:r>
            <w:r>
              <w:rPr>
                <w:rFonts w:hint="eastAsia" w:ascii="宋体" w:hAnsi="宋体" w:cs="宋体"/>
                <w:color w:val="auto"/>
                <w:sz w:val="24"/>
                <w:highlight w:val="none"/>
              </w:rPr>
              <w:t>分）</w:t>
            </w:r>
          </w:p>
        </w:tc>
        <w:tc>
          <w:tcPr>
            <w:tcW w:w="1670" w:type="dxa"/>
            <w:noWrap w:val="0"/>
            <w:vAlign w:val="center"/>
          </w:tcPr>
          <w:p w14:paraId="643C7490">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食材质量及检测（30分）</w:t>
            </w:r>
          </w:p>
        </w:tc>
        <w:tc>
          <w:tcPr>
            <w:tcW w:w="7217" w:type="dxa"/>
            <w:noWrap w:val="0"/>
            <w:vAlign w:val="center"/>
          </w:tcPr>
          <w:p w14:paraId="729526D2">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1、投标人所投大米、面粉（小麦粉）、肉类（猪肉、鸡肉）、蔬菜、食用油、鸡蛋和任一种调味品等7种食材全部满足招标文件中所有质量标准要求的，得本项满分14分；每有一项不满足的扣2分，扣完为止。</w:t>
            </w:r>
          </w:p>
          <w:p w14:paraId="75E2CF0A">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2、投标人提供大米、面粉（小麦粉）、肉类（猪肉、鸡肉）、食用油、鸡蛋和任一种调味品等6种食材</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提供出厂检验、监督检验或形式检验（</w:t>
            </w:r>
            <w:r>
              <w:rPr>
                <w:rFonts w:hint="eastAsia" w:ascii="宋体" w:hAnsi="宋体" w:cs="宋体"/>
                <w:color w:val="auto"/>
                <w:sz w:val="24"/>
                <w:highlight w:val="none"/>
              </w:rPr>
              <w:t>第三方质量检测机构</w:t>
            </w:r>
            <w:r>
              <w:rPr>
                <w:rFonts w:hint="eastAsia" w:ascii="宋体" w:hAnsi="宋体" w:cs="宋体"/>
                <w:color w:val="auto"/>
                <w:sz w:val="24"/>
                <w:highlight w:val="none"/>
                <w:lang w:eastAsia="zh-CN"/>
              </w:rPr>
              <w:t>）</w:t>
            </w:r>
            <w:r>
              <w:rPr>
                <w:rFonts w:hint="eastAsia" w:ascii="宋体" w:hAnsi="宋体" w:cs="宋体"/>
                <w:color w:val="auto"/>
                <w:sz w:val="24"/>
                <w:highlight w:val="none"/>
              </w:rPr>
              <w:t>有效期内质量检测合格报告的，每有一项得2分，最多得12分。（合同签订时提供质量检测报告原件，无原件的取消中标资格）</w:t>
            </w:r>
          </w:p>
          <w:p w14:paraId="29CFD32B">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3、投标人提供大米、面粉（小麦粉）、肉类（猪肉、鸡肉）、蔬菜（常用蔬菜不少于5种）、</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食用油、鸡蛋和任一种调味品等7种食材的生产及检测标准、方法（包括自检和外检）</w:t>
            </w:r>
            <w:r>
              <w:rPr>
                <w:rFonts w:hint="eastAsia" w:ascii="宋体" w:hAnsi="宋体" w:cs="宋体"/>
                <w:color w:val="auto"/>
                <w:sz w:val="24"/>
                <w:highlight w:val="none"/>
                <w:lang w:eastAsia="zh-CN"/>
              </w:rPr>
              <w:t>，</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tc>
      </w:tr>
      <w:tr w14:paraId="14A8AC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97" w:hRule="atLeast"/>
          <w:jc w:val="center"/>
        </w:trPr>
        <w:tc>
          <w:tcPr>
            <w:tcW w:w="1291" w:type="dxa"/>
            <w:vMerge w:val="continue"/>
            <w:noWrap w:val="0"/>
            <w:vAlign w:val="center"/>
          </w:tcPr>
          <w:p w14:paraId="0EE45CB9">
            <w:pPr>
              <w:adjustRightInd w:val="0"/>
              <w:snapToGrid w:val="0"/>
              <w:spacing w:line="360" w:lineRule="auto"/>
              <w:ind w:right="-10"/>
              <w:jc w:val="left"/>
              <w:rPr>
                <w:rFonts w:hint="eastAsia" w:ascii="宋体" w:hAnsi="宋体" w:cs="宋体"/>
                <w:color w:val="auto"/>
                <w:sz w:val="24"/>
                <w:highlight w:val="none"/>
              </w:rPr>
            </w:pPr>
          </w:p>
        </w:tc>
        <w:tc>
          <w:tcPr>
            <w:tcW w:w="1670" w:type="dxa"/>
            <w:noWrap w:val="0"/>
            <w:vAlign w:val="center"/>
          </w:tcPr>
          <w:p w14:paraId="36680677">
            <w:pPr>
              <w:adjustRightInd w:val="0"/>
              <w:snapToGrid w:val="0"/>
              <w:spacing w:line="360" w:lineRule="auto"/>
              <w:ind w:right="-1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实施计划书</w:t>
            </w:r>
          </w:p>
          <w:p w14:paraId="26F65792">
            <w:pPr>
              <w:pStyle w:val="26"/>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（5分）</w:t>
            </w:r>
          </w:p>
        </w:tc>
        <w:tc>
          <w:tcPr>
            <w:tcW w:w="7217" w:type="dxa"/>
            <w:noWrap w:val="0"/>
            <w:vAlign w:val="center"/>
          </w:tcPr>
          <w:p w14:paraId="7F2B9A67">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投标人提供实施计划书，</w:t>
            </w:r>
            <w:bookmarkStart w:id="57" w:name="_Toc520409741"/>
            <w:bookmarkStart w:id="58" w:name="_Toc522831746"/>
            <w:bookmarkStart w:id="59" w:name="_Toc6412197"/>
            <w:r>
              <w:rPr>
                <w:rFonts w:hint="eastAsia" w:ascii="宋体" w:hAnsi="宋体" w:cs="宋体"/>
                <w:color w:val="auto"/>
                <w:sz w:val="24"/>
                <w:highlight w:val="none"/>
              </w:rPr>
              <w:t>包含项目管理措施</w:t>
            </w:r>
            <w:bookmarkEnd w:id="57"/>
            <w:bookmarkEnd w:id="58"/>
            <w:bookmarkEnd w:id="59"/>
            <w:r>
              <w:rPr>
                <w:rFonts w:hint="eastAsia" w:ascii="宋体" w:hAnsi="宋体" w:cs="宋体"/>
                <w:color w:val="auto"/>
                <w:sz w:val="24"/>
                <w:highlight w:val="none"/>
              </w:rPr>
              <w:t>，</w:t>
            </w:r>
            <w:bookmarkStart w:id="60" w:name="_Toc520409742"/>
            <w:bookmarkStart w:id="61" w:name="_Toc522831747"/>
            <w:bookmarkStart w:id="62" w:name="_Toc6412198"/>
            <w:bookmarkStart w:id="63" w:name="_Toc28539927"/>
            <w:bookmarkStart w:id="64" w:name="_Toc68944185"/>
            <w:r>
              <w:rPr>
                <w:rFonts w:hint="eastAsia" w:ascii="宋体" w:hAnsi="宋体" w:cs="宋体"/>
                <w:color w:val="auto"/>
                <w:sz w:val="24"/>
                <w:highlight w:val="none"/>
              </w:rPr>
              <w:t>项目实施组织架构配置</w:t>
            </w:r>
            <w:bookmarkEnd w:id="60"/>
            <w:bookmarkEnd w:id="61"/>
            <w:bookmarkEnd w:id="62"/>
            <w:bookmarkEnd w:id="63"/>
            <w:bookmarkEnd w:id="64"/>
            <w:r>
              <w:rPr>
                <w:rFonts w:hint="eastAsia" w:ascii="宋体" w:hAnsi="宋体" w:cs="宋体"/>
                <w:color w:val="auto"/>
                <w:sz w:val="24"/>
                <w:highlight w:val="none"/>
              </w:rPr>
              <w:t>，项目领导小组，针对学校的实施负责人，项目执行，项目检查，项目控制，项目协调等内容</w:t>
            </w:r>
            <w:r>
              <w:rPr>
                <w:rFonts w:hint="eastAsia" w:ascii="宋体" w:hAnsi="宋体" w:cs="宋体"/>
                <w:color w:val="auto"/>
                <w:sz w:val="24"/>
                <w:highlight w:val="none"/>
                <w:lang w:eastAsia="zh-CN"/>
              </w:rPr>
              <w:t>，</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tc>
      </w:tr>
      <w:tr w14:paraId="04053D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97" w:hRule="atLeast"/>
          <w:jc w:val="center"/>
        </w:trPr>
        <w:tc>
          <w:tcPr>
            <w:tcW w:w="1291" w:type="dxa"/>
            <w:vMerge w:val="continue"/>
            <w:noWrap w:val="0"/>
            <w:vAlign w:val="center"/>
          </w:tcPr>
          <w:p w14:paraId="7C053936">
            <w:pPr>
              <w:adjustRightInd w:val="0"/>
              <w:snapToGrid w:val="0"/>
              <w:spacing w:line="360" w:lineRule="auto"/>
              <w:ind w:right="-10"/>
              <w:jc w:val="left"/>
              <w:rPr>
                <w:rFonts w:hint="eastAsia" w:ascii="宋体" w:hAnsi="宋体" w:cs="宋体"/>
                <w:color w:val="auto"/>
                <w:sz w:val="24"/>
                <w:highlight w:val="none"/>
              </w:rPr>
            </w:pPr>
          </w:p>
        </w:tc>
        <w:tc>
          <w:tcPr>
            <w:tcW w:w="1670" w:type="dxa"/>
            <w:noWrap w:val="0"/>
            <w:vAlign w:val="center"/>
          </w:tcPr>
          <w:p w14:paraId="57FBD76A">
            <w:pPr>
              <w:adjustRightInd w:val="0"/>
              <w:snapToGrid w:val="0"/>
              <w:spacing w:line="360" w:lineRule="auto"/>
              <w:ind w:right="-10"/>
              <w:jc w:val="left"/>
              <w:rPr>
                <w:rFonts w:hint="eastAsia"/>
                <w:color w:val="auto"/>
                <w:sz w:val="24"/>
                <w:szCs w:val="22"/>
                <w:highlight w:val="none"/>
              </w:rPr>
            </w:pPr>
            <w:r>
              <w:rPr>
                <w:rFonts w:hint="eastAsia"/>
                <w:color w:val="auto"/>
                <w:sz w:val="24"/>
                <w:szCs w:val="22"/>
                <w:highlight w:val="none"/>
              </w:rPr>
              <w:t>食材储存方案</w:t>
            </w:r>
          </w:p>
          <w:p w14:paraId="13549147">
            <w:pPr>
              <w:pStyle w:val="26"/>
              <w:jc w:val="center"/>
              <w:rPr>
                <w:rFonts w:hint="eastAsia"/>
                <w:color w:val="auto"/>
                <w:highlight w:val="none"/>
              </w:rPr>
            </w:pPr>
            <w:r>
              <w:rPr>
                <w:rFonts w:hint="eastAsia" w:ascii="宋体" w:hAnsi="宋体" w:cs="宋体"/>
                <w:color w:val="auto"/>
                <w:sz w:val="24"/>
                <w:szCs w:val="24"/>
                <w:highlight w:val="none"/>
              </w:rPr>
              <w:t>（5分）</w:t>
            </w:r>
          </w:p>
        </w:tc>
        <w:tc>
          <w:tcPr>
            <w:tcW w:w="7217" w:type="dxa"/>
            <w:noWrap w:val="0"/>
            <w:vAlign w:val="center"/>
          </w:tcPr>
          <w:p w14:paraId="5B8B1A9A">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投标人提供食材储存方案，具有与制作供给的餐食品种、数量相适应的食品原料处理、贮存的场所和设施方案、餐厨垃圾处理方案、提供建立从业人员健康管理制度、食品安全自查制度、食品进货查验记录制度，本项满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tc>
      </w:tr>
      <w:tr w14:paraId="3648C7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1" w:hRule="atLeast"/>
          <w:jc w:val="center"/>
        </w:trPr>
        <w:tc>
          <w:tcPr>
            <w:tcW w:w="1291" w:type="dxa"/>
            <w:vMerge w:val="continue"/>
            <w:noWrap w:val="0"/>
            <w:vAlign w:val="center"/>
          </w:tcPr>
          <w:p w14:paraId="6956A0E3">
            <w:pPr>
              <w:adjustRightInd w:val="0"/>
              <w:snapToGrid w:val="0"/>
              <w:spacing w:line="360" w:lineRule="auto"/>
              <w:ind w:right="-10"/>
              <w:jc w:val="left"/>
              <w:rPr>
                <w:rFonts w:hint="eastAsia" w:ascii="宋体" w:hAnsi="宋体" w:cs="宋体"/>
                <w:color w:val="auto"/>
                <w:sz w:val="24"/>
                <w:highlight w:val="none"/>
              </w:rPr>
            </w:pPr>
          </w:p>
        </w:tc>
        <w:tc>
          <w:tcPr>
            <w:tcW w:w="1670" w:type="dxa"/>
            <w:tcBorders>
              <w:top w:val="single" w:color="auto" w:sz="4" w:space="0"/>
            </w:tcBorders>
            <w:noWrap w:val="0"/>
            <w:vAlign w:val="center"/>
          </w:tcPr>
          <w:p w14:paraId="4CFD0A3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配送管理</w:t>
            </w:r>
          </w:p>
          <w:p w14:paraId="2EC65EB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（18分）</w:t>
            </w:r>
          </w:p>
        </w:tc>
        <w:tc>
          <w:tcPr>
            <w:tcW w:w="7217" w:type="dxa"/>
            <w:noWrap w:val="0"/>
            <w:vAlign w:val="center"/>
          </w:tcPr>
          <w:p w14:paraId="53B39498">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1、投标人提供配送方案，包括线路安排、配送设备及封闭式食品专用运输车辆的安排和时间安排，从业人员管理制度、供应服务能力、配送保障</w:t>
            </w:r>
            <w:r>
              <w:rPr>
                <w:rFonts w:hint="eastAsia" w:ascii="宋体" w:hAnsi="宋体" w:cs="宋体"/>
                <w:color w:val="auto"/>
                <w:sz w:val="24"/>
                <w:highlight w:val="none"/>
                <w:lang w:eastAsia="zh-CN"/>
              </w:rPr>
              <w:t>，</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分，扣完为止。2、投标人提供配送管理制度，包括人员、车辆、安全、卫生、考勤、奖惩等制度，本项满分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p w14:paraId="2ADDC687">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3、投标人提供对突发事件的应急配送预案</w:t>
            </w:r>
            <w:r>
              <w:rPr>
                <w:rFonts w:hint="eastAsia" w:ascii="宋体" w:hAnsi="宋体" w:cs="宋体"/>
                <w:color w:val="auto"/>
                <w:sz w:val="24"/>
                <w:highlight w:val="none"/>
                <w:lang w:val="en-US" w:eastAsia="zh-CN"/>
              </w:rPr>
              <w:t>包括</w:t>
            </w:r>
            <w:r>
              <w:rPr>
                <w:rFonts w:hint="eastAsia" w:ascii="宋体" w:hAnsi="宋体" w:cs="宋体"/>
                <w:color w:val="auto"/>
                <w:sz w:val="24"/>
                <w:highlight w:val="none"/>
              </w:rPr>
              <w:t>切合实际，包括预防机制、处置措施、组织管理、情况报告、善后处理</w:t>
            </w:r>
            <w:r>
              <w:rPr>
                <w:rFonts w:hint="eastAsia" w:ascii="宋体" w:hAnsi="宋体" w:cs="宋体"/>
                <w:color w:val="auto"/>
                <w:sz w:val="24"/>
                <w:highlight w:val="none"/>
                <w:lang w:val="en-US" w:eastAsia="zh-CN"/>
              </w:rPr>
              <w:t>等方面</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tc>
      </w:tr>
      <w:tr w14:paraId="42CCE5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02" w:hRule="atLeast"/>
          <w:jc w:val="center"/>
        </w:trPr>
        <w:tc>
          <w:tcPr>
            <w:tcW w:w="1291" w:type="dxa"/>
            <w:vMerge w:val="continue"/>
            <w:noWrap w:val="0"/>
            <w:vAlign w:val="center"/>
          </w:tcPr>
          <w:p w14:paraId="71C4B3B1">
            <w:pPr>
              <w:adjustRightInd w:val="0"/>
              <w:snapToGrid w:val="0"/>
              <w:spacing w:line="360" w:lineRule="auto"/>
              <w:ind w:right="-10"/>
              <w:jc w:val="left"/>
              <w:rPr>
                <w:rFonts w:hint="eastAsia" w:ascii="宋体" w:hAnsi="宋体" w:cs="宋体"/>
                <w:color w:val="auto"/>
                <w:sz w:val="24"/>
                <w:highlight w:val="none"/>
              </w:rPr>
            </w:pPr>
          </w:p>
        </w:tc>
        <w:tc>
          <w:tcPr>
            <w:tcW w:w="1670" w:type="dxa"/>
            <w:tcBorders>
              <w:bottom w:val="single" w:color="auto" w:sz="4" w:space="0"/>
            </w:tcBorders>
            <w:noWrap w:val="0"/>
            <w:vAlign w:val="center"/>
          </w:tcPr>
          <w:p w14:paraId="23560A6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安全管理</w:t>
            </w:r>
          </w:p>
          <w:p w14:paraId="03CDB38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分）</w:t>
            </w:r>
          </w:p>
        </w:tc>
        <w:tc>
          <w:tcPr>
            <w:tcW w:w="7217" w:type="dxa"/>
            <w:noWrap w:val="0"/>
            <w:vAlign w:val="center"/>
          </w:tcPr>
          <w:p w14:paraId="7A42201C">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1、投标人提供在食品供应源头和过程中有安全监管措施，必须符合《食品安全法》各项规定，本项满分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p w14:paraId="4DD8EADB">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2、投标人提供食品安全事故处理预案</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得6分</w:t>
            </w:r>
            <w:r>
              <w:rPr>
                <w:rFonts w:hint="eastAsia" w:ascii="宋体" w:hAnsi="宋体" w:cs="宋体"/>
                <w:color w:val="auto"/>
                <w:sz w:val="24"/>
                <w:highlight w:val="none"/>
                <w:lang w:eastAsia="zh-CN"/>
              </w:rPr>
              <w:t>。</w:t>
            </w:r>
            <w:r>
              <w:rPr>
                <w:rFonts w:hint="eastAsia" w:ascii="宋体" w:hAnsi="宋体" w:cs="宋体"/>
                <w:color w:val="auto"/>
                <w:sz w:val="24"/>
                <w:highlight w:val="none"/>
              </w:rPr>
              <w:t>不提供不得分。</w:t>
            </w:r>
          </w:p>
        </w:tc>
      </w:tr>
      <w:tr w14:paraId="1A9C5A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74" w:hRule="atLeast"/>
          <w:jc w:val="center"/>
        </w:trPr>
        <w:tc>
          <w:tcPr>
            <w:tcW w:w="1291" w:type="dxa"/>
            <w:vMerge w:val="continue"/>
            <w:tcBorders>
              <w:bottom w:val="single" w:color="auto" w:sz="4" w:space="0"/>
            </w:tcBorders>
            <w:noWrap w:val="0"/>
            <w:vAlign w:val="center"/>
          </w:tcPr>
          <w:p w14:paraId="721CDBBE">
            <w:pPr>
              <w:adjustRightInd w:val="0"/>
              <w:snapToGrid w:val="0"/>
              <w:spacing w:line="360" w:lineRule="auto"/>
              <w:ind w:right="-10"/>
              <w:jc w:val="left"/>
              <w:rPr>
                <w:rFonts w:hint="eastAsia" w:ascii="宋体" w:hAnsi="宋体" w:cs="宋体"/>
                <w:color w:val="auto"/>
                <w:sz w:val="24"/>
                <w:highlight w:val="none"/>
              </w:rPr>
            </w:pPr>
          </w:p>
        </w:tc>
        <w:tc>
          <w:tcPr>
            <w:tcW w:w="1670" w:type="dxa"/>
            <w:tcBorders>
              <w:bottom w:val="single" w:color="auto" w:sz="4" w:space="0"/>
            </w:tcBorders>
            <w:noWrap w:val="0"/>
            <w:vAlign w:val="center"/>
          </w:tcPr>
          <w:p w14:paraId="79D972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季节性疾病防控（</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7217" w:type="dxa"/>
            <w:noWrap w:val="0"/>
            <w:vAlign w:val="center"/>
          </w:tcPr>
          <w:p w14:paraId="5DC405B9">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投标人提供季节性疾病防控实施方案，得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分，不提供不得分。</w:t>
            </w:r>
          </w:p>
        </w:tc>
      </w:tr>
      <w:tr w14:paraId="2E2684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01" w:hRule="atLeast"/>
          <w:jc w:val="center"/>
        </w:trPr>
        <w:tc>
          <w:tcPr>
            <w:tcW w:w="1291" w:type="dxa"/>
            <w:vMerge w:val="restart"/>
            <w:tcBorders>
              <w:top w:val="single" w:color="auto" w:sz="4" w:space="0"/>
            </w:tcBorders>
            <w:noWrap w:val="0"/>
            <w:vAlign w:val="center"/>
          </w:tcPr>
          <w:p w14:paraId="60FBED43">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商务部分</w:t>
            </w:r>
          </w:p>
          <w:p w14:paraId="09A4B9AC">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w:t>
            </w:r>
          </w:p>
        </w:tc>
        <w:tc>
          <w:tcPr>
            <w:tcW w:w="1670" w:type="dxa"/>
            <w:tcBorders>
              <w:top w:val="single" w:color="auto" w:sz="4" w:space="0"/>
            </w:tcBorders>
            <w:noWrap w:val="0"/>
            <w:vAlign w:val="center"/>
          </w:tcPr>
          <w:p w14:paraId="64350CE3">
            <w:pPr>
              <w:adjustRightInd w:val="0"/>
              <w:snapToGrid w:val="0"/>
              <w:spacing w:line="360" w:lineRule="auto"/>
              <w:ind w:right="-10"/>
              <w:jc w:val="center"/>
              <w:rPr>
                <w:rFonts w:hint="eastAsia" w:ascii="宋体" w:hAnsi="宋体" w:cs="宋体"/>
                <w:b w:val="0"/>
                <w:bCs w:val="0"/>
                <w:color w:val="auto"/>
                <w:sz w:val="24"/>
                <w:highlight w:val="none"/>
              </w:rPr>
            </w:pPr>
            <w:r>
              <w:rPr>
                <w:rFonts w:hint="eastAsia" w:ascii="宋体" w:hAnsi="宋体" w:cs="宋体"/>
                <w:b w:val="0"/>
                <w:bCs w:val="0"/>
                <w:color w:val="auto"/>
                <w:sz w:val="24"/>
                <w:highlight w:val="none"/>
                <w:lang w:eastAsia="zh-CN"/>
              </w:rPr>
              <w:t>人员证件</w:t>
            </w:r>
            <w:r>
              <w:rPr>
                <w:rFonts w:hint="eastAsia" w:ascii="宋体" w:hAnsi="宋体" w:cs="宋体"/>
                <w:b w:val="0"/>
                <w:bCs w:val="0"/>
                <w:color w:val="auto"/>
                <w:sz w:val="24"/>
                <w:highlight w:val="none"/>
              </w:rPr>
              <w:t>（</w:t>
            </w:r>
            <w:r>
              <w:rPr>
                <w:rFonts w:hint="eastAsia" w:ascii="宋体" w:hAnsi="宋体" w:cs="宋体"/>
                <w:b w:val="0"/>
                <w:bCs w:val="0"/>
                <w:color w:val="auto"/>
                <w:sz w:val="24"/>
                <w:highlight w:val="none"/>
                <w:lang w:val="en-US" w:eastAsia="zh-CN"/>
              </w:rPr>
              <w:t>6</w:t>
            </w:r>
            <w:r>
              <w:rPr>
                <w:rFonts w:hint="eastAsia" w:ascii="宋体" w:hAnsi="宋体" w:cs="宋体"/>
                <w:b w:val="0"/>
                <w:bCs w:val="0"/>
                <w:color w:val="auto"/>
                <w:sz w:val="24"/>
                <w:highlight w:val="none"/>
              </w:rPr>
              <w:t>分）</w:t>
            </w:r>
          </w:p>
        </w:tc>
        <w:tc>
          <w:tcPr>
            <w:tcW w:w="7217" w:type="dxa"/>
            <w:noWrap w:val="0"/>
            <w:vAlign w:val="center"/>
          </w:tcPr>
          <w:p w14:paraId="79A21877">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投标人具有营养</w:t>
            </w:r>
            <w:r>
              <w:rPr>
                <w:rFonts w:hint="eastAsia" w:ascii="宋体" w:hAnsi="宋体" w:cs="宋体"/>
                <w:color w:val="auto"/>
                <w:sz w:val="24"/>
                <w:highlight w:val="none"/>
                <w:lang w:eastAsia="zh-CN"/>
              </w:rPr>
              <w:t>师资格</w:t>
            </w:r>
            <w:r>
              <w:rPr>
                <w:rFonts w:hint="eastAsia" w:ascii="宋体" w:hAnsi="宋体" w:cs="宋体"/>
                <w:color w:val="auto"/>
                <w:sz w:val="24"/>
                <w:highlight w:val="none"/>
              </w:rPr>
              <w:t>的，提供1人者得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分，最高得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分；(注：</w:t>
            </w:r>
            <w:r>
              <w:rPr>
                <w:rFonts w:hint="eastAsia" w:ascii="宋体" w:hAnsi="宋体" w:cs="宋体"/>
                <w:color w:val="auto"/>
                <w:sz w:val="24"/>
                <w:highlight w:val="none"/>
                <w:lang w:eastAsia="zh-CN"/>
              </w:rPr>
              <w:t>以上人员</w:t>
            </w:r>
            <w:r>
              <w:rPr>
                <w:rFonts w:hint="eastAsia" w:ascii="宋体" w:hAnsi="宋体" w:cs="宋体"/>
                <w:color w:val="auto"/>
                <w:sz w:val="24"/>
                <w:highlight w:val="none"/>
              </w:rPr>
              <w:t>须提供</w:t>
            </w:r>
            <w:r>
              <w:rPr>
                <w:rFonts w:hint="eastAsia" w:ascii="宋体" w:hAnsi="宋体" w:cs="宋体"/>
                <w:color w:val="auto"/>
                <w:sz w:val="24"/>
                <w:highlight w:val="none"/>
                <w:lang w:eastAsia="zh-CN"/>
              </w:rPr>
              <w:t>营养师</w:t>
            </w:r>
            <w:r>
              <w:rPr>
                <w:rFonts w:hint="eastAsia" w:ascii="宋体" w:hAnsi="宋体" w:cs="宋体"/>
                <w:color w:val="auto"/>
                <w:sz w:val="24"/>
                <w:highlight w:val="none"/>
              </w:rPr>
              <w:t>证书扫描件、</w:t>
            </w:r>
            <w:r>
              <w:rPr>
                <w:rFonts w:hint="eastAsia" w:ascii="宋体" w:hAnsi="宋体" w:cs="宋体"/>
                <w:color w:val="auto"/>
                <w:sz w:val="24"/>
                <w:highlight w:val="none"/>
                <w:lang w:eastAsia="zh-CN"/>
              </w:rPr>
              <w:t>劳动合同</w:t>
            </w:r>
            <w:r>
              <w:rPr>
                <w:rFonts w:hint="eastAsia" w:ascii="宋体" w:hAnsi="宋体" w:cs="宋体"/>
                <w:color w:val="auto"/>
                <w:sz w:val="24"/>
                <w:highlight w:val="none"/>
              </w:rPr>
              <w:t>，否则不得分，最高</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r>
      <w:tr w14:paraId="1A66326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05" w:hRule="atLeast"/>
          <w:jc w:val="center"/>
        </w:trPr>
        <w:tc>
          <w:tcPr>
            <w:tcW w:w="1291" w:type="dxa"/>
            <w:vMerge w:val="continue"/>
            <w:noWrap w:val="0"/>
            <w:vAlign w:val="center"/>
          </w:tcPr>
          <w:p w14:paraId="4FF56BFA">
            <w:pPr>
              <w:adjustRightInd w:val="0"/>
              <w:snapToGrid w:val="0"/>
              <w:spacing w:line="360" w:lineRule="auto"/>
              <w:ind w:right="-10"/>
              <w:jc w:val="left"/>
              <w:rPr>
                <w:rFonts w:hint="eastAsia" w:ascii="宋体" w:hAnsi="宋体" w:cs="宋体"/>
                <w:color w:val="auto"/>
                <w:sz w:val="24"/>
                <w:highlight w:val="none"/>
              </w:rPr>
            </w:pPr>
          </w:p>
        </w:tc>
        <w:tc>
          <w:tcPr>
            <w:tcW w:w="1670" w:type="dxa"/>
            <w:tcBorders>
              <w:top w:val="single" w:color="auto" w:sz="4" w:space="0"/>
              <w:bottom w:val="single" w:color="auto" w:sz="4" w:space="0"/>
            </w:tcBorders>
            <w:noWrap w:val="0"/>
            <w:vAlign w:val="center"/>
          </w:tcPr>
          <w:p w14:paraId="4ED35F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服务承诺</w:t>
            </w:r>
          </w:p>
          <w:p w14:paraId="139C3FB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p>
        </w:tc>
        <w:tc>
          <w:tcPr>
            <w:tcW w:w="7217" w:type="dxa"/>
            <w:noWrap w:val="0"/>
            <w:vAlign w:val="center"/>
          </w:tcPr>
          <w:p w14:paraId="0D142C58">
            <w:pPr>
              <w:adjustRightInd w:val="0"/>
              <w:snapToGrid w:val="0"/>
              <w:spacing w:line="360" w:lineRule="auto"/>
              <w:ind w:right="-1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投标人提供针对本项目的供货服务计划、售后服务承诺及应急措施，包括电话响应、服务人员到达现场、售后服务、解决问题时间等服务承诺</w:t>
            </w:r>
            <w:r>
              <w:rPr>
                <w:rFonts w:hint="eastAsia" w:ascii="宋体" w:hAnsi="宋体" w:cs="宋体"/>
                <w:color w:val="auto"/>
                <w:sz w:val="24"/>
                <w:highlight w:val="none"/>
                <w:lang w:eastAsia="zh-CN"/>
              </w:rPr>
              <w:t>。</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p w14:paraId="27E8AF44">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2.其他实质性优惠条件：包含但不限于24小时应急响应、定期免费开展食品安全培训、赠送货品盘点或抽检服务，无偿配送附加物资，免费临时仓储服务，技术或信息支持（食堂食材价格行情数据分析），提供更高标准食品安全赔付、延误赔付等相关配套设备、人员、物资、服务。</w:t>
            </w:r>
            <w:r>
              <w:rPr>
                <w:rFonts w:hint="eastAsia" w:ascii="宋体" w:hAnsi="宋体" w:cs="宋体"/>
                <w:color w:val="auto"/>
                <w:sz w:val="24"/>
                <w:highlight w:val="none"/>
              </w:rPr>
              <w:t>本项满分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分；每有一项不满足的扣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w:t>
            </w:r>
          </w:p>
        </w:tc>
      </w:tr>
      <w:tr w14:paraId="59C875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05" w:hRule="atLeast"/>
          <w:jc w:val="center"/>
        </w:trPr>
        <w:tc>
          <w:tcPr>
            <w:tcW w:w="1291" w:type="dxa"/>
            <w:vMerge w:val="continue"/>
            <w:noWrap w:val="0"/>
            <w:vAlign w:val="center"/>
          </w:tcPr>
          <w:p w14:paraId="49241F4C">
            <w:pPr>
              <w:adjustRightInd w:val="0"/>
              <w:snapToGrid w:val="0"/>
              <w:spacing w:line="360" w:lineRule="auto"/>
              <w:ind w:right="-10"/>
              <w:jc w:val="left"/>
              <w:rPr>
                <w:rFonts w:hint="eastAsia" w:ascii="宋体" w:hAnsi="宋体" w:cs="宋体"/>
                <w:color w:val="auto"/>
                <w:sz w:val="24"/>
                <w:highlight w:val="none"/>
              </w:rPr>
            </w:pPr>
          </w:p>
        </w:tc>
        <w:tc>
          <w:tcPr>
            <w:tcW w:w="1670" w:type="dxa"/>
            <w:tcBorders>
              <w:top w:val="single" w:color="auto" w:sz="4" w:space="0"/>
              <w:bottom w:val="single" w:color="auto" w:sz="4" w:space="0"/>
            </w:tcBorders>
            <w:noWrap w:val="0"/>
            <w:vAlign w:val="center"/>
          </w:tcPr>
          <w:p w14:paraId="0A387DE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类似业绩</w:t>
            </w:r>
          </w:p>
          <w:p w14:paraId="095B7929">
            <w:pPr>
              <w:adjustRightInd w:val="0"/>
              <w:snapToGrid w:val="0"/>
              <w:spacing w:line="360" w:lineRule="auto"/>
              <w:ind w:right="-10" w:rightChars="0"/>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7217" w:type="dxa"/>
            <w:noWrap w:val="0"/>
            <w:vAlign w:val="center"/>
          </w:tcPr>
          <w:p w14:paraId="5B457D2C">
            <w:pPr>
              <w:adjustRightInd w:val="0"/>
              <w:snapToGrid w:val="0"/>
              <w:spacing w:line="360" w:lineRule="auto"/>
              <w:ind w:right="-10"/>
              <w:jc w:val="left"/>
              <w:rPr>
                <w:rFonts w:hint="eastAsia" w:ascii="宋体" w:hAnsi="宋体" w:cs="宋体"/>
                <w:color w:val="auto"/>
                <w:sz w:val="24"/>
                <w:highlight w:val="none"/>
              </w:rPr>
            </w:pPr>
            <w:r>
              <w:rPr>
                <w:rFonts w:hint="eastAsia" w:ascii="宋体" w:hAnsi="宋体" w:cs="宋体"/>
                <w:color w:val="auto"/>
                <w:sz w:val="24"/>
                <w:highlight w:val="none"/>
              </w:rPr>
              <w:t>提供202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年1月1日以来</w:t>
            </w:r>
            <w:r>
              <w:rPr>
                <w:rFonts w:hint="eastAsia" w:ascii="宋体" w:hAnsi="宋体" w:cs="宋体"/>
                <w:color w:val="auto"/>
                <w:sz w:val="24"/>
                <w:highlight w:val="none"/>
                <w:lang w:val="en-US" w:eastAsia="zh-CN"/>
              </w:rPr>
              <w:t>已</w:t>
            </w:r>
            <w:r>
              <w:rPr>
                <w:rFonts w:hint="eastAsia" w:ascii="宋体" w:hAnsi="宋体" w:cs="宋体"/>
                <w:color w:val="auto"/>
                <w:sz w:val="24"/>
                <w:highlight w:val="none"/>
              </w:rPr>
              <w:t>完成类似业绩，业绩必须有中标通知书</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合同（日期以合同签订日期为准）每提供1份得</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分，最多得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r>
      <w:tr w14:paraId="69E589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05" w:hRule="atLeast"/>
          <w:jc w:val="center"/>
        </w:trPr>
        <w:tc>
          <w:tcPr>
            <w:tcW w:w="1291" w:type="dxa"/>
            <w:noWrap w:val="0"/>
            <w:vAlign w:val="center"/>
          </w:tcPr>
          <w:p w14:paraId="35CC8604">
            <w:pPr>
              <w:adjustRightInd w:val="0"/>
              <w:snapToGrid w:val="0"/>
              <w:spacing w:line="360" w:lineRule="auto"/>
              <w:ind w:right="-10"/>
              <w:jc w:val="left"/>
              <w:rPr>
                <w:rFonts w:hint="eastAsia" w:ascii="宋体" w:hAnsi="宋体" w:cs="宋体"/>
                <w:color w:val="auto"/>
                <w:sz w:val="24"/>
                <w:highlight w:val="none"/>
              </w:rPr>
            </w:pPr>
          </w:p>
        </w:tc>
        <w:tc>
          <w:tcPr>
            <w:tcW w:w="1670" w:type="dxa"/>
            <w:tcBorders>
              <w:top w:val="single" w:color="auto" w:sz="4" w:space="0"/>
              <w:bottom w:val="single" w:color="auto" w:sz="4" w:space="0"/>
            </w:tcBorders>
            <w:noWrap w:val="0"/>
            <w:vAlign w:val="center"/>
          </w:tcPr>
          <w:p w14:paraId="5688427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勘察证明</w:t>
            </w:r>
          </w:p>
          <w:p w14:paraId="17775742">
            <w:pPr>
              <w:adjustRightInd w:val="0"/>
              <w:snapToGrid w:val="0"/>
              <w:spacing w:line="360" w:lineRule="auto"/>
              <w:ind w:right="-10" w:rightChars="0"/>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w:t>
            </w:r>
          </w:p>
        </w:tc>
        <w:tc>
          <w:tcPr>
            <w:tcW w:w="7217" w:type="dxa"/>
            <w:noWrap w:val="0"/>
            <w:vAlign w:val="center"/>
          </w:tcPr>
          <w:p w14:paraId="5BC78A7F">
            <w:pPr>
              <w:adjustRightInd w:val="0"/>
              <w:snapToGrid w:val="0"/>
              <w:spacing w:line="360" w:lineRule="auto"/>
              <w:ind w:right="-10" w:rightChars="0"/>
              <w:jc w:val="left"/>
              <w:rPr>
                <w:rFonts w:hint="eastAsia" w:ascii="宋体" w:hAnsi="宋体" w:cs="宋体"/>
                <w:color w:val="auto"/>
                <w:sz w:val="24"/>
                <w:highlight w:val="none"/>
              </w:rPr>
            </w:pPr>
            <w:r>
              <w:rPr>
                <w:rFonts w:hint="eastAsia" w:ascii="宋体" w:hAnsi="宋体" w:cs="宋体"/>
                <w:color w:val="auto"/>
                <w:sz w:val="24"/>
                <w:highlight w:val="none"/>
              </w:rPr>
              <w:t>提供现场勘查证明，现场勘查证明需采购人盖章确认，原件扫描件附投标文件中得</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分，不提供不得分。</w:t>
            </w:r>
          </w:p>
        </w:tc>
      </w:tr>
    </w:tbl>
    <w:p w14:paraId="2EFDFD0D">
      <w:pPr>
        <w:pStyle w:val="12"/>
        <w:spacing w:line="360" w:lineRule="auto"/>
        <w:ind w:right="-10" w:firstLine="482" w:firstLineChars="200"/>
        <w:rPr>
          <w:rFonts w:hint="eastAsia" w:ascii="宋体" w:hAnsi="宋体" w:eastAsia="宋体" w:cs="宋体"/>
          <w:b/>
          <w:color w:val="auto"/>
          <w:kern w:val="1"/>
          <w:sz w:val="24"/>
          <w:highlight w:val="none"/>
        </w:rPr>
      </w:pPr>
    </w:p>
    <w:p w14:paraId="1FDC0104">
      <w:pPr>
        <w:pStyle w:val="12"/>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5DE242D6">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1、依据中华人民共和国财政部令第87号令《政府采购货物和服务招标投标管理办法》第三十一条要求，不同</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所投核心产品对应品牌完全相同且通过资格审查、符合性审查的，将按照一家</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计算。审后得分最高的同品牌</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获得中标人推荐资格；评审得分相同的，按照除价格分外得分最高（商务+技术参数）的同品牌</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获得中标人推荐资格，其他同品牌</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不作为中标候选人</w:t>
      </w:r>
      <w:r>
        <w:rPr>
          <w:rFonts w:hint="eastAsia" w:ascii="宋体" w:hAnsi="宋体" w:cs="宋体"/>
          <w:bCs/>
          <w:color w:val="auto"/>
          <w:sz w:val="24"/>
          <w:highlight w:val="none"/>
          <w:lang w:eastAsia="zh-CN"/>
        </w:rPr>
        <w:t>。</w:t>
      </w:r>
    </w:p>
    <w:p w14:paraId="7D15D4A4">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2、按照周口市交易中心规定，本项目</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所需提供原件在评标时无需提供，仅作为采购单位核实时使用，评审委员会评审时仅以</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投标文件中扫描件为准。</w:t>
      </w:r>
    </w:p>
    <w:p w14:paraId="345E0C93">
      <w:pPr>
        <w:pStyle w:val="12"/>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某项指标如有不同意见，按照少数服从多数的原则，确定该项指标是否通过。</w:t>
      </w:r>
    </w:p>
    <w:p w14:paraId="514FD8BD">
      <w:pPr>
        <w:spacing w:line="360" w:lineRule="auto"/>
        <w:ind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第十一条</w:t>
      </w:r>
      <w:r>
        <w:rPr>
          <w:rFonts w:hint="eastAsia" w:ascii="宋体" w:hAnsi="宋体" w:eastAsia="宋体" w:cs="宋体"/>
          <w:bCs/>
          <w:color w:val="auto"/>
          <w:sz w:val="24"/>
          <w:highlight w:val="none"/>
        </w:rPr>
        <w:t xml:space="preserve"> 商务、技术满足招标文件要求，综合得分最高的</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将作为中标候选人。如果综合得分中出现两家或两家以上相同者，投标报价较低者优先中标，报价也相同的，由采购人自行确定。</w:t>
      </w:r>
    </w:p>
    <w:p w14:paraId="7DF8E9DA">
      <w:pPr>
        <w:pStyle w:val="12"/>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27F7E5D9">
      <w:pPr>
        <w:adjustRightInd w:val="0"/>
        <w:snapToGrid w:val="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第十三条</w:t>
      </w:r>
      <w:r>
        <w:rPr>
          <w:rFonts w:hint="eastAsia" w:ascii="宋体" w:hAnsi="宋体" w:eastAsia="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858C3B9">
      <w:pPr>
        <w:rPr>
          <w:rFonts w:hint="eastAsia" w:ascii="宋体" w:hAnsi="宋体" w:eastAsia="宋体" w:cs="宋体"/>
          <w:color w:val="auto"/>
          <w:highlight w:val="none"/>
        </w:rPr>
      </w:pPr>
    </w:p>
    <w:p w14:paraId="17A77E1C">
      <w:pPr>
        <w:adjustRightInd w:val="0"/>
        <w:snapToGrid w:val="0"/>
        <w:spacing w:line="360" w:lineRule="auto"/>
        <w:jc w:val="center"/>
        <w:rPr>
          <w:rFonts w:hint="eastAsia" w:ascii="宋体" w:hAnsi="宋体" w:eastAsia="宋体" w:cs="宋体"/>
          <w:b/>
          <w:bCs/>
          <w:color w:val="auto"/>
          <w:sz w:val="24"/>
          <w:highlight w:val="none"/>
        </w:rPr>
      </w:pPr>
      <w:bookmarkStart w:id="65" w:name="_Toc40_WPSOffice_Level2"/>
      <w:r>
        <w:rPr>
          <w:rFonts w:hint="eastAsia" w:ascii="宋体" w:hAnsi="宋体" w:eastAsia="宋体" w:cs="宋体"/>
          <w:b/>
          <w:bCs/>
          <w:color w:val="auto"/>
          <w:sz w:val="24"/>
          <w:highlight w:val="none"/>
        </w:rPr>
        <w:t>三．评标纪律</w:t>
      </w:r>
      <w:bookmarkEnd w:id="65"/>
    </w:p>
    <w:p w14:paraId="15978D50">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第十四条</w:t>
      </w:r>
      <w:r>
        <w:rPr>
          <w:rFonts w:hint="eastAsia" w:ascii="宋体" w:hAnsi="宋体" w:eastAsia="宋体" w:cs="宋体"/>
          <w:bCs/>
          <w:color w:val="auto"/>
          <w:sz w:val="24"/>
          <w:highlight w:val="none"/>
        </w:rPr>
        <w:t xml:space="preserve"> 评委会和评标工作人员应严格遵守国家的法律、法规和规章制度；</w:t>
      </w:r>
      <w:r>
        <w:rPr>
          <w:rFonts w:hint="eastAsia" w:ascii="宋体" w:hAnsi="宋体" w:eastAsia="宋体" w:cs="宋体"/>
          <w:color w:val="auto"/>
          <w:sz w:val="24"/>
          <w:highlight w:val="none"/>
        </w:rPr>
        <w:t>严格按照本次招标文件进行评标；公正廉洁、不徇私情，不得损害国家利益；保护招、</w:t>
      </w:r>
      <w:r>
        <w:rPr>
          <w:rFonts w:hint="eastAsia" w:ascii="宋体" w:hAnsi="宋体" w:cs="宋体"/>
          <w:color w:val="auto"/>
          <w:sz w:val="24"/>
          <w:highlight w:val="none"/>
          <w:lang w:val="en-US" w:eastAsia="zh-CN"/>
        </w:rPr>
        <w:t>投标人</w:t>
      </w:r>
      <w:r>
        <w:rPr>
          <w:rFonts w:hint="eastAsia" w:ascii="宋体" w:hAnsi="宋体" w:eastAsia="宋体" w:cs="宋体"/>
          <w:color w:val="auto"/>
          <w:sz w:val="24"/>
          <w:highlight w:val="none"/>
        </w:rPr>
        <w:t>的合法权益。</w:t>
      </w:r>
    </w:p>
    <w:p w14:paraId="1421338D">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第十五条 </w:t>
      </w:r>
      <w:r>
        <w:rPr>
          <w:rFonts w:hint="eastAsia" w:ascii="宋体" w:hAnsi="宋体" w:eastAsia="宋体" w:cs="宋体"/>
          <w:color w:val="auto"/>
          <w:sz w:val="24"/>
          <w:highlight w:val="none"/>
        </w:rPr>
        <w:t>在评标过程中，评委必须对评标情况严格保密，任何人不得将评标情况透露给与</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有关的单位和个人。如有违反评标纪律的情况发生，将依据《中华人民共和国政府采购法》及其他有关法律法规的规定，追究有关当事人的责任。</w:t>
      </w:r>
    </w:p>
    <w:p w14:paraId="23186FE1">
      <w:pPr>
        <w:spacing w:line="360" w:lineRule="auto"/>
        <w:ind w:firstLine="482" w:firstLineChars="200"/>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第十六条</w:t>
      </w:r>
      <w:r>
        <w:rPr>
          <w:rFonts w:hint="eastAsia" w:ascii="宋体" w:hAnsi="宋体" w:eastAsia="宋体" w:cs="宋体"/>
          <w:color w:val="auto"/>
          <w:sz w:val="24"/>
          <w:highlight w:val="none"/>
        </w:rPr>
        <w:t xml:space="preserve"> 在招标采购中，出现下列情形之一的，应予废标：</w:t>
      </w:r>
    </w:p>
    <w:p w14:paraId="10D6EA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1.出现影响采购公正的违法、违规行为的。</w:t>
      </w:r>
    </w:p>
    <w:p w14:paraId="0CF1BC2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2.投标时有弄虚作假的行为。</w:t>
      </w:r>
    </w:p>
    <w:p w14:paraId="052A1891">
      <w:pPr>
        <w:spacing w:line="360" w:lineRule="auto"/>
        <w:ind w:firstLine="475" w:firstLineChars="197"/>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第十七条 </w:t>
      </w:r>
      <w:r>
        <w:rPr>
          <w:rFonts w:hint="eastAsia" w:ascii="宋体" w:hAnsi="宋体" w:eastAsia="宋体" w:cs="宋体"/>
          <w:color w:val="auto"/>
          <w:sz w:val="24"/>
          <w:highlight w:val="none"/>
        </w:rPr>
        <w:t>在投标过程中，出现下列情况之一的，按照无效投标处理：</w:t>
      </w:r>
    </w:p>
    <w:p w14:paraId="7E733E8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BC8BA1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2.不具备招标文件中规定资格要求的；</w:t>
      </w:r>
    </w:p>
    <w:p w14:paraId="359C332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3.不符合法律、法规和招标文件中规定的其他实质性要求的。</w:t>
      </w:r>
    </w:p>
    <w:p w14:paraId="449568B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的报价超过了采购预算，采购人不能支付的；</w:t>
      </w:r>
    </w:p>
    <w:p w14:paraId="7B508E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5.投标文件附有招标人不能接受的条件；</w:t>
      </w:r>
    </w:p>
    <w:p w14:paraId="506F92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6.投标文件中对同一服务或标段提供选择性报价的；</w:t>
      </w:r>
    </w:p>
    <w:p w14:paraId="4D18E05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7.商务偏差表或技术偏差表存在弄虚作假的；</w:t>
      </w:r>
    </w:p>
    <w:p w14:paraId="1290B9E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3D6E455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8D0B59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FD1BD3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不同供应商的投标（响应）文件的内容存在两处以上细节错误一致；</w:t>
      </w:r>
    </w:p>
    <w:p w14:paraId="56E480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308A6A2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EC4D6F4">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14.被授权人和法定代表人未附劳动合同的</w:t>
      </w:r>
      <w:r>
        <w:rPr>
          <w:rFonts w:hint="eastAsia" w:ascii="宋体" w:hAnsi="宋体" w:eastAsia="宋体" w:cs="宋体"/>
          <w:color w:val="auto"/>
          <w:sz w:val="24"/>
          <w:highlight w:val="none"/>
          <w:lang w:eastAsia="zh-CN"/>
        </w:rPr>
        <w:t>。</w:t>
      </w:r>
    </w:p>
    <w:p w14:paraId="2F52D4E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15.未提供近半年内连续三个月的已依法缴纳税收和社会保障资金的凭证（依法免税或不需要缴纳社会保障资金的供应商应提供相应证明文件）；</w:t>
      </w:r>
    </w:p>
    <w:p w14:paraId="3C11F41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16.未提供财务会计制度和经会计师事务所或审计机构审计的财务会计报表，包括资产负债表、现金流量表、利润表和财务情况说明书的或针对本项目所开具的资信证明的。</w:t>
      </w:r>
    </w:p>
    <w:p w14:paraId="5200A6AF">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w:t>
      </w:r>
      <w:r>
        <w:rPr>
          <w:rFonts w:hint="eastAsia" w:ascii="宋体" w:hAnsi="宋体" w:eastAsia="宋体" w:cs="宋体"/>
          <w:b/>
          <w:bCs/>
          <w:color w:val="auto"/>
          <w:sz w:val="24"/>
          <w:highlight w:val="none"/>
        </w:rPr>
        <w:t>八</w:t>
      </w:r>
      <w:r>
        <w:rPr>
          <w:rFonts w:hint="eastAsia" w:ascii="宋体" w:hAnsi="宋体" w:eastAsia="宋体" w:cs="宋体"/>
          <w:b/>
          <w:color w:val="auto"/>
          <w:sz w:val="24"/>
          <w:highlight w:val="none"/>
        </w:rPr>
        <w:t xml:space="preserve">条 </w:t>
      </w:r>
      <w:r>
        <w:rPr>
          <w:rFonts w:hint="eastAsia" w:ascii="宋体" w:hAnsi="宋体" w:eastAsia="宋体" w:cs="宋体"/>
          <w:color w:val="auto"/>
          <w:sz w:val="24"/>
          <w:highlight w:val="none"/>
        </w:rPr>
        <w:t>在投标文件中，出现下列情形之一的，其投标有可能被拒绝：</w:t>
      </w:r>
    </w:p>
    <w:p w14:paraId="59B3EFB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工期不确切、不肯定的投标；</w:t>
      </w:r>
    </w:p>
    <w:p w14:paraId="39DC220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2.对售后服务、付款方式不满足招标文件要求的； </w:t>
      </w:r>
    </w:p>
    <w:p w14:paraId="37A9C0F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没有实质性响应招标文件的要求和条件的；</w:t>
      </w:r>
    </w:p>
    <w:p w14:paraId="28291B1E">
      <w:pPr>
        <w:tabs>
          <w:tab w:val="left" w:pos="273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4.评标委员会认为</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的报价明显低于其他通过符合性审查</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不能证明其报价合理性的，评标委员会应当将其作为无效投标处理</w:t>
      </w:r>
      <w:r>
        <w:rPr>
          <w:rFonts w:hint="eastAsia" w:ascii="宋体" w:hAnsi="宋体" w:eastAsia="宋体" w:cs="宋体"/>
          <w:color w:val="auto"/>
          <w:sz w:val="24"/>
          <w:highlight w:val="none"/>
          <w:lang w:eastAsia="zh-CN"/>
        </w:rPr>
        <w:t>。</w:t>
      </w:r>
    </w:p>
    <w:p w14:paraId="4F152A27">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第十九条</w:t>
      </w:r>
      <w:r>
        <w:rPr>
          <w:rFonts w:hint="eastAsia" w:ascii="宋体" w:hAnsi="宋体" w:eastAsia="宋体" w:cs="宋体"/>
          <w:color w:val="auto"/>
          <w:sz w:val="24"/>
          <w:highlight w:val="none"/>
        </w:rPr>
        <w:t xml:space="preserve"> 本评标办法的解释权属于采购人。</w:t>
      </w:r>
    </w:p>
    <w:p w14:paraId="1CBD1465">
      <w:pPr>
        <w:spacing w:line="360" w:lineRule="auto"/>
        <w:rPr>
          <w:rFonts w:hint="eastAsia" w:ascii="宋体" w:hAnsi="宋体" w:eastAsia="宋体" w:cs="宋体"/>
          <w:color w:val="auto"/>
          <w:sz w:val="24"/>
          <w:highlight w:val="none"/>
        </w:rPr>
      </w:pPr>
    </w:p>
    <w:p w14:paraId="0768BDBE">
      <w:pPr>
        <w:pStyle w:val="2"/>
        <w:spacing w:before="0" w:after="0" w:line="400" w:lineRule="exact"/>
        <w:jc w:val="center"/>
        <w:rPr>
          <w:rFonts w:hint="eastAsia" w:ascii="宋体" w:hAnsi="宋体" w:eastAsia="宋体" w:cs="宋体"/>
          <w:color w:val="auto"/>
          <w:highlight w:val="none"/>
        </w:rPr>
      </w:pPr>
      <w:bookmarkStart w:id="66" w:name="_Toc527725920"/>
      <w:r>
        <w:rPr>
          <w:rFonts w:hint="eastAsia" w:ascii="宋体" w:hAnsi="宋体" w:eastAsia="宋体" w:cs="宋体"/>
          <w:color w:val="auto"/>
          <w:sz w:val="32"/>
          <w:highlight w:val="none"/>
        </w:rPr>
        <w:br w:type="page"/>
      </w:r>
      <w:bookmarkStart w:id="67" w:name="_Toc19468"/>
      <w:bookmarkStart w:id="68" w:name="_Toc19953"/>
      <w:bookmarkStart w:id="69" w:name="_Toc28050"/>
      <w:bookmarkStart w:id="70" w:name="_Toc40975440"/>
      <w:r>
        <w:rPr>
          <w:rFonts w:hint="eastAsia" w:ascii="宋体" w:hAnsi="宋体" w:eastAsia="宋体" w:cs="宋体"/>
          <w:color w:val="auto"/>
          <w:sz w:val="32"/>
          <w:highlight w:val="none"/>
        </w:rPr>
        <w:t>招标文件第二部分</w:t>
      </w:r>
      <w:bookmarkEnd w:id="66"/>
      <w:bookmarkEnd w:id="67"/>
      <w:bookmarkEnd w:id="68"/>
      <w:bookmarkEnd w:id="69"/>
      <w:bookmarkEnd w:id="70"/>
      <w:bookmarkStart w:id="71" w:name="_Toc527725921"/>
    </w:p>
    <w:p w14:paraId="41A6AD0E">
      <w:pPr>
        <w:pStyle w:val="3"/>
        <w:spacing w:line="500" w:lineRule="exact"/>
        <w:ind w:firstLine="0"/>
        <w:rPr>
          <w:rFonts w:hint="eastAsia" w:ascii="宋体" w:hAnsi="宋体" w:eastAsia="宋体" w:cs="宋体"/>
          <w:color w:val="auto"/>
          <w:highlight w:val="none"/>
        </w:rPr>
      </w:pPr>
      <w:bookmarkStart w:id="72" w:name="_Toc20612"/>
      <w:r>
        <w:rPr>
          <w:rFonts w:hint="eastAsia" w:ascii="宋体" w:hAnsi="宋体" w:eastAsia="宋体" w:cs="宋体"/>
          <w:color w:val="auto"/>
          <w:highlight w:val="none"/>
        </w:rPr>
        <w:t xml:space="preserve">第五章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须知</w:t>
      </w:r>
      <w:bookmarkEnd w:id="71"/>
      <w:bookmarkEnd w:id="72"/>
    </w:p>
    <w:p w14:paraId="32A6B8AD">
      <w:pPr>
        <w:pStyle w:val="4"/>
        <w:spacing w:line="500" w:lineRule="exact"/>
        <w:rPr>
          <w:rFonts w:hint="eastAsia" w:ascii="宋体" w:hAnsi="宋体" w:eastAsia="宋体" w:cs="宋体"/>
          <w:color w:val="auto"/>
          <w:sz w:val="28"/>
          <w:highlight w:val="none"/>
        </w:rPr>
      </w:pPr>
      <w:bookmarkStart w:id="73" w:name="_Hlt509650686"/>
      <w:bookmarkEnd w:id="73"/>
      <w:bookmarkStart w:id="74" w:name="_Hlt509649722"/>
      <w:bookmarkEnd w:id="74"/>
      <w:bookmarkStart w:id="75" w:name="_Hlt526418143"/>
      <w:bookmarkEnd w:id="75"/>
      <w:bookmarkStart w:id="76" w:name="_Hlt509650126"/>
      <w:bookmarkEnd w:id="76"/>
      <w:bookmarkStart w:id="77" w:name="_Hlt509649998"/>
      <w:bookmarkEnd w:id="77"/>
      <w:bookmarkStart w:id="78" w:name="_Hlt509650955"/>
      <w:bookmarkEnd w:id="78"/>
      <w:bookmarkStart w:id="79" w:name="_Toc527725922"/>
      <w:bookmarkStart w:id="80" w:name="_Toc32160"/>
      <w:bookmarkStart w:id="81" w:name="_Toc23614"/>
      <w:bookmarkStart w:id="82" w:name="_Toc40975442"/>
      <w:bookmarkStart w:id="83" w:name="_Toc10068"/>
      <w:r>
        <w:rPr>
          <w:rFonts w:hint="eastAsia" w:ascii="宋体" w:hAnsi="宋体" w:eastAsia="宋体" w:cs="宋体"/>
          <w:color w:val="auto"/>
          <w:sz w:val="28"/>
          <w:highlight w:val="none"/>
        </w:rPr>
        <w:t>一．总    则</w:t>
      </w:r>
      <w:bookmarkEnd w:id="79"/>
      <w:bookmarkEnd w:id="80"/>
      <w:bookmarkEnd w:id="81"/>
      <w:bookmarkEnd w:id="82"/>
      <w:bookmarkEnd w:id="83"/>
    </w:p>
    <w:p w14:paraId="74A3A91D">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1.适用范围</w:t>
      </w:r>
    </w:p>
    <w:p w14:paraId="659E6CB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1.1本招标文件仅适用于本次公开招标所述的服务项目采购。</w:t>
      </w:r>
    </w:p>
    <w:p w14:paraId="392DE3B7">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2.有关定义</w:t>
      </w:r>
    </w:p>
    <w:p w14:paraId="5FD87B6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2.1招标人（采购人）：</w:t>
      </w:r>
      <w:r>
        <w:rPr>
          <w:rFonts w:hint="eastAsia" w:ascii="宋体" w:hAnsi="宋体" w:cs="宋体"/>
          <w:i w:val="0"/>
          <w:iCs w:val="0"/>
          <w:color w:val="auto"/>
          <w:sz w:val="24"/>
          <w:szCs w:val="24"/>
          <w:highlight w:val="none"/>
          <w:lang w:val="en-US" w:eastAsia="zh-CN"/>
        </w:rPr>
        <w:t>商水县教育体育局</w:t>
      </w:r>
      <w:r>
        <w:rPr>
          <w:rFonts w:hint="eastAsia" w:ascii="宋体" w:hAnsi="宋体" w:eastAsia="宋体" w:cs="宋体"/>
          <w:color w:val="auto"/>
          <w:sz w:val="24"/>
          <w:highlight w:val="none"/>
        </w:rPr>
        <w:t>。</w:t>
      </w:r>
    </w:p>
    <w:p w14:paraId="48539F4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2.2招标代理机构（集中采购机构）：系指周口市公共资源交易中心政府采购中心，以下简称“采购中心”。</w:t>
      </w:r>
    </w:p>
    <w:p w14:paraId="5968432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2.3政府采购监督管理部门：系指</w:t>
      </w:r>
      <w:r>
        <w:rPr>
          <w:rFonts w:hint="eastAsia" w:ascii="宋体" w:hAnsi="宋体" w:cs="宋体"/>
          <w:color w:val="auto"/>
          <w:sz w:val="24"/>
          <w:szCs w:val="24"/>
          <w:highlight w:val="none"/>
        </w:rPr>
        <w:t>商水县政府采购监督管理办公室</w:t>
      </w:r>
      <w:r>
        <w:rPr>
          <w:rFonts w:hint="eastAsia" w:ascii="宋体" w:hAnsi="宋体" w:eastAsia="宋体" w:cs="宋体"/>
          <w:color w:val="auto"/>
          <w:sz w:val="24"/>
          <w:highlight w:val="none"/>
        </w:rPr>
        <w:t>。</w:t>
      </w:r>
    </w:p>
    <w:p w14:paraId="3F64D8D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2.4</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：系指已经在周口市公共资源交易中心网上下载招标文件的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，且已经提交或准备提交本次投标文件的制造商、供应商或服务商。</w:t>
      </w:r>
    </w:p>
    <w:p w14:paraId="428B031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服务：系指本项目所采购内容。</w:t>
      </w:r>
    </w:p>
    <w:p w14:paraId="26932BB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2.6业绩：系指符合本招标文件规定且已供货（安装）完毕的合同及相关证明。</w:t>
      </w:r>
    </w:p>
    <w:p w14:paraId="0EF89B9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2.7</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公章：在电子投标文件中系指</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电子签章。</w:t>
      </w:r>
    </w:p>
    <w:p w14:paraId="0113F6F5">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3.投标费用</w:t>
      </w:r>
    </w:p>
    <w:p w14:paraId="741D247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3.1无论投标结果如何，</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须承诺</w:t>
      </w:r>
      <w:r>
        <w:rPr>
          <w:rFonts w:hint="eastAsia" w:ascii="宋体" w:hAnsi="宋体" w:eastAsia="宋体" w:cs="宋体"/>
          <w:color w:val="auto"/>
          <w:sz w:val="24"/>
          <w:highlight w:val="none"/>
        </w:rPr>
        <w:t>应自行承担其编制与递交投标文件所涉及的一切费用。</w:t>
      </w:r>
    </w:p>
    <w:p w14:paraId="2820721A">
      <w:pPr>
        <w:spacing w:line="360" w:lineRule="auto"/>
        <w:ind w:firstLine="55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4.合格的</w:t>
      </w:r>
      <w:r>
        <w:rPr>
          <w:rFonts w:hint="eastAsia" w:ascii="宋体" w:hAnsi="宋体" w:cs="宋体"/>
          <w:b/>
          <w:bCs/>
          <w:color w:val="auto"/>
          <w:sz w:val="24"/>
          <w:highlight w:val="none"/>
          <w:lang w:eastAsia="zh-CN"/>
        </w:rPr>
        <w:t>供应商</w:t>
      </w:r>
    </w:p>
    <w:p w14:paraId="0F47C77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应符合招标文件载明的投标资格。</w:t>
      </w:r>
    </w:p>
    <w:p w14:paraId="0D4376C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4.2</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之间如果存在下列情形之一的，不得同时参加同一标段（包别）或者不分标段（包别）的同一项目投标：</w:t>
      </w:r>
    </w:p>
    <w:p w14:paraId="2BCFB510">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4.2.1法定代表人为同一个人的两个及两个以上法人；</w:t>
      </w:r>
    </w:p>
    <w:p w14:paraId="45C585E5">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4.2.2母公司、全资子公司及其控股公司；</w:t>
      </w:r>
    </w:p>
    <w:p w14:paraId="6027E8A2">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4.2.3参加投标的其他组织之间存在特殊的利害关系的；</w:t>
      </w:r>
    </w:p>
    <w:p w14:paraId="0C4DC96A">
      <w:pPr>
        <w:spacing w:line="360" w:lineRule="auto"/>
        <w:ind w:left="479" w:leftChars="228" w:firstLine="40" w:firstLineChars="17"/>
        <w:rPr>
          <w:rFonts w:hint="eastAsia" w:ascii="宋体" w:hAnsi="宋体" w:cs="宋体"/>
          <w:color w:val="auto"/>
          <w:sz w:val="24"/>
          <w:highlight w:val="none"/>
        </w:rPr>
      </w:pPr>
      <w:r>
        <w:rPr>
          <w:rFonts w:hint="eastAsia" w:ascii="宋体" w:hAnsi="宋体" w:eastAsia="宋体" w:cs="宋体"/>
          <w:color w:val="auto"/>
          <w:sz w:val="24"/>
          <w:highlight w:val="none"/>
        </w:rPr>
        <w:t>4.2.4法律和行政法规规定的其他情形。</w:t>
      </w:r>
      <w:r>
        <w:rPr>
          <w:rFonts w:hint="eastAsia" w:ascii="宋体" w:hAnsi="宋体" w:eastAsia="宋体" w:cs="宋体"/>
          <w:color w:val="auto"/>
          <w:sz w:val="24"/>
          <w:highlight w:val="none"/>
        </w:rPr>
        <w:br w:type="textWrapping"/>
      </w:r>
      <w:r>
        <w:rPr>
          <w:rFonts w:hint="eastAsia" w:ascii="宋体" w:hAnsi="宋体" w:cs="宋体"/>
          <w:color w:val="auto"/>
          <w:sz w:val="24"/>
          <w:highlight w:val="none"/>
        </w:rPr>
        <w:t xml:space="preserve">4.3 </w:t>
      </w:r>
      <w:r>
        <w:rPr>
          <w:rFonts w:hint="eastAsia" w:ascii="宋体" w:hAnsi="宋体" w:cs="宋体"/>
          <w:color w:val="auto"/>
          <w:sz w:val="24"/>
          <w:highlight w:val="none"/>
          <w:lang w:val="en-US" w:eastAsia="zh-CN"/>
        </w:rPr>
        <w:t>供应商</w:t>
      </w:r>
      <w:r>
        <w:rPr>
          <w:rFonts w:ascii="宋体" w:hAnsi="宋体" w:cs="宋体"/>
          <w:color w:val="auto"/>
          <w:sz w:val="24"/>
          <w:highlight w:val="none"/>
        </w:rPr>
        <w:t>需提供售后服务体系与承诺。</w:t>
      </w:r>
    </w:p>
    <w:p w14:paraId="58CDF3EF">
      <w:pPr>
        <w:spacing w:line="360" w:lineRule="auto"/>
        <w:ind w:firstLine="523" w:firstLineChars="218"/>
        <w:rPr>
          <w:rFonts w:hint="eastAsia" w:ascii="宋体" w:hAnsi="宋体" w:eastAsia="宋体" w:cs="宋体"/>
          <w:color w:val="auto"/>
          <w:sz w:val="24"/>
          <w:highlight w:val="none"/>
        </w:rPr>
      </w:pPr>
      <w:r>
        <w:rPr>
          <w:rFonts w:hint="eastAsia" w:ascii="宋体" w:hAnsi="宋体" w:cs="宋体"/>
          <w:color w:val="auto"/>
          <w:sz w:val="24"/>
          <w:highlight w:val="none"/>
        </w:rPr>
        <w:t>4.4 供应商</w:t>
      </w:r>
      <w:r>
        <w:rPr>
          <w:rFonts w:ascii="宋体" w:hAnsi="宋体" w:cs="宋体"/>
          <w:color w:val="auto"/>
          <w:sz w:val="24"/>
          <w:highlight w:val="none"/>
        </w:rPr>
        <w:t>需提供</w:t>
      </w:r>
      <w:r>
        <w:rPr>
          <w:rFonts w:hint="eastAsia" w:ascii="宋体" w:hAnsi="宋体" w:cs="宋体"/>
          <w:color w:val="auto"/>
          <w:sz w:val="24"/>
          <w:highlight w:val="none"/>
        </w:rPr>
        <w:t>自觉抵制政府采购领域商业贿赂行为承诺书</w:t>
      </w:r>
      <w:r>
        <w:rPr>
          <w:rFonts w:hint="eastAsia" w:ascii="宋体" w:hAnsi="宋体" w:cs="宋体"/>
          <w:color w:val="auto"/>
          <w:sz w:val="24"/>
          <w:highlight w:val="none"/>
          <w:lang w:eastAsia="zh-CN"/>
        </w:rPr>
        <w:t>。</w:t>
      </w:r>
    </w:p>
    <w:p w14:paraId="072B64DF">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5.勘察现场</w:t>
      </w:r>
    </w:p>
    <w:p w14:paraId="007EB1C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5.1</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应自行对供货现场和周围环境进行勘察，以获取编制投标文件和签署合同所需的资料。勘察现场的方式、地址及联系方式见</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须知前附表。</w:t>
      </w:r>
    </w:p>
    <w:p w14:paraId="15B0484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自行承担。采购人向</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提供的有关供货现场的资料和数据，是采购人现有的能使</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利用的资料。采购人对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由此而做出的推论、理解和结论概不负责。</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未到供货现场实地踏勘的，中标后签订合同时和履约过程中，不得以不完全了解现场情况为由，提出任何形式的增加合同价款或索赔的要求。</w:t>
      </w:r>
    </w:p>
    <w:p w14:paraId="64221DF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5.3除非有特殊要求，招标文件不单独提供供货使用地的自然环境、气候条件、公用设施等情况，</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被视为熟悉上述与履行合同有关的一切情况。</w:t>
      </w:r>
    </w:p>
    <w:p w14:paraId="735D9F91">
      <w:pPr>
        <w:spacing w:line="360" w:lineRule="auto"/>
        <w:ind w:firstLine="55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6.知识产权</w:t>
      </w:r>
    </w:p>
    <w:p w14:paraId="4DCC28A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6.1</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须</w:t>
      </w:r>
      <w:r>
        <w:rPr>
          <w:rFonts w:hint="eastAsia" w:ascii="宋体" w:hAnsi="宋体" w:eastAsia="宋体" w:cs="宋体"/>
          <w:bCs/>
          <w:color w:val="auto"/>
          <w:sz w:val="24"/>
          <w:highlight w:val="none"/>
          <w:lang w:val="en-US" w:eastAsia="zh-CN"/>
        </w:rPr>
        <w:t>在投标文件中承诺</w:t>
      </w:r>
      <w:r>
        <w:rPr>
          <w:rFonts w:hint="eastAsia" w:ascii="宋体" w:hAnsi="宋体" w:eastAsia="宋体" w:cs="宋体"/>
          <w:bCs/>
          <w:color w:val="auto"/>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不拥有相应的知识产权，则在投标报价中必须包括合法获取该知识产权的一切相关费用。</w:t>
      </w:r>
      <w:r>
        <w:rPr>
          <w:rFonts w:hint="eastAsia" w:ascii="宋体" w:hAnsi="宋体" w:eastAsia="宋体" w:cs="宋体"/>
          <w:color w:val="auto"/>
          <w:sz w:val="24"/>
          <w:highlight w:val="none"/>
        </w:rPr>
        <w:t>如因此导致采购人损失的，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须承担全部赔偿责任。</w:t>
      </w:r>
    </w:p>
    <w:p w14:paraId="6AE3C8B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6.2</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如欲在项目实施过程中采用自有知识成果，须在投标文件中声明，并提供相关知识产权证明文件。使用该知识成果后，</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须提供开发接口和开发手册等技术文档。</w:t>
      </w:r>
    </w:p>
    <w:p w14:paraId="31323525">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7.纪律与保密</w:t>
      </w:r>
    </w:p>
    <w:p w14:paraId="5F89381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7.1</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的投标行为应遵守中国的有关法律、法规和规章。</w:t>
      </w:r>
    </w:p>
    <w:p w14:paraId="06FB20BF">
      <w:pPr>
        <w:spacing w:line="360" w:lineRule="auto"/>
        <w:ind w:firstLine="549"/>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7.2</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不得相互串通投标报价，不得妨碍其他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的公平竞争，不得损害采购人或其他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的合法权益，</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不得以向采购人、评委会成员行贿或者采取其他不正当手段谋取中标。</w:t>
      </w:r>
      <w:r>
        <w:rPr>
          <w:rFonts w:hint="eastAsia" w:ascii="宋体" w:hAnsi="宋体" w:cs="宋体"/>
          <w:color w:val="auto"/>
          <w:sz w:val="24"/>
          <w:highlight w:val="none"/>
          <w:lang w:val="en-US" w:eastAsia="zh-CN"/>
        </w:rPr>
        <w:t>供应商</w:t>
      </w:r>
      <w:r>
        <w:rPr>
          <w:rFonts w:hint="eastAsia" w:ascii="宋体" w:hAnsi="宋体" w:eastAsia="宋体" w:cs="宋体"/>
          <w:color w:val="auto"/>
          <w:sz w:val="24"/>
          <w:highlight w:val="none"/>
          <w:lang w:val="en-US" w:eastAsia="zh-CN"/>
        </w:rPr>
        <w:t>需在投标文件中对此项做出承</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lang w:val="en-US" w:eastAsia="zh-CN"/>
        </w:rPr>
        <w:t>诺。</w:t>
      </w:r>
    </w:p>
    <w:p w14:paraId="61FFF98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7.2.1有下列情形之一的，属于</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相互串通投标：</w:t>
      </w:r>
    </w:p>
    <w:p w14:paraId="24336102">
      <w:pPr>
        <w:spacing w:line="360" w:lineRule="auto"/>
        <w:ind w:firstLine="1024" w:firstLineChars="427"/>
        <w:rPr>
          <w:rFonts w:hint="eastAsia" w:ascii="宋体" w:hAnsi="宋体" w:eastAsia="宋体" w:cs="宋体"/>
          <w:color w:val="auto"/>
          <w:sz w:val="24"/>
          <w:highlight w:val="none"/>
        </w:rPr>
      </w:pPr>
      <w:r>
        <w:rPr>
          <w:rFonts w:hint="eastAsia" w:ascii="宋体" w:hAnsi="宋体" w:eastAsia="宋体" w:cs="宋体"/>
          <w:color w:val="auto"/>
          <w:sz w:val="24"/>
          <w:highlight w:val="none"/>
        </w:rPr>
        <w:t>7.2.1.1不同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的投标文件由同一单位或者个人编制；</w:t>
      </w:r>
    </w:p>
    <w:p w14:paraId="7A2CAC6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7.2.1.2不同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委托同一单位或者个人办理投标事宜；</w:t>
      </w:r>
    </w:p>
    <w:p w14:paraId="77437F3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7.2.1.3不同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的投标文件载明的项目管理成员或者联系人员为同一人；</w:t>
      </w:r>
    </w:p>
    <w:p w14:paraId="23083AC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7.2.1.4不同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的投标文件异常一致或者投标报价呈规律性差异；</w:t>
      </w:r>
    </w:p>
    <w:p w14:paraId="7E67E892">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7.2.1.5不同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的投标文件相互混装</w:t>
      </w:r>
      <w:r>
        <w:rPr>
          <w:rFonts w:hint="eastAsia" w:ascii="宋体" w:hAnsi="宋体" w:eastAsia="宋体" w:cs="宋体"/>
          <w:color w:val="auto"/>
          <w:sz w:val="24"/>
          <w:highlight w:val="none"/>
          <w:lang w:eastAsia="zh-CN"/>
        </w:rPr>
        <w:t>。</w:t>
      </w:r>
    </w:p>
    <w:p w14:paraId="0297943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lang w:eastAsia="zh-CN"/>
        </w:rPr>
        <w:t>需在投标文件中承诺</w:t>
      </w:r>
      <w:r>
        <w:rPr>
          <w:rFonts w:hint="eastAsia" w:ascii="宋体" w:hAnsi="宋体" w:eastAsia="宋体" w:cs="宋体"/>
          <w:color w:val="auto"/>
          <w:sz w:val="24"/>
          <w:highlight w:val="none"/>
        </w:rPr>
        <w:t>在确定中标人之前，</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不得与采购人就投标价格、投标方案等实质性内容进行谈判，也不得私下接触评委会成员。</w:t>
      </w:r>
    </w:p>
    <w:p w14:paraId="11BBD67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7.4在确定中标人之前，</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试图在投标文件审查、澄清、比较和评价时对评委会、采购人和采购中心施加任何影响都可能导致其投标无效。</w:t>
      </w:r>
    </w:p>
    <w:p w14:paraId="77C77101">
      <w:pPr>
        <w:spacing w:line="360" w:lineRule="auto"/>
        <w:ind w:firstLine="549"/>
        <w:rPr>
          <w:rFonts w:hint="eastAsia" w:ascii="宋体" w:hAnsi="宋体" w:cs="宋体"/>
          <w:color w:val="auto"/>
          <w:sz w:val="24"/>
          <w:highlight w:val="none"/>
          <w:lang w:val="en-US" w:eastAsia="zh-CN"/>
        </w:rPr>
      </w:pPr>
      <w:r>
        <w:rPr>
          <w:rFonts w:hint="eastAsia" w:ascii="宋体" w:hAnsi="宋体" w:eastAsia="宋体" w:cs="宋体"/>
          <w:color w:val="auto"/>
          <w:sz w:val="24"/>
          <w:highlight w:val="none"/>
        </w:rPr>
        <w:t>7.5由采购人向</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提供的图纸、详细资料、样品、模型、模件和所有其它资料，被视为保密资料，仅被用于它所规定的用途。除非得到采购人的同意，不能向任何第三方透露。开标结束后，应采购人要求，</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应归还所有从采购人处获得的保密资料。</w:t>
      </w:r>
      <w:r>
        <w:rPr>
          <w:rFonts w:hint="eastAsia" w:ascii="宋体" w:hAnsi="宋体" w:cs="宋体"/>
          <w:color w:val="auto"/>
          <w:sz w:val="24"/>
          <w:highlight w:val="none"/>
          <w:lang w:val="en-US" w:eastAsia="zh-CN"/>
        </w:rPr>
        <w:t>供应商需在投标文件中对此项做出承诺。</w:t>
      </w:r>
    </w:p>
    <w:p w14:paraId="152F4636">
      <w:pPr>
        <w:pageBreakBefore w:val="0"/>
        <w:widowControl w:val="0"/>
        <w:kinsoku/>
        <w:wordWrap/>
        <w:overflowPunct/>
        <w:topLinePunct w:val="0"/>
        <w:autoSpaceDE/>
        <w:autoSpaceDN/>
        <w:bidi w:val="0"/>
        <w:adjustRightInd/>
        <w:spacing w:line="480" w:lineRule="exact"/>
        <w:ind w:firstLine="549"/>
        <w:textAlignment w:val="auto"/>
        <w:rPr>
          <w:rFonts w:hint="default" w:ascii="宋体" w:hAnsi="宋体" w:cs="宋体"/>
          <w:color w:val="auto"/>
          <w:sz w:val="24"/>
          <w:highlight w:val="none"/>
          <w:lang w:val="en-US" w:eastAsia="zh-CN"/>
        </w:rPr>
      </w:pPr>
      <w:r>
        <w:rPr>
          <w:rFonts w:hint="eastAsia" w:ascii="宋体" w:hAnsi="宋体" w:eastAsia="宋体" w:cs="宋体"/>
          <w:color w:val="auto"/>
          <w:sz w:val="24"/>
          <w:highlight w:val="none"/>
        </w:rPr>
        <w:t>7.6参与采购竞标活动的各方应对招标文件和招标文件中的商业和技术等秘密保密，违者应对由此造成的后果承担法律责任。对上述作出书面承诺并附投标文件中，否则视为不响应招标文件要求。</w:t>
      </w:r>
    </w:p>
    <w:p w14:paraId="4FFD3A37">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8.联合体投标</w:t>
      </w:r>
    </w:p>
    <w:p w14:paraId="4583526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不接受联合体投标</w:t>
      </w:r>
    </w:p>
    <w:p w14:paraId="335A9590">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9.投标品牌</w:t>
      </w:r>
    </w:p>
    <w:p w14:paraId="1F903C1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9.1招标文件中提供的参考商标、品牌或标准（包括工艺、材料、设备、样本目录号码、标准等），是采购人为了方便</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更准确、更清楚说明拟采购货物、服务的技术规格和标准，并无限制性。</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在投标中若选用替代商标、品牌或标准，应优于或相当于参考商标、品牌或标准。</w:t>
      </w:r>
    </w:p>
    <w:p w14:paraId="31F651DE">
      <w:pPr>
        <w:spacing w:line="360" w:lineRule="auto"/>
        <w:ind w:firstLine="52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10.投标专用章的效力</w:t>
      </w:r>
    </w:p>
    <w:p w14:paraId="0D13A5EB">
      <w:pPr>
        <w:spacing w:line="360" w:lineRule="auto"/>
        <w:ind w:firstLine="525"/>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10.1招标文件中明确要求加盖电子签章的，投标人必须加盖投标人电子签章。生成后的电子投标文件需要加盖供应商骑缝章、法定代表人或委托代理人逐页签字盖章</w:t>
      </w:r>
      <w:r>
        <w:rPr>
          <w:rFonts w:hint="eastAsia" w:ascii="宋体" w:hAnsi="宋体" w:cs="宋体"/>
          <w:color w:val="auto"/>
          <w:sz w:val="24"/>
          <w:highlight w:val="none"/>
        </w:rPr>
        <w:t>。</w:t>
      </w:r>
    </w:p>
    <w:p w14:paraId="761A4F92">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11.合同标的转让</w:t>
      </w:r>
    </w:p>
    <w:p w14:paraId="16FFDA43">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11.1合同未约定或者未经采购人同意，中标人不得向他人转让中标项目，也不得将中标项目肢解后分别向他人转让。</w:t>
      </w:r>
      <w:r>
        <w:rPr>
          <w:rFonts w:hint="eastAsia" w:ascii="宋体" w:hAnsi="宋体" w:cs="宋体"/>
          <w:color w:val="auto"/>
          <w:sz w:val="24"/>
          <w:highlight w:val="none"/>
        </w:rPr>
        <w:t>对上述</w:t>
      </w:r>
      <w:r>
        <w:rPr>
          <w:rFonts w:hint="eastAsia" w:ascii="宋体" w:hAnsi="宋体" w:cs="宋体"/>
          <w:color w:val="auto"/>
          <w:sz w:val="24"/>
          <w:highlight w:val="none"/>
          <w:lang w:val="en-US" w:eastAsia="zh-CN"/>
        </w:rPr>
        <w:t>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w:t>
      </w:r>
      <w:r>
        <w:rPr>
          <w:rFonts w:hint="eastAsia" w:ascii="宋体" w:hAnsi="宋体" w:cs="宋体"/>
          <w:color w:val="auto"/>
          <w:sz w:val="24"/>
          <w:highlight w:val="none"/>
        </w:rPr>
        <w:t>投标文件中</w:t>
      </w:r>
      <w:r>
        <w:rPr>
          <w:rFonts w:hint="eastAsia" w:ascii="宋体" w:hAnsi="宋体" w:cs="宋体"/>
          <w:color w:val="auto"/>
          <w:sz w:val="24"/>
          <w:highlight w:val="none"/>
          <w:lang w:val="en-US" w:eastAsia="zh-CN"/>
        </w:rPr>
        <w:t>体现出来，作为响应招标文件实质性内容。</w:t>
      </w:r>
    </w:p>
    <w:p w14:paraId="2A5E23DD">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2117057">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11.3中标人应当就分包项目向采购人负责，接受分包的人就分包项目承担连带责任。</w:t>
      </w:r>
    </w:p>
    <w:p w14:paraId="0925FB9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11.4未经政府采购管理部门批准，进口设备不得转包。</w:t>
      </w:r>
    </w:p>
    <w:p w14:paraId="305E8A80">
      <w:pPr>
        <w:spacing w:line="360" w:lineRule="auto"/>
        <w:ind w:firstLine="525" w:firstLineChars="218"/>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12.会员信息库</w:t>
      </w:r>
    </w:p>
    <w:p w14:paraId="727E22CE">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12.1为进一步规范招投标行为，提高招投标工作效率，降低投标成本，加强对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诚信信息的管理，加快周口市招投标工作电子化、信息化建设，为周口市公共资源交易中心实行网上招投标奠定基础，经周口市公共资源交易管理办公室研究决定，周口市公共资源交易中心实行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会员信息库制度，并面向全国免费征集注册投标企业会员。</w:t>
      </w:r>
    </w:p>
    <w:p w14:paraId="6F8FFF2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12.2入库资料的真实性、有效性、完整性、准确性、合法性及清晰度由</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负责。周口市公共资源交易中心只负责对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所提供的入库资料原件与上传扫描件进行比对；本项目所需会员库资料有效性由本项目评委会负责审核。</w:t>
      </w:r>
    </w:p>
    <w:p w14:paraId="05BF3BB5">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为确保投标文件通过评审，</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应及时对入库资料进行补充、更新。</w:t>
      </w:r>
    </w:p>
    <w:p w14:paraId="663211C0">
      <w:pPr>
        <w:spacing w:line="360" w:lineRule="auto"/>
        <w:ind w:firstLine="523" w:firstLineChars="218"/>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供应商在投标文件中要体现</w:t>
      </w:r>
      <w:r>
        <w:rPr>
          <w:rFonts w:hint="eastAsia" w:ascii="宋体" w:hAnsi="宋体" w:eastAsia="宋体" w:cs="宋体"/>
          <w:color w:val="auto"/>
          <w:sz w:val="24"/>
          <w:highlight w:val="none"/>
        </w:rPr>
        <w:t>如因前款原因未通过本项目评委会评审，由</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承担全部责任</w:t>
      </w:r>
      <w:r>
        <w:rPr>
          <w:rFonts w:hint="eastAsia" w:ascii="宋体" w:hAnsi="宋体" w:cs="宋体"/>
          <w:color w:val="auto"/>
          <w:sz w:val="24"/>
          <w:highlight w:val="none"/>
          <w:lang w:eastAsia="zh-CN"/>
        </w:rPr>
        <w:t>的</w:t>
      </w:r>
      <w:r>
        <w:rPr>
          <w:rFonts w:hint="eastAsia" w:ascii="宋体" w:hAnsi="宋体" w:cs="宋体"/>
          <w:color w:val="auto"/>
          <w:sz w:val="24"/>
          <w:highlight w:val="none"/>
          <w:lang w:val="en-US" w:eastAsia="zh-CN"/>
        </w:rPr>
        <w:t>书面说明</w:t>
      </w:r>
      <w:r>
        <w:rPr>
          <w:rFonts w:hint="eastAsia" w:ascii="宋体" w:hAnsi="宋体" w:eastAsia="宋体" w:cs="宋体"/>
          <w:color w:val="auto"/>
          <w:sz w:val="24"/>
          <w:highlight w:val="none"/>
        </w:rPr>
        <w:t>。</w:t>
      </w:r>
    </w:p>
    <w:p w14:paraId="66AB0187">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12.3网上会员库中文字资料与扫描件资料不一致时，以扫描件资料为准。</w:t>
      </w:r>
    </w:p>
    <w:p w14:paraId="7AB21B8D">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12.4有关会员库的更多信息，请登陆周口市公共资源交易中心网查询。</w:t>
      </w:r>
    </w:p>
    <w:p w14:paraId="147B3EA5">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13.采购信息的发布</w:t>
      </w:r>
    </w:p>
    <w:p w14:paraId="78E0D923">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44471B01">
      <w:pPr>
        <w:pStyle w:val="4"/>
        <w:spacing w:line="360" w:lineRule="auto"/>
        <w:ind w:firstLine="3418" w:firstLineChars="1216"/>
        <w:jc w:val="both"/>
        <w:rPr>
          <w:rFonts w:hint="eastAsia" w:ascii="宋体" w:hAnsi="宋体" w:eastAsia="宋体" w:cs="宋体"/>
          <w:color w:val="auto"/>
          <w:sz w:val="28"/>
          <w:highlight w:val="none"/>
        </w:rPr>
      </w:pPr>
      <w:bookmarkStart w:id="84" w:name="_Hlt509650929"/>
      <w:bookmarkEnd w:id="84"/>
      <w:bookmarkStart w:id="85" w:name="_Hlt509650932"/>
      <w:bookmarkEnd w:id="85"/>
      <w:bookmarkStart w:id="86" w:name="_Hlt509650333"/>
      <w:bookmarkEnd w:id="86"/>
      <w:bookmarkStart w:id="87" w:name="_Hlt509650936"/>
      <w:bookmarkEnd w:id="87"/>
      <w:bookmarkStart w:id="88" w:name="_Hlt526418153"/>
      <w:bookmarkEnd w:id="88"/>
      <w:bookmarkStart w:id="89" w:name="_Hlt509649669"/>
      <w:bookmarkEnd w:id="89"/>
      <w:bookmarkStart w:id="90" w:name="_Hlt509650103"/>
      <w:bookmarkEnd w:id="90"/>
      <w:bookmarkStart w:id="91" w:name="_Hlt509649678"/>
      <w:bookmarkEnd w:id="91"/>
      <w:bookmarkStart w:id="92" w:name="_Hlt509650961"/>
      <w:bookmarkEnd w:id="92"/>
      <w:bookmarkStart w:id="93" w:name="_Hlt509649795"/>
      <w:bookmarkEnd w:id="93"/>
      <w:bookmarkStart w:id="94" w:name="_Hlt509650116"/>
      <w:bookmarkEnd w:id="94"/>
      <w:bookmarkStart w:id="95" w:name="_Hlt509649645"/>
      <w:bookmarkEnd w:id="95"/>
      <w:bookmarkStart w:id="96" w:name="_Hlt509650690"/>
      <w:bookmarkEnd w:id="96"/>
      <w:bookmarkStart w:id="97" w:name="_Hlt509649330"/>
      <w:bookmarkEnd w:id="97"/>
      <w:bookmarkStart w:id="98" w:name="_Toc527725923"/>
      <w:bookmarkStart w:id="99" w:name="_Toc5653"/>
      <w:bookmarkStart w:id="100" w:name="_Toc40975443"/>
      <w:bookmarkStart w:id="101" w:name="_Toc16689"/>
      <w:bookmarkStart w:id="102" w:name="_Toc7614"/>
      <w:r>
        <w:rPr>
          <w:rFonts w:hint="eastAsia" w:ascii="宋体" w:hAnsi="宋体" w:eastAsia="宋体" w:cs="宋体"/>
          <w:color w:val="auto"/>
          <w:sz w:val="28"/>
          <w:highlight w:val="none"/>
        </w:rPr>
        <w:t>二．招标文件</w:t>
      </w:r>
      <w:bookmarkEnd w:id="98"/>
      <w:bookmarkEnd w:id="99"/>
      <w:bookmarkEnd w:id="100"/>
      <w:bookmarkEnd w:id="101"/>
      <w:bookmarkEnd w:id="102"/>
      <w:bookmarkStart w:id="103" w:name="_Hlt509649791"/>
      <w:bookmarkEnd w:id="103"/>
      <w:bookmarkStart w:id="104" w:name="_Hlt509649930"/>
      <w:bookmarkEnd w:id="104"/>
      <w:bookmarkStart w:id="105" w:name="_Hlt509650361"/>
      <w:bookmarkEnd w:id="105"/>
    </w:p>
    <w:p w14:paraId="7F070851">
      <w:pPr>
        <w:spacing w:line="360" w:lineRule="auto"/>
        <w:ind w:firstLine="549"/>
        <w:rPr>
          <w:rFonts w:hint="eastAsia" w:ascii="宋体" w:hAnsi="宋体" w:eastAsia="宋体" w:cs="宋体"/>
          <w:b/>
          <w:color w:val="auto"/>
          <w:sz w:val="24"/>
          <w:highlight w:val="none"/>
        </w:rPr>
      </w:pPr>
      <w:bookmarkStart w:id="106" w:name="_Hlt509650734"/>
      <w:bookmarkEnd w:id="106"/>
      <w:r>
        <w:rPr>
          <w:rFonts w:hint="eastAsia" w:ascii="宋体" w:hAnsi="宋体" w:eastAsia="宋体" w:cs="宋体"/>
          <w:b/>
          <w:color w:val="auto"/>
          <w:sz w:val="24"/>
          <w:highlight w:val="none"/>
        </w:rPr>
        <w:t>14.招标文件构成</w:t>
      </w:r>
    </w:p>
    <w:p w14:paraId="06F359A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14.1招标文件包括以下部分：</w:t>
      </w:r>
    </w:p>
    <w:p w14:paraId="56E83B92">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14.1.1第一章：</w:t>
      </w:r>
      <w:r>
        <w:rPr>
          <w:rFonts w:hint="eastAsia" w:ascii="宋体" w:hAnsi="宋体" w:eastAsia="宋体" w:cs="宋体"/>
          <w:bCs/>
          <w:color w:val="auto"/>
          <w:sz w:val="24"/>
          <w:highlight w:val="none"/>
        </w:rPr>
        <w:t>投标邀请（招标公告）；</w:t>
      </w:r>
    </w:p>
    <w:p w14:paraId="2D8DE2D7">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14.1.2第二章：</w:t>
      </w:r>
      <w:bookmarkStart w:id="107" w:name="_Hlt509650925"/>
      <w:bookmarkEnd w:id="107"/>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须知前附表；</w:t>
      </w:r>
    </w:p>
    <w:p w14:paraId="74677D3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14.1.3第三章：</w:t>
      </w:r>
      <w:r>
        <w:rPr>
          <w:rFonts w:hint="eastAsia" w:ascii="宋体" w:hAnsi="宋体" w:eastAsia="宋体" w:cs="宋体"/>
          <w:bCs/>
          <w:color w:val="auto"/>
          <w:sz w:val="24"/>
          <w:highlight w:val="none"/>
        </w:rPr>
        <w:t>需求一览表；</w:t>
      </w:r>
    </w:p>
    <w:p w14:paraId="49D66355">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14.1.4第四章：</w:t>
      </w:r>
      <w:r>
        <w:rPr>
          <w:rFonts w:hint="eastAsia" w:ascii="宋体" w:hAnsi="宋体" w:eastAsia="宋体" w:cs="宋体"/>
          <w:bCs/>
          <w:color w:val="auto"/>
          <w:sz w:val="24"/>
          <w:highlight w:val="none"/>
        </w:rPr>
        <w:t>评标办法；</w:t>
      </w:r>
    </w:p>
    <w:p w14:paraId="49978F7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14.1.5第五章：</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须知；</w:t>
      </w:r>
    </w:p>
    <w:p w14:paraId="4554EF57">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14.1.6第六章：</w:t>
      </w:r>
      <w:r>
        <w:rPr>
          <w:rFonts w:hint="eastAsia" w:ascii="宋体" w:hAnsi="宋体" w:eastAsia="宋体" w:cs="宋体"/>
          <w:bCs/>
          <w:color w:val="auto"/>
          <w:sz w:val="24"/>
          <w:highlight w:val="none"/>
        </w:rPr>
        <w:t>采购合同；</w:t>
      </w:r>
    </w:p>
    <w:p w14:paraId="3BE7D246">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14.1.7第七章：</w:t>
      </w:r>
      <w:r>
        <w:rPr>
          <w:rFonts w:hint="eastAsia" w:ascii="宋体" w:hAnsi="宋体" w:eastAsia="宋体" w:cs="宋体"/>
          <w:bCs/>
          <w:color w:val="auto"/>
          <w:sz w:val="24"/>
          <w:highlight w:val="none"/>
        </w:rPr>
        <w:t>投标文件格式；</w:t>
      </w:r>
    </w:p>
    <w:p w14:paraId="3A0B3D9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bCs/>
          <w:color w:val="auto"/>
          <w:sz w:val="24"/>
          <w:highlight w:val="none"/>
        </w:rPr>
        <w:t>14.1.8周口市公共资源交易中心政府采购中心发布的</w:t>
      </w:r>
      <w:r>
        <w:rPr>
          <w:rFonts w:hint="eastAsia" w:ascii="宋体" w:hAnsi="宋体" w:eastAsia="宋体" w:cs="宋体"/>
          <w:color w:val="auto"/>
          <w:sz w:val="24"/>
          <w:highlight w:val="none"/>
        </w:rPr>
        <w:t>图纸、答疑、补遗、补充通知等。</w:t>
      </w:r>
    </w:p>
    <w:p w14:paraId="13AED51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14.2 </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应认真阅读招标文件中所有的事项、格式、条件、条款和规范等要求。</w:t>
      </w:r>
    </w:p>
    <w:p w14:paraId="50261CB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应当按照招标文件的要求编制投标文件。投标文件应对招标文件提出的要求和条件作出实质性响应。</w:t>
      </w:r>
      <w:r>
        <w:rPr>
          <w:rFonts w:hint="eastAsia" w:ascii="宋体" w:hAnsi="宋体"/>
          <w:color w:val="auto"/>
          <w:sz w:val="24"/>
          <w:highlight w:val="none"/>
        </w:rPr>
        <w:t>如果有异议在规定的时间内提出，没有异议需做出“无异议”承诺书，承诺书作为响应文件的组织部分，否则为无效响应文件。</w:t>
      </w:r>
    </w:p>
    <w:p w14:paraId="7E130D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14.4</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获取招标文件后，应仔细检查招标文件的所有内容，如有残缺等问题应在获得招标文件3日内向</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提出，否则，由此引起的损失由</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自行承担。</w:t>
      </w:r>
    </w:p>
    <w:p w14:paraId="79C53BF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07EEB37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15.1</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对招标文件进行的澄清、更正或更改，将在网站上及时发布，该公告内容为招标文件的组成部分，对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具有同样约束力。澄清或者修改的内容可能影响投标文件编制的，采购人或者采购代理机构在投标截止时间至少15日前，将在网站上及时发布</w:t>
      </w:r>
      <w:r>
        <w:rPr>
          <w:rFonts w:hint="eastAsia" w:ascii="宋体" w:hAnsi="宋体" w:eastAsia="宋体" w:cs="宋体"/>
          <w:color w:val="auto"/>
          <w:sz w:val="24"/>
          <w:highlight w:val="none"/>
          <w:lang w:val="en-US" w:eastAsia="zh-CN"/>
        </w:rPr>
        <w:t>通知</w:t>
      </w:r>
      <w:r>
        <w:rPr>
          <w:rFonts w:hint="eastAsia" w:ascii="宋体" w:hAnsi="宋体" w:eastAsia="宋体" w:cs="宋体"/>
          <w:color w:val="auto"/>
          <w:sz w:val="24"/>
          <w:highlight w:val="none"/>
        </w:rPr>
        <w:t>所有获取招标文件的潜在</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；不足15日的，采购人或者采购代理机构应当顺延提交投标文件的截止时间</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应主动上网查询。</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不承担</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未及时关注相关信息引发的相关责任。</w:t>
      </w:r>
    </w:p>
    <w:p w14:paraId="410AAE9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15.2在投标截止时间前，</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和</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在投标截止期方面的全部权力、责任和义务，将适用于延长后新的投标截止期。</w:t>
      </w:r>
    </w:p>
    <w:p w14:paraId="0C7532C1">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15.3特殊情况下，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发布澄清、更正或更改公告后，可不改变投标截止时间和开标时间。</w:t>
      </w:r>
    </w:p>
    <w:p w14:paraId="03C9A53A">
      <w:pPr>
        <w:pStyle w:val="4"/>
        <w:spacing w:line="360" w:lineRule="auto"/>
        <w:ind w:firstLine="2715" w:firstLineChars="966"/>
        <w:jc w:val="both"/>
        <w:rPr>
          <w:rFonts w:hint="eastAsia" w:ascii="宋体" w:hAnsi="宋体" w:eastAsia="宋体" w:cs="宋体"/>
          <w:color w:val="auto"/>
          <w:sz w:val="28"/>
          <w:highlight w:val="none"/>
        </w:rPr>
      </w:pPr>
      <w:bookmarkStart w:id="108" w:name="_Hlt509650697"/>
      <w:bookmarkEnd w:id="108"/>
      <w:bookmarkStart w:id="109" w:name="_Hlt510342861"/>
      <w:bookmarkEnd w:id="109"/>
      <w:bookmarkStart w:id="110" w:name="_Hlt509649724"/>
      <w:bookmarkEnd w:id="110"/>
      <w:bookmarkStart w:id="111" w:name="_Toc29307"/>
      <w:bookmarkStart w:id="112" w:name="_Toc30687"/>
      <w:bookmarkStart w:id="113" w:name="_Toc25639"/>
      <w:bookmarkStart w:id="114" w:name="_Toc527725924"/>
      <w:bookmarkStart w:id="115" w:name="_Toc40975444"/>
      <w:r>
        <w:rPr>
          <w:rFonts w:hint="eastAsia" w:ascii="宋体" w:hAnsi="宋体" w:eastAsia="宋体" w:cs="宋体"/>
          <w:color w:val="auto"/>
          <w:sz w:val="28"/>
          <w:highlight w:val="none"/>
        </w:rPr>
        <w:t>三．投标文件的编制</w:t>
      </w:r>
      <w:bookmarkEnd w:id="111"/>
      <w:bookmarkEnd w:id="112"/>
      <w:bookmarkEnd w:id="113"/>
      <w:bookmarkEnd w:id="114"/>
      <w:bookmarkEnd w:id="115"/>
    </w:p>
    <w:p w14:paraId="57714E80">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16.投标文件构成与格式</w:t>
      </w:r>
    </w:p>
    <w:p w14:paraId="1CDEEC2C">
      <w:pPr>
        <w:spacing w:line="360" w:lineRule="auto"/>
        <w:ind w:firstLine="550"/>
        <w:rPr>
          <w:rFonts w:hint="eastAsia" w:ascii="宋体" w:hAnsi="宋体" w:eastAsia="宋体" w:cs="宋体"/>
          <w:color w:val="auto"/>
          <w:sz w:val="24"/>
          <w:highlight w:val="none"/>
        </w:rPr>
      </w:pPr>
      <w:bookmarkStart w:id="116" w:name="_Hlt509650345"/>
      <w:bookmarkEnd w:id="116"/>
      <w:r>
        <w:rPr>
          <w:rFonts w:hint="eastAsia" w:ascii="宋体" w:hAnsi="宋体" w:eastAsia="宋体" w:cs="宋体"/>
          <w:color w:val="auto"/>
          <w:sz w:val="24"/>
          <w:highlight w:val="none"/>
        </w:rPr>
        <w:t>16.1投标文件是对招标文件的实质性响应及承诺文件。</w:t>
      </w:r>
    </w:p>
    <w:p w14:paraId="76EB1014">
      <w:pPr>
        <w:spacing w:line="360" w:lineRule="auto"/>
        <w:ind w:firstLine="5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w:t>
      </w:r>
      <w:r>
        <w:rPr>
          <w:rFonts w:hint="eastAsia" w:ascii="宋体" w:hAnsi="宋体" w:eastAsia="宋体" w:cs="宋体"/>
          <w:bCs/>
          <w:color w:val="auto"/>
          <w:sz w:val="24"/>
          <w:highlight w:val="none"/>
        </w:rPr>
        <w:t>除非注明“</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可自行制作格式”，投标文件应使用招标文件提供的格式。</w:t>
      </w:r>
    </w:p>
    <w:p w14:paraId="4C9EB229">
      <w:pPr>
        <w:spacing w:line="360" w:lineRule="auto"/>
        <w:ind w:firstLine="550"/>
        <w:rPr>
          <w:rFonts w:hint="eastAsia" w:ascii="宋体" w:hAnsi="宋体" w:eastAsia="宋体" w:cs="宋体"/>
          <w:color w:val="auto"/>
          <w:sz w:val="24"/>
          <w:highlight w:val="none"/>
        </w:rPr>
      </w:pPr>
      <w:r>
        <w:rPr>
          <w:rFonts w:hint="eastAsia" w:ascii="宋体" w:hAnsi="宋体" w:eastAsia="宋体" w:cs="宋体"/>
          <w:bCs/>
          <w:color w:val="auto"/>
          <w:sz w:val="24"/>
          <w:highlight w:val="none"/>
        </w:rPr>
        <w:t>16.3除专用术语外，投标文件以及</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与采购人就有关投标的往来函电均应使用中文。</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提交的支持性文件和印制的文件可以用另一种语言，但相应内容应翻译成中文，对不同文字文本投标文件的解释发生异议的，以中文文本为准。</w:t>
      </w:r>
    </w:p>
    <w:p w14:paraId="497F57F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16.4除非招标文件另有规定，投标文件应使用中华人民共和国法定计量单位。</w:t>
      </w:r>
    </w:p>
    <w:p w14:paraId="0F6034B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7B84548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16.6</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文件应编制详细目录、连续页码，每个页面应在明显位置编制页码和总页码并页码居中；除特殊规格的图纸或方案、图片资料等外，均应按A4规格制作。</w:t>
      </w:r>
    </w:p>
    <w:p w14:paraId="1131A288">
      <w:pPr>
        <w:pStyle w:val="21"/>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16.7投标文件封面应列明项目名称、采购编号、供应商名称、地址被授权人姓名及联系方式等信息。</w:t>
      </w:r>
    </w:p>
    <w:p w14:paraId="757A22DF">
      <w:pPr>
        <w:spacing w:line="360" w:lineRule="auto"/>
        <w:ind w:firstLine="550"/>
        <w:rPr>
          <w:rFonts w:hint="default" w:eastAsia="宋体"/>
          <w:color w:val="auto"/>
          <w:highlight w:val="none"/>
          <w:lang w:val="en-US" w:eastAsia="zh-CN"/>
        </w:rPr>
      </w:pPr>
      <w:r>
        <w:rPr>
          <w:rFonts w:hint="eastAsia" w:ascii="宋体" w:hAnsi="宋体" w:eastAsia="宋体" w:cs="宋体"/>
          <w:color w:val="auto"/>
          <w:sz w:val="24"/>
          <w:highlight w:val="none"/>
        </w:rPr>
        <w:t>16.</w:t>
      </w:r>
      <w:r>
        <w:rPr>
          <w:rFonts w:hint="eastAsia" w:ascii="宋体" w:hAnsi="宋体" w:cs="宋体"/>
          <w:color w:val="auto"/>
          <w:sz w:val="24"/>
          <w:highlight w:val="none"/>
          <w:lang w:val="en-US" w:eastAsia="zh-CN"/>
        </w:rPr>
        <w:t>8</w:t>
      </w:r>
      <w:r>
        <w:rPr>
          <w:rFonts w:hint="eastAsia" w:ascii="宋体" w:hAnsi="宋体" w:eastAsia="宋体" w:cs="宋体"/>
          <w:color w:val="auto"/>
          <w:kern w:val="2"/>
          <w:sz w:val="24"/>
          <w:highlight w:val="none"/>
          <w:lang w:val="en-US" w:eastAsia="zh-CN" w:bidi="ar-SA"/>
        </w:rPr>
        <w:t>电子投标文</w:t>
      </w:r>
      <w:r>
        <w:rPr>
          <w:rFonts w:hint="eastAsia" w:ascii="宋体" w:hAnsi="宋体" w:cs="宋体"/>
          <w:color w:val="auto"/>
          <w:kern w:val="2"/>
          <w:sz w:val="24"/>
          <w:highlight w:val="none"/>
          <w:lang w:val="en-US" w:eastAsia="zh-CN" w:bidi="ar-SA"/>
        </w:rPr>
        <w:t>件</w:t>
      </w:r>
      <w:r>
        <w:rPr>
          <w:rFonts w:hint="eastAsia" w:ascii="宋体" w:hAnsi="宋体" w:eastAsia="宋体" w:cs="宋体"/>
          <w:color w:val="auto"/>
          <w:kern w:val="2"/>
          <w:sz w:val="24"/>
          <w:highlight w:val="none"/>
          <w:lang w:val="en-US" w:eastAsia="zh-CN" w:bidi="ar-SA"/>
        </w:rPr>
        <w:t>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781B5504">
      <w:pPr>
        <w:spacing w:line="360" w:lineRule="auto"/>
        <w:ind w:firstLine="550"/>
        <w:rPr>
          <w:rFonts w:hint="eastAsia" w:ascii="宋体" w:hAnsi="宋体" w:eastAsia="宋体" w:cs="宋体"/>
          <w:color w:val="auto"/>
          <w:sz w:val="24"/>
          <w:highlight w:val="none"/>
        </w:rPr>
      </w:pPr>
      <w:r>
        <w:rPr>
          <w:rFonts w:hint="eastAsia" w:ascii="宋体" w:hAnsi="宋体" w:eastAsia="宋体" w:cs="宋体"/>
          <w:b/>
          <w:color w:val="auto"/>
          <w:sz w:val="24"/>
          <w:highlight w:val="none"/>
        </w:rPr>
        <w:t>17.报价</w:t>
      </w:r>
    </w:p>
    <w:p w14:paraId="310CD8C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17.1</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应以“包”为报价的基本单位。若整个需求分为若干包，则</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可选择其中的部分或所有包报价。包内所有项目均应报价（免费赠送的除外），否则将导致投标无效。</w:t>
      </w:r>
    </w:p>
    <w:p w14:paraId="23000B2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17.2</w:t>
      </w:r>
      <w:r>
        <w:rPr>
          <w:rFonts w:hint="eastAsia" w:ascii="宋体" w:hAnsi="宋体" w:cs="宋体"/>
          <w:color w:val="auto"/>
          <w:sz w:val="24"/>
          <w:highlight w:val="none"/>
          <w:lang w:eastAsia="zh-CN"/>
        </w:rPr>
        <w:t>供应商</w:t>
      </w:r>
      <w:r>
        <w:rPr>
          <w:rFonts w:hint="eastAsia" w:ascii="宋体" w:hAnsi="宋体" w:cs="宋体"/>
          <w:color w:val="auto"/>
          <w:sz w:val="24"/>
          <w:highlight w:val="none"/>
          <w:lang w:val="en-US" w:eastAsia="zh-CN"/>
        </w:rPr>
        <w:t>需书面承诺所投</w:t>
      </w:r>
      <w:r>
        <w:rPr>
          <w:rFonts w:hint="eastAsia" w:ascii="宋体" w:hAnsi="宋体" w:eastAsia="宋体" w:cs="宋体"/>
          <w:color w:val="auto"/>
          <w:sz w:val="24"/>
          <w:highlight w:val="none"/>
        </w:rPr>
        <w:t>报价应包含所投服务、保险、税费、包装、加工及加工损耗、运输、现场落地、安装及安装损耗、调试、检测验收和交付后约定期限内免费维保等工作所发生的一切应有费用。投标报价为签订合同的依据。</w:t>
      </w:r>
    </w:p>
    <w:p w14:paraId="423F0648">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应在投标文件中注明拟提供服务的单价明细和总价。</w:t>
      </w:r>
    </w:p>
    <w:p w14:paraId="25879C0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17.4除非招标文件另有规定，每一包只允许有一个最终报价，任何有选择的报价或替代方案将导致投标无效。</w:t>
      </w:r>
    </w:p>
    <w:p w14:paraId="258AB2B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17.5采购人不建议</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采用总价优惠或以总价百分比优惠的方式进行投标报价，其优惠可直接计算并体现在各项投标报价的单价中。</w:t>
      </w:r>
    </w:p>
    <w:p w14:paraId="51736E8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17.6除政策性文件规定以外，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所报价格在合同实施期间不因市场变化因素而变动。</w:t>
      </w:r>
    </w:p>
    <w:p w14:paraId="2409A64B">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18.投标内容填写及说明</w:t>
      </w:r>
    </w:p>
    <w:p w14:paraId="07FD1846">
      <w:pPr>
        <w:spacing w:line="360" w:lineRule="auto"/>
        <w:ind w:firstLine="54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18.1投标文件须对招标文件载明的投标资格、技术、资信、服务、报价等全部要求和条件做出实质性和完整的响应，</w:t>
      </w:r>
      <w:r>
        <w:rPr>
          <w:rFonts w:hint="eastAsia" w:ascii="宋体" w:hAnsi="宋体" w:eastAsia="宋体" w:cs="宋体"/>
          <w:color w:val="auto"/>
          <w:sz w:val="24"/>
          <w:highlight w:val="none"/>
          <w:lang w:eastAsia="zh-CN"/>
        </w:rPr>
        <w:t>在投标文件中承诺</w:t>
      </w:r>
      <w:r>
        <w:rPr>
          <w:rFonts w:hint="eastAsia" w:ascii="宋体" w:hAnsi="宋体" w:eastAsia="宋体" w:cs="宋体"/>
          <w:color w:val="auto"/>
          <w:sz w:val="24"/>
          <w:highlight w:val="none"/>
        </w:rPr>
        <w:t>如果投标文件填报的内容资料不详，或没有提供招标文件中所要求的全部资料、证明及数据，将导致投标无效。</w:t>
      </w:r>
    </w:p>
    <w:p w14:paraId="5521399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18.2投标人应在投标文件中提交招标文件要求的有关证明文件（扫描或影印件上传），作为其投标文件的一部分</w:t>
      </w:r>
    </w:p>
    <w:p w14:paraId="4BD7754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18.3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应在投标文件中提交（以扫描件或影印件上传）招标文件要求的所有服务的合格性以及符合招标文件规定的证明文件（可以是手册、图纸和资料）等，并作为其投标文件的一部分。包括：</w:t>
      </w:r>
    </w:p>
    <w:p w14:paraId="2BE7C0F5">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18.3.1服务主要性能（内容）的详细描述；</w:t>
      </w:r>
    </w:p>
    <w:p w14:paraId="3D6F277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18.3.2</w:t>
      </w:r>
      <w:r>
        <w:rPr>
          <w:rFonts w:hint="eastAsia" w:ascii="宋体" w:hAnsi="宋体" w:cs="宋体"/>
          <w:color w:val="auto"/>
          <w:sz w:val="24"/>
          <w:highlight w:val="none"/>
          <w:lang w:val="en-US" w:eastAsia="zh-CN"/>
        </w:rPr>
        <w:t>供应商</w:t>
      </w:r>
      <w:r>
        <w:rPr>
          <w:rFonts w:hint="eastAsia" w:ascii="宋体" w:hAnsi="宋体" w:eastAsia="宋体" w:cs="宋体"/>
          <w:color w:val="auto"/>
          <w:sz w:val="24"/>
          <w:highlight w:val="none"/>
        </w:rPr>
        <w:t>保证所投服务正常、安全、连续运行期间所需的所有备品、备件及专用工具的详细清单。</w:t>
      </w:r>
    </w:p>
    <w:p w14:paraId="16640CB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18.4投标文件应编排有序、内容齐全、不得任意涂改或增删。如有错漏处必须修改，应在修改处加盖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电子公章。</w:t>
      </w:r>
    </w:p>
    <w:p w14:paraId="32EFD235">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18.5</w:t>
      </w:r>
      <w:r>
        <w:rPr>
          <w:rFonts w:hint="eastAsia" w:ascii="宋体" w:hAnsi="宋体" w:eastAsia="宋体" w:cs="宋体"/>
          <w:color w:val="auto"/>
          <w:sz w:val="24"/>
          <w:highlight w:val="none"/>
          <w:lang w:val="en-US"/>
        </w:rPr>
        <w:t>投标文件应对招标文件提出的要求和条件作出实质性响应。</w:t>
      </w:r>
      <w:r>
        <w:rPr>
          <w:rFonts w:hint="eastAsia" w:ascii="宋体" w:hAnsi="宋体" w:eastAsia="宋体" w:cs="宋体"/>
          <w:color w:val="auto"/>
          <w:sz w:val="24"/>
          <w:highlight w:val="none"/>
        </w:rPr>
        <w:t>提交的资料应证明其满足招标文件要求并在材料上面标注“与原件一致”字样，该文件包括资格材料、文字资料、图纸和数据等详细描述的资料,否则视为不响应招标文件。</w:t>
      </w:r>
    </w:p>
    <w:p w14:paraId="3F581F6E">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19.投标保证金（免收）</w:t>
      </w:r>
    </w:p>
    <w:p w14:paraId="7938AAA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20.投标有效期</w:t>
      </w:r>
    </w:p>
    <w:p w14:paraId="5AF0099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20.1为保证采购人有足够的时间完成评标和与中标人签订合同，规定投标有效期。投标有效期期限见</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须知前附表。</w:t>
      </w:r>
    </w:p>
    <w:p w14:paraId="287BE31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20.2在投标有效期内，</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的投标保持有效，</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不得要求撤销或修改其投标文件。</w:t>
      </w:r>
    </w:p>
    <w:p w14:paraId="43A59EC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20.3投标有效期从投标截止日起计算。</w:t>
      </w:r>
    </w:p>
    <w:p w14:paraId="4945F55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20.4在原定投标有效期满之前，如果出现特殊情况，</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可以书面形式提出延长投标有效期的要求。</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以书面形式予以答复，</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可以拒绝这种要求而不被没收投标保证金。同意延长投标有效期的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不允许修改其投标文件的实质性内容，且需要相应地延长投标保证金的有效期。</w:t>
      </w:r>
    </w:p>
    <w:p w14:paraId="39A90CD2">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21.投标文件份数和签署</w:t>
      </w:r>
    </w:p>
    <w:p w14:paraId="417D6A3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应按照</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须知前附表的要求准备投标文件。</w:t>
      </w:r>
    </w:p>
    <w:p w14:paraId="26CCC0EC">
      <w:pPr>
        <w:spacing w:line="360" w:lineRule="auto"/>
        <w:ind w:firstLine="550"/>
        <w:rPr>
          <w:rFonts w:hint="eastAsia" w:ascii="宋体" w:hAnsi="宋体" w:eastAsia="宋体" w:cs="宋体"/>
          <w:b/>
          <w:color w:val="auto"/>
          <w:sz w:val="24"/>
          <w:highlight w:val="none"/>
        </w:rPr>
      </w:pPr>
      <w:r>
        <w:rPr>
          <w:rFonts w:hint="eastAsia" w:ascii="宋体" w:hAnsi="宋体" w:eastAsia="宋体" w:cs="宋体"/>
          <w:color w:val="auto"/>
          <w:sz w:val="24"/>
          <w:highlight w:val="none"/>
        </w:rPr>
        <w:t>21.2投标文件均应依招标文件要求加盖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电子签章</w:t>
      </w:r>
      <w:r>
        <w:rPr>
          <w:rFonts w:hint="eastAsia" w:ascii="宋体" w:hAnsi="宋体" w:eastAsia="宋体" w:cs="宋体"/>
          <w:b/>
          <w:color w:val="auto"/>
          <w:sz w:val="24"/>
          <w:highlight w:val="none"/>
        </w:rPr>
        <w:t>。</w:t>
      </w:r>
    </w:p>
    <w:p w14:paraId="77A9A3C6">
      <w:pPr>
        <w:pStyle w:val="4"/>
        <w:spacing w:line="360" w:lineRule="auto"/>
        <w:ind w:firstLine="2715" w:firstLineChars="966"/>
        <w:jc w:val="both"/>
        <w:rPr>
          <w:rFonts w:hint="eastAsia" w:ascii="宋体" w:hAnsi="宋体" w:eastAsia="宋体" w:cs="宋体"/>
          <w:color w:val="auto"/>
          <w:sz w:val="28"/>
          <w:highlight w:val="none"/>
        </w:rPr>
      </w:pPr>
      <w:bookmarkStart w:id="117" w:name="_Hlt509650572"/>
      <w:bookmarkEnd w:id="117"/>
      <w:bookmarkStart w:id="118" w:name="_Toc40975445"/>
      <w:bookmarkStart w:id="119" w:name="_Toc527725925"/>
      <w:bookmarkStart w:id="120" w:name="_Toc860"/>
      <w:bookmarkStart w:id="121" w:name="_Toc3045"/>
      <w:bookmarkStart w:id="122" w:name="_Toc26995"/>
      <w:r>
        <w:rPr>
          <w:rFonts w:hint="eastAsia" w:ascii="宋体" w:hAnsi="宋体" w:eastAsia="宋体" w:cs="宋体"/>
          <w:color w:val="auto"/>
          <w:sz w:val="28"/>
          <w:highlight w:val="none"/>
        </w:rPr>
        <w:t>四．投标文件的递交</w:t>
      </w:r>
      <w:bookmarkEnd w:id="118"/>
      <w:bookmarkEnd w:id="119"/>
      <w:bookmarkEnd w:id="120"/>
      <w:bookmarkEnd w:id="121"/>
      <w:bookmarkEnd w:id="122"/>
      <w:bookmarkStart w:id="123" w:name="_Hlt509649414"/>
      <w:bookmarkEnd w:id="123"/>
    </w:p>
    <w:p w14:paraId="155A0288">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22.投标文件的密封和标记</w:t>
      </w:r>
    </w:p>
    <w:p w14:paraId="163FF57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971DE27">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23.投标文件的递交 </w:t>
      </w:r>
    </w:p>
    <w:p w14:paraId="0A45620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23.1</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应当在招标文件要求提交投标文件的截止时间前网上投标。</w:t>
      </w:r>
    </w:p>
    <w:p w14:paraId="6E97095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23.2在招标文件要求提交投标文件的截止时间之后制作上传的投标文件为无效投标文件，</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将拒绝接收。</w:t>
      </w:r>
    </w:p>
    <w:p w14:paraId="4337F919">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24.投标文件的修改和撤回</w:t>
      </w:r>
    </w:p>
    <w:p w14:paraId="5E96515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投标截止日期前，</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可以修改或撤回其投标文件；在投标截止时间后，</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不得再要求修改或撤回其投标文件。</w:t>
      </w:r>
    </w:p>
    <w:p w14:paraId="0C86E2EF">
      <w:pPr>
        <w:pStyle w:val="4"/>
        <w:spacing w:line="360" w:lineRule="auto"/>
        <w:ind w:firstLine="2996" w:firstLineChars="1066"/>
        <w:jc w:val="both"/>
        <w:rPr>
          <w:rFonts w:hint="eastAsia" w:ascii="宋体" w:hAnsi="宋体" w:eastAsia="宋体" w:cs="宋体"/>
          <w:color w:val="auto"/>
          <w:sz w:val="28"/>
          <w:highlight w:val="none"/>
        </w:rPr>
      </w:pPr>
      <w:bookmarkStart w:id="124" w:name="_Hlt509649294"/>
      <w:bookmarkEnd w:id="124"/>
      <w:bookmarkStart w:id="125" w:name="_Toc11404"/>
      <w:bookmarkStart w:id="126" w:name="_Toc5128"/>
      <w:bookmarkStart w:id="127" w:name="_Toc21729"/>
      <w:bookmarkStart w:id="128" w:name="_Toc40975446"/>
      <w:bookmarkStart w:id="129" w:name="_Toc527725926"/>
      <w:r>
        <w:rPr>
          <w:rFonts w:hint="eastAsia" w:ascii="宋体" w:hAnsi="宋体" w:eastAsia="宋体" w:cs="宋体"/>
          <w:color w:val="auto"/>
          <w:sz w:val="28"/>
          <w:highlight w:val="none"/>
        </w:rPr>
        <w:t>五．开标与评标</w:t>
      </w:r>
      <w:bookmarkEnd w:id="125"/>
      <w:bookmarkEnd w:id="126"/>
      <w:bookmarkEnd w:id="127"/>
      <w:bookmarkEnd w:id="128"/>
      <w:bookmarkEnd w:id="129"/>
    </w:p>
    <w:p w14:paraId="70956804">
      <w:pPr>
        <w:snapToGrid w:val="0"/>
        <w:spacing w:line="300" w:lineRule="auto"/>
        <w:ind w:firstLine="5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25.开标</w:t>
      </w:r>
    </w:p>
    <w:p w14:paraId="1D85C7F1">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25.1本项目实行网上远程开标无须到现场提交投标文件。投标文件提交及解密详见周口市公共资源交易中心网</w:t>
      </w:r>
      <w:r>
        <w:rPr>
          <w:rFonts w:hint="eastAsia" w:hAnsi="宋体" w:eastAsia="宋体" w:cs="宋体"/>
          <w:color w:val="auto"/>
          <w:sz w:val="24"/>
          <w:szCs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w:t>
      </w:r>
    </w:p>
    <w:p w14:paraId="2AE551D4">
      <w:pPr>
        <w:spacing w:line="360" w:lineRule="auto"/>
        <w:ind w:firstLine="549"/>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25.2开标时，各投标单位应在规定时间内对本单位的投标文件现场解密。在解密投标文件开始时30分钟内进行解密，超时视为放弃递交投标文件。</w:t>
      </w:r>
    </w:p>
    <w:p w14:paraId="7B82CE6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25.3投标资格及投标文件的法律文本将由评审委员会在评标前进行审查。资格不符合招标文件要求和相关法律规定的，投标无效。</w:t>
      </w:r>
    </w:p>
    <w:p w14:paraId="5B4FE5BD">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25.4开标时，周口市公共资源交易中心政府采购中心将通过网上开标系统公布</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名称、投标价格，以及周口市公共资源交易中心政府采购中心认为合适的其它详细内容。</w:t>
      </w:r>
    </w:p>
    <w:p w14:paraId="7F20108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25.5在评审结束前，未得到周口市公共资源交易中心政府采购中心允许，</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授权代表不得离开开标现场。</w:t>
      </w:r>
    </w:p>
    <w:p w14:paraId="52EE5F9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26.投标文件的澄清、说明或补正</w:t>
      </w:r>
    </w:p>
    <w:p w14:paraId="1A0132C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26.1为有助于投标的审查、评价和比较，评标委员会可以书面方式要求</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对投标文件中含义不明确、对同类问题表述不一致或者有明显文字和计算错误的内容作必要的澄清、说明或补正。澄清、说明或补正不得超出投标文件的范围或改变投标文件的实质性内容。</w:t>
      </w:r>
    </w:p>
    <w:p w14:paraId="4B061C0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BE06AA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开标一览表内容与投标文件中明细表内容不一致的，以开标一览表为准。</w:t>
      </w:r>
    </w:p>
    <w:p w14:paraId="6D85D3E4">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26.4 如同时出现26.2条和26.3条所述的不一致情况，以开标一览表为准。</w:t>
      </w:r>
    </w:p>
    <w:p w14:paraId="3F7A497B">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27.评标</w:t>
      </w:r>
    </w:p>
    <w:p w14:paraId="74C3FB78">
      <w:pPr>
        <w:spacing w:line="360" w:lineRule="auto"/>
        <w:ind w:firstLine="523" w:firstLineChars="218"/>
        <w:rPr>
          <w:rFonts w:hint="eastAsia" w:ascii="宋体" w:hAnsi="宋体" w:eastAsia="宋体" w:cs="宋体"/>
          <w:b/>
          <w:color w:val="auto"/>
          <w:sz w:val="24"/>
          <w:highlight w:val="none"/>
        </w:rPr>
      </w:pPr>
      <w:r>
        <w:rPr>
          <w:rFonts w:hint="eastAsia" w:ascii="宋体" w:hAnsi="宋体" w:eastAsia="宋体" w:cs="宋体"/>
          <w:color w:val="auto"/>
          <w:sz w:val="24"/>
          <w:highlight w:val="none"/>
        </w:rPr>
        <w:t>27.1 评委会将按照招标文件规定的评标办法对</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独立进行投标评审。投标评审分为符合性审查和综合评分。</w:t>
      </w:r>
    </w:p>
    <w:p w14:paraId="7F78157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的义务。这些偏离或保留将会对其他实质上响应要求的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的竞争地位产生不公正的影响。</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不得通过修改或撤销不合要求的偏离或保留而使其投标成为响应性的投标。</w:t>
      </w:r>
    </w:p>
    <w:p w14:paraId="5E37C6A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有下列情形之一的，评标委员会应当否决其投标：</w:t>
      </w:r>
    </w:p>
    <w:p w14:paraId="3EE2851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27.2.1投标文件未经投标单位电子签章的；</w:t>
      </w:r>
    </w:p>
    <w:p w14:paraId="607214C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w:t>
      </w:r>
      <w:r>
        <w:rPr>
          <w:rFonts w:hint="eastAsia" w:ascii="宋体" w:hAnsi="宋体" w:cs="宋体"/>
          <w:color w:val="auto"/>
          <w:sz w:val="24"/>
          <w:highlight w:val="none"/>
        </w:rPr>
        <w:t>投标文件中被授权人和法定代表人未附劳动合同的</w:t>
      </w:r>
      <w:r>
        <w:rPr>
          <w:rFonts w:hint="eastAsia" w:ascii="宋体" w:hAnsi="宋体" w:eastAsia="宋体" w:cs="宋体"/>
          <w:color w:val="auto"/>
          <w:sz w:val="24"/>
          <w:highlight w:val="none"/>
        </w:rPr>
        <w:t>；</w:t>
      </w:r>
    </w:p>
    <w:p w14:paraId="0CC7A99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27.2.3</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不符合国家或者招标文件规定的资格条件；</w:t>
      </w:r>
    </w:p>
    <w:p w14:paraId="7564AD0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27.2.4同一</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提交两个以上不同的投标文件或者投标报价，但招标文件要求提交备选投标的除外；</w:t>
      </w:r>
    </w:p>
    <w:p w14:paraId="2FA56CF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27.2.5投标报价或者某些分项报价明显不合理或者低于成本，有可能影响商品质量和不能诚信履约；</w:t>
      </w:r>
    </w:p>
    <w:p w14:paraId="303825C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27.2.6</w:t>
      </w:r>
      <w:r>
        <w:rPr>
          <w:rFonts w:hint="eastAsia" w:ascii="宋体" w:hAnsi="宋体" w:cs="宋体"/>
          <w:color w:val="auto"/>
          <w:sz w:val="24"/>
          <w:highlight w:val="none"/>
        </w:rPr>
        <w:t>投标人没有将“廉洁自律承诺书”附在投标（响应）文件中</w:t>
      </w:r>
      <w:r>
        <w:rPr>
          <w:rFonts w:hint="eastAsia" w:ascii="宋体" w:hAnsi="宋体" w:eastAsia="宋体" w:cs="宋体"/>
          <w:color w:val="auto"/>
          <w:sz w:val="24"/>
          <w:highlight w:val="none"/>
        </w:rPr>
        <w:t>；</w:t>
      </w:r>
    </w:p>
    <w:p w14:paraId="056DDB6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78C6EE9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有串通投标、弄虚作假、行贿等违法行为；</w:t>
      </w:r>
    </w:p>
    <w:p w14:paraId="3F1CFFB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 xml:space="preserve"> </w:t>
      </w:r>
      <w:r>
        <w:rPr>
          <w:rFonts w:hint="eastAsia" w:ascii="宋体" w:hAnsi="宋体" w:cs="宋体"/>
          <w:color w:val="auto"/>
          <w:sz w:val="24"/>
          <w:highlight w:val="none"/>
        </w:rPr>
        <w:t>投标文件未提供健全完善的财务、会计、公司管理制度</w:t>
      </w:r>
      <w:r>
        <w:rPr>
          <w:rFonts w:hint="eastAsia" w:ascii="宋体" w:hAnsi="宋体" w:eastAsia="宋体" w:cs="宋体"/>
          <w:color w:val="auto"/>
          <w:sz w:val="24"/>
          <w:highlight w:val="none"/>
        </w:rPr>
        <w:t>；</w:t>
      </w:r>
    </w:p>
    <w:p w14:paraId="7EBADE5E">
      <w:pPr>
        <w:spacing w:line="360" w:lineRule="auto"/>
        <w:ind w:firstLine="54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27.3如果投标文件未通过投标符合性审查，投标无效</w:t>
      </w:r>
      <w:r>
        <w:rPr>
          <w:rFonts w:hint="eastAsia" w:ascii="宋体" w:hAnsi="宋体" w:cs="宋体"/>
          <w:color w:val="auto"/>
          <w:sz w:val="24"/>
          <w:highlight w:val="none"/>
          <w:lang w:eastAsia="zh-CN"/>
        </w:rPr>
        <w:t>；</w:t>
      </w:r>
    </w:p>
    <w:p w14:paraId="5DDE835A">
      <w:pPr>
        <w:spacing w:line="360" w:lineRule="auto"/>
        <w:ind w:firstLine="54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27.4</w:t>
      </w:r>
      <w:r>
        <w:rPr>
          <w:rFonts w:hint="eastAsia" w:ascii="宋体" w:hAnsi="宋体" w:cs="宋体"/>
          <w:color w:val="auto"/>
          <w:sz w:val="24"/>
          <w:highlight w:val="none"/>
        </w:rPr>
        <w:t>投标人对投标质量无承诺的</w:t>
      </w:r>
      <w:r>
        <w:rPr>
          <w:rFonts w:hint="eastAsia" w:ascii="宋体" w:hAnsi="宋体" w:cs="宋体"/>
          <w:color w:val="auto"/>
          <w:sz w:val="24"/>
          <w:highlight w:val="none"/>
          <w:lang w:eastAsia="zh-CN"/>
        </w:rPr>
        <w:t>；</w:t>
      </w:r>
    </w:p>
    <w:p w14:paraId="3D38E352">
      <w:pPr>
        <w:spacing w:line="360" w:lineRule="auto"/>
        <w:ind w:firstLine="549"/>
        <w:rPr>
          <w:rFonts w:hint="eastAsia" w:ascii="宋体" w:hAnsi="宋体" w:cs="宋体"/>
          <w:color w:val="auto"/>
          <w:kern w:val="2"/>
          <w:sz w:val="24"/>
          <w:highlight w:val="none"/>
          <w:lang w:val="en-US" w:eastAsia="zh-CN" w:bidi="ar-SA"/>
        </w:rPr>
      </w:pPr>
      <w:r>
        <w:rPr>
          <w:rFonts w:hint="eastAsia" w:ascii="宋体" w:hAnsi="宋体" w:cs="宋体"/>
          <w:color w:val="auto"/>
          <w:kern w:val="2"/>
          <w:sz w:val="24"/>
          <w:highlight w:val="none"/>
          <w:lang w:val="en-US" w:eastAsia="zh-CN" w:bidi="ar-SA"/>
        </w:rPr>
        <w:t>27.5</w:t>
      </w:r>
      <w:r>
        <w:rPr>
          <w:rFonts w:hint="eastAsia" w:ascii="宋体" w:hAnsi="宋体" w:eastAsia="宋体" w:cs="宋体"/>
          <w:color w:val="auto"/>
          <w:kern w:val="2"/>
          <w:sz w:val="24"/>
          <w:highlight w:val="none"/>
          <w:lang w:val="en-US" w:eastAsia="zh-CN" w:bidi="ar-SA"/>
        </w:rPr>
        <w:t>项目项目责任人</w:t>
      </w:r>
      <w:r>
        <w:rPr>
          <w:rFonts w:hint="eastAsia" w:ascii="宋体" w:hAnsi="宋体" w:cs="宋体"/>
          <w:color w:val="auto"/>
          <w:kern w:val="2"/>
          <w:sz w:val="24"/>
          <w:highlight w:val="none"/>
          <w:lang w:val="en-US" w:eastAsia="zh-CN" w:bidi="ar-SA"/>
        </w:rPr>
        <w:t>未提供项目负责人任命书的；</w:t>
      </w:r>
    </w:p>
    <w:p w14:paraId="5769BF34">
      <w:pPr>
        <w:spacing w:line="360" w:lineRule="auto"/>
        <w:ind w:firstLine="549"/>
        <w:rPr>
          <w:rFonts w:hint="default" w:ascii="宋体" w:hAnsi="宋体" w:cs="宋体"/>
          <w:color w:val="auto"/>
          <w:kern w:val="2"/>
          <w:sz w:val="24"/>
          <w:highlight w:val="none"/>
          <w:lang w:val="en-US" w:eastAsia="zh-CN" w:bidi="ar-SA"/>
        </w:rPr>
      </w:pPr>
      <w:r>
        <w:rPr>
          <w:rFonts w:hint="eastAsia" w:ascii="宋体" w:hAnsi="宋体" w:cs="宋体"/>
          <w:color w:val="auto"/>
          <w:kern w:val="2"/>
          <w:sz w:val="24"/>
          <w:highlight w:val="none"/>
          <w:lang w:val="en-US" w:eastAsia="zh-CN" w:bidi="ar-SA"/>
        </w:rPr>
        <w:t>27.6</w:t>
      </w:r>
      <w:r>
        <w:rPr>
          <w:rFonts w:hint="eastAsia" w:ascii="宋体" w:hAnsi="宋体" w:eastAsia="宋体" w:cs="宋体"/>
          <w:color w:val="auto"/>
          <w:kern w:val="2"/>
          <w:sz w:val="24"/>
          <w:highlight w:val="none"/>
          <w:lang w:val="en-US" w:eastAsia="zh-CN" w:bidi="ar-SA"/>
        </w:rPr>
        <w:t>项目项目责任人</w:t>
      </w:r>
      <w:r>
        <w:rPr>
          <w:rFonts w:hint="eastAsia" w:ascii="宋体" w:hAnsi="宋体" w:cs="宋体"/>
          <w:color w:val="auto"/>
          <w:kern w:val="2"/>
          <w:sz w:val="24"/>
          <w:highlight w:val="none"/>
          <w:lang w:val="en-US" w:eastAsia="zh-CN" w:bidi="ar-SA"/>
        </w:rPr>
        <w:t>未营业执照、食品经营许可证、食品生产许可证签字的；</w:t>
      </w:r>
    </w:p>
    <w:p w14:paraId="21CB854B">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废标处理</w:t>
      </w:r>
    </w:p>
    <w:p w14:paraId="08D4177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28.1在招标采购中，出现下列情形之一的，周口市公共资源交易中心政府采购中心有权宣布废标：</w:t>
      </w:r>
    </w:p>
    <w:p w14:paraId="34AF1CC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28.1.1符合专业条件的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或对招标文件作实质响应的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不足三家的；</w:t>
      </w:r>
    </w:p>
    <w:p w14:paraId="5877D30D">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28.1.2</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的报价均超过采购预算，采购人不能支付的；</w:t>
      </w:r>
    </w:p>
    <w:p w14:paraId="3E92620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28.1.3出现影响采购公正的违法、违规行为的；</w:t>
      </w:r>
    </w:p>
    <w:p w14:paraId="3C0BAD2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28.1.4因重大变故，采购任务取消的。</w:t>
      </w:r>
    </w:p>
    <w:p w14:paraId="2AE3E67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废标后，周口市公共资源交易中心政府采购中心会把废标理由通知所有</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w:t>
      </w:r>
    </w:p>
    <w:p w14:paraId="698BFC6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28.2 因上条第一款、第二款规定情形导致废标的，若采购人提出申请，报经政府采购监督管理部门批准，可现场改为竞争性谈判，</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有下列情形之一的，不得参加谈判：</w:t>
      </w:r>
    </w:p>
    <w:p w14:paraId="552DF38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28.2.1放弃参加投标的；</w:t>
      </w:r>
    </w:p>
    <w:p w14:paraId="092DD2F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28.2.2未经周口市公共资源交易中心政府采购中心允许，离开开标现场通知不上的；</w:t>
      </w:r>
    </w:p>
    <w:p w14:paraId="0A077F5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28.2.3不符合招标文件列明的专业条件的；</w:t>
      </w:r>
    </w:p>
    <w:p w14:paraId="6FEA860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28.2.4未按规定交纳谈判保证金的；</w:t>
      </w:r>
    </w:p>
    <w:p w14:paraId="7854F887">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28.2.5有影响采购公正的违法、违规行为造成项目废标的；</w:t>
      </w:r>
    </w:p>
    <w:p w14:paraId="70170F9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28.2.6其他不符合竞争性谈判条件的情况。</w:t>
      </w:r>
    </w:p>
    <w:p w14:paraId="4C3519AF">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28.3采购方式现场改为竞争性谈判时，</w:t>
      </w:r>
      <w:r>
        <w:rPr>
          <w:rFonts w:hint="eastAsia" w:ascii="宋体" w:hAnsi="宋体" w:eastAsia="宋体" w:cs="宋体"/>
          <w:color w:val="auto"/>
          <w:sz w:val="24"/>
          <w:highlight w:val="none"/>
        </w:rPr>
        <w:t>周口市公共资源交易中心政府采购中心</w:t>
      </w:r>
      <w:r>
        <w:rPr>
          <w:rFonts w:hint="eastAsia" w:ascii="宋体" w:hAnsi="宋体" w:eastAsia="宋体" w:cs="宋体"/>
          <w:color w:val="auto"/>
          <w:sz w:val="24"/>
          <w:szCs w:val="24"/>
          <w:highlight w:val="none"/>
        </w:rPr>
        <w:t>以《招标流标现场转谈判邀请函》方式函告投标现场各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授权代表签字确认参加谈判。放弃谈判的视同自动放弃本项目的投标资格。竞争性谈判应当至少有两家及以上</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参加。如参加谈判的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少于两家，谈判做流标处理。</w:t>
      </w:r>
    </w:p>
    <w:p w14:paraId="2568C3FC">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28.3.1谈判时，若</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未能在评委会指定时间内（原则上不超过60分钟）提交符合要求的补充资料或未作出实质性响应的，投标无效。经过审查符合谈判要求的有效</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少于两家的，谈判做流标处理。</w:t>
      </w:r>
    </w:p>
    <w:p w14:paraId="6826E83C">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28.3.2投标文件的报价视为谈判时的首次报价，未唱标转谈判的，谈判时不公开</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各轮报价。已经唱标而转谈判的，谈判前公布各参与谈判的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首轮报价。</w:t>
      </w:r>
    </w:p>
    <w:p w14:paraId="5090767E">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28.3.3在谈判内容不作实质性变更及重大调整的前提下，</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次轮报价不得高于上一轮报价。</w:t>
      </w:r>
    </w:p>
    <w:p w14:paraId="357D856F">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二次采购</w:t>
      </w:r>
    </w:p>
    <w:p w14:paraId="6477AAC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项目废标后，周口市公共资源交易中心政府采购中心可能发布二次公告（投标邀请），进行二次采购。</w:t>
      </w:r>
    </w:p>
    <w:p w14:paraId="12F44D2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前款所述“二次”，系指项目废标后的重新公告及采购，并不仅限于项目的第二次公告及采购。</w:t>
      </w:r>
    </w:p>
    <w:p w14:paraId="0F1B8174">
      <w:pPr>
        <w:pStyle w:val="4"/>
        <w:spacing w:line="360" w:lineRule="auto"/>
        <w:ind w:firstLine="2715" w:firstLineChars="966"/>
        <w:jc w:val="both"/>
        <w:rPr>
          <w:rFonts w:hint="eastAsia" w:ascii="宋体" w:hAnsi="宋体" w:eastAsia="宋体" w:cs="宋体"/>
          <w:color w:val="auto"/>
          <w:sz w:val="28"/>
          <w:highlight w:val="none"/>
        </w:rPr>
      </w:pPr>
      <w:bookmarkStart w:id="130" w:name="_Toc32663"/>
      <w:bookmarkStart w:id="131" w:name="_Toc516969091"/>
      <w:bookmarkStart w:id="132" w:name="_Toc20916"/>
      <w:bookmarkStart w:id="133" w:name="_Toc7660"/>
      <w:bookmarkStart w:id="134" w:name="_Toc527725927"/>
      <w:bookmarkStart w:id="135" w:name="_Toc40975447"/>
      <w:r>
        <w:rPr>
          <w:rFonts w:hint="eastAsia" w:ascii="宋体" w:hAnsi="宋体" w:eastAsia="宋体" w:cs="宋体"/>
          <w:color w:val="auto"/>
          <w:sz w:val="28"/>
          <w:highlight w:val="none"/>
        </w:rPr>
        <w:t>六．定标与签订合同</w:t>
      </w:r>
      <w:bookmarkEnd w:id="130"/>
      <w:bookmarkEnd w:id="131"/>
      <w:bookmarkEnd w:id="132"/>
      <w:bookmarkEnd w:id="133"/>
      <w:bookmarkEnd w:id="134"/>
      <w:bookmarkEnd w:id="135"/>
    </w:p>
    <w:p w14:paraId="1391E9B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30.定标</w:t>
      </w:r>
    </w:p>
    <w:p w14:paraId="69599F6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30.1 投标符合性审查后，评委会应当按招标文件规定的综合评分办法提出独立评审意见，推荐中标候选人。</w:t>
      </w:r>
    </w:p>
    <w:p w14:paraId="5D4D4B9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30.2采购人应当自收到评审报告之日起5个工作日内在评审报告推荐的中标或者成交候选人中按顺序确定中标或者成交供应商。</w:t>
      </w:r>
    </w:p>
    <w:p w14:paraId="7A54560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2A677C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78B849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30.4原则上把合同授予实质上响应招标文件要求的排名最前的中标候选人或通过上条资格审查的中标候选人。</w:t>
      </w:r>
    </w:p>
    <w:p w14:paraId="6F6B0B7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30.5 最低报价并不是中标的保证。</w:t>
      </w:r>
    </w:p>
    <w:p w14:paraId="0CF91CB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30.6凡发现中标候选人有下列行为之一的，其中标无效，并移交政府采购监督管理部门依法处理：</w:t>
      </w:r>
    </w:p>
    <w:p w14:paraId="1F14DD81">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 以他人名义投标、或提供虚假材料弄虚作假谋取中标的；</w:t>
      </w:r>
    </w:p>
    <w:p w14:paraId="36B46312">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30.6.1.1以他人名义投标，是指使用通过受让或者租借等方式获取的资格、资质证书投标。</w:t>
      </w:r>
    </w:p>
    <w:p w14:paraId="2DB89AA4">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30.6.1.2有</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有下列情形之一的，属于弄虚作假的行为：</w:t>
      </w:r>
    </w:p>
    <w:p w14:paraId="76FBB9B0">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30.6.1.2.1使用伪造、变造的许可证件；</w:t>
      </w:r>
    </w:p>
    <w:p w14:paraId="6B357871">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30.6.1.2.2提供虚假的财务状况或者业绩；</w:t>
      </w:r>
    </w:p>
    <w:p w14:paraId="675E26C0">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30.6.1.2.3提供虚假的项目负责人或者主要技术人员简历、劳动关系证明；</w:t>
      </w:r>
    </w:p>
    <w:p w14:paraId="7AAF1FEE">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30.6.1.2.4提供虚假的信用状况；</w:t>
      </w:r>
    </w:p>
    <w:p w14:paraId="4A609217">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30.6.1.2.5其他弄虚作假的行为。</w:t>
      </w:r>
    </w:p>
    <w:p w14:paraId="2E50B05F">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30.6.2与采购人、其他供应商或者采购代理机构名称工作人员恶意串通的；</w:t>
      </w:r>
    </w:p>
    <w:p w14:paraId="4521D3B4">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30.6.3向采购人、评审专家、采购代理机构工作人员行贿或者提供其他不正当利益的；</w:t>
      </w:r>
    </w:p>
    <w:p w14:paraId="6AC6A07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30.6.4有法律、法规规定的其他损害采购人利益和社会公共利益情形的；</w:t>
      </w:r>
    </w:p>
    <w:p w14:paraId="68C308F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30.6.5其他违反招投标法律、法规和规章强制性规定的行为。</w:t>
      </w:r>
    </w:p>
    <w:p w14:paraId="3600748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30.7周口市公共资源交易中心政府采购中心将在政府采购相关网站上发布评审结果公告。</w:t>
      </w:r>
    </w:p>
    <w:p w14:paraId="4E349151">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31.中标通知书</w:t>
      </w:r>
    </w:p>
    <w:p w14:paraId="6D0A937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372766B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31.2周口市公共资源交易中心政府采购中心对未中标的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不做未中标原因的解释。</w:t>
      </w:r>
    </w:p>
    <w:p w14:paraId="0AC59C6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31.3评审结果确定后，中标人请及时到周口市公共资源交易中心政府采购中心领取中标通知书。</w:t>
      </w:r>
    </w:p>
    <w:p w14:paraId="13521B4E">
      <w:pPr>
        <w:spacing w:line="360" w:lineRule="auto"/>
        <w:ind w:firstLine="54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32.中标服务费</w:t>
      </w:r>
    </w:p>
    <w:p w14:paraId="3438E124">
      <w:pPr>
        <w:spacing w:line="360" w:lineRule="auto"/>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bCs/>
          <w:color w:val="auto"/>
          <w:sz w:val="24"/>
          <w:highlight w:val="none"/>
        </w:rPr>
        <w:t>本项目免收中标服务费</w:t>
      </w:r>
    </w:p>
    <w:p w14:paraId="61755066">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33.履约保证金</w:t>
      </w:r>
    </w:p>
    <w:p w14:paraId="607F8986">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无</w:t>
      </w:r>
    </w:p>
    <w:p w14:paraId="3A2A33C0">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34.签订合同</w:t>
      </w:r>
    </w:p>
    <w:p w14:paraId="3994E88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34.1</w:t>
      </w:r>
      <w:r>
        <w:rPr>
          <w:rFonts w:hint="eastAsia" w:ascii="宋体" w:hAnsi="宋体" w:cs="宋体"/>
          <w:color w:val="auto"/>
          <w:sz w:val="24"/>
          <w:highlight w:val="none"/>
          <w:lang w:val="en-US" w:eastAsia="zh-CN"/>
        </w:rPr>
        <w:t>供应商需在投标文件中承诺若中标</w:t>
      </w:r>
      <w:r>
        <w:rPr>
          <w:rFonts w:hint="eastAsia" w:ascii="宋体" w:hAnsi="宋体" w:eastAsia="宋体" w:cs="宋体"/>
          <w:color w:val="auto"/>
          <w:sz w:val="24"/>
          <w:highlight w:val="none"/>
        </w:rPr>
        <w:t>中标人应在中标通知书发出之日起七日历日内（具体时间、地点见中标通知书）与采购人签订合同。招标文件、中标人的投标文件及澄清文件等，均作为合同的附件。</w:t>
      </w:r>
    </w:p>
    <w:p w14:paraId="535CAFE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w:t>
      </w:r>
      <w:r>
        <w:rPr>
          <w:rFonts w:hint="eastAsia" w:ascii="宋体" w:hAnsi="宋体" w:cs="宋体"/>
          <w:color w:val="auto"/>
          <w:sz w:val="24"/>
          <w:highlight w:val="none"/>
          <w:lang w:val="en-US" w:eastAsia="zh-CN"/>
        </w:rPr>
        <w:t>供应商需在投标文件中对此项做出承 诺。</w:t>
      </w:r>
      <w:r>
        <w:rPr>
          <w:rFonts w:hint="eastAsia" w:ascii="宋体" w:hAnsi="宋体" w:eastAsia="宋体" w:cs="宋体"/>
          <w:color w:val="auto"/>
          <w:sz w:val="24"/>
          <w:highlight w:val="none"/>
        </w:rPr>
        <w:t>对任何因双方擅自变更合同引起的问题周口市公共资源交易中心政府采购中心概不负责，合同风险由双方自行承担。</w:t>
      </w:r>
    </w:p>
    <w:p w14:paraId="6CA1E2C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34.3采购人保留以书面形式要求合同的卖方对其所投服务的装运方式、交货地点及服务细则等作适当调整的权利。</w:t>
      </w:r>
    </w:p>
    <w:p w14:paraId="41C4C1C7">
      <w:pPr>
        <w:spacing w:line="360" w:lineRule="auto"/>
        <w:ind w:firstLine="549"/>
        <w:rPr>
          <w:rFonts w:hint="eastAsia" w:ascii="宋体" w:hAnsi="宋体" w:eastAsia="宋体" w:cs="宋体"/>
          <w:color w:val="auto"/>
          <w:sz w:val="24"/>
          <w:highlight w:val="none"/>
        </w:rPr>
      </w:pPr>
      <w:r>
        <w:rPr>
          <w:rFonts w:hint="eastAsia" w:ascii="宋体" w:hAnsi="宋体" w:eastAsia="宋体" w:cs="宋体"/>
          <w:b/>
          <w:color w:val="auto"/>
          <w:sz w:val="24"/>
          <w:highlight w:val="none"/>
        </w:rPr>
        <w:t>35.验收</w:t>
      </w:r>
    </w:p>
    <w:p w14:paraId="3FC67B0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由采购人自行组织对供应商的履约验收。</w:t>
      </w:r>
    </w:p>
    <w:p w14:paraId="40045E84">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36</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质疑</w:t>
      </w:r>
    </w:p>
    <w:p w14:paraId="37C514F1">
      <w:pPr>
        <w:spacing w:line="360" w:lineRule="auto"/>
        <w:ind w:firstLine="523" w:firstLineChars="218"/>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36.1</w:t>
      </w:r>
      <w:r>
        <w:rPr>
          <w:rFonts w:hint="eastAsia" w:ascii="宋体" w:hAnsi="宋体" w:cs="宋体"/>
          <w:bCs/>
          <w:color w:val="auto"/>
          <w:sz w:val="24"/>
          <w:highlight w:val="none"/>
          <w:lang w:eastAsia="zh-CN"/>
        </w:rPr>
        <w:t>供应商</w:t>
      </w:r>
      <w:r>
        <w:rPr>
          <w:rFonts w:hint="eastAsia" w:ascii="宋体" w:hAnsi="宋体" w:cs="宋体"/>
          <w:bCs/>
          <w:color w:val="auto"/>
          <w:sz w:val="24"/>
          <w:highlight w:val="none"/>
        </w:rPr>
        <w:t>认为采购过程、中标结果使自己的合法权益受到损害的，可以在知道或应当知道自己的权益受到损害之日起7个工作日内，由</w:t>
      </w:r>
      <w:r>
        <w:rPr>
          <w:rFonts w:hint="eastAsia" w:ascii="宋体" w:hAnsi="宋体" w:cs="宋体"/>
          <w:bCs/>
          <w:color w:val="auto"/>
          <w:sz w:val="24"/>
          <w:highlight w:val="none"/>
          <w:lang w:eastAsia="zh-CN"/>
        </w:rPr>
        <w:t>供应商</w:t>
      </w:r>
      <w:r>
        <w:rPr>
          <w:rFonts w:hint="eastAsia" w:ascii="宋体" w:hAnsi="宋体" w:cs="宋体"/>
          <w:bCs/>
          <w:color w:val="auto"/>
          <w:sz w:val="24"/>
          <w:highlight w:val="none"/>
        </w:rPr>
        <w:t>授权代表（或法人代表）</w:t>
      </w:r>
      <w:r>
        <w:rPr>
          <w:rFonts w:hint="eastAsia" w:ascii="宋体" w:hAnsi="宋体" w:cs="宋体"/>
          <w:bCs/>
          <w:color w:val="auto"/>
          <w:sz w:val="24"/>
          <w:highlight w:val="none"/>
          <w:lang w:val="en-US" w:eastAsia="zh-CN"/>
        </w:rPr>
        <w:t>按照相关规定</w:t>
      </w:r>
      <w:r>
        <w:rPr>
          <w:rFonts w:hint="eastAsia" w:ascii="宋体" w:hAnsi="宋体" w:cs="宋体"/>
          <w:bCs/>
          <w:color w:val="auto"/>
          <w:sz w:val="24"/>
          <w:highlight w:val="none"/>
        </w:rPr>
        <w:t>，向</w:t>
      </w:r>
      <w:r>
        <w:rPr>
          <w:rFonts w:hint="eastAsia" w:ascii="宋体" w:hAnsi="宋体" w:cs="宋体"/>
          <w:color w:val="auto"/>
          <w:sz w:val="24"/>
          <w:highlight w:val="none"/>
        </w:rPr>
        <w:t>采购人</w:t>
      </w:r>
      <w:r>
        <w:rPr>
          <w:rFonts w:hint="eastAsia" w:ascii="宋体" w:hAnsi="宋体" w:cs="宋体"/>
          <w:bCs/>
          <w:color w:val="auto"/>
          <w:sz w:val="24"/>
          <w:highlight w:val="none"/>
        </w:rPr>
        <w:t>提出质疑，逾期不予受理。</w:t>
      </w:r>
    </w:p>
    <w:p w14:paraId="06AA5A0A">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36.2质疑书内容应包括质疑的详细理由和依据，并提供有关证明资料。</w:t>
      </w:r>
    </w:p>
    <w:p w14:paraId="3BE47C04">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 有以下情形之一的，视为无效质疑：</w:t>
      </w:r>
    </w:p>
    <w:p w14:paraId="15941E2B">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36.3.1 未按规定时间或规定手续提交质疑的；</w:t>
      </w:r>
    </w:p>
    <w:p w14:paraId="7948D8CC">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36.3.2 质疑内容含糊不清、没有提供详细理由和依据，无法进行核查的；</w:t>
      </w:r>
    </w:p>
    <w:p w14:paraId="097969FC">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36.3.3 其他不符合质疑程序和有关规定的。</w:t>
      </w:r>
    </w:p>
    <w:p w14:paraId="011AA69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被判定无效质疑的，采购人将书面回复投标单位其质疑无效的理由，并记录无效质疑一次。</w:t>
      </w:r>
    </w:p>
    <w:p w14:paraId="6C01C22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36.4</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将在受到书面质疑后7个工作日内审查质疑事项，作出答复或相关处理决定，并以书面形式通知质疑人，但答复的内容不涉及商业秘密。</w:t>
      </w:r>
    </w:p>
    <w:p w14:paraId="3A8E1928">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w:t>
      </w:r>
      <w:r>
        <w:rPr>
          <w:rFonts w:hint="eastAsia" w:ascii="宋体" w:hAnsi="宋体" w:eastAsia="宋体" w:cs="宋体"/>
          <w:bCs/>
          <w:color w:val="auto"/>
          <w:sz w:val="24"/>
          <w:highlight w:val="none"/>
        </w:rPr>
        <w:t>投诉人有下列情形之一的，属于虚假、恶意投诉，</w:t>
      </w:r>
      <w:r>
        <w:rPr>
          <w:rFonts w:hint="eastAsia" w:ascii="宋体" w:hAnsi="宋体" w:eastAsia="宋体" w:cs="宋体"/>
          <w:color w:val="auto"/>
          <w:sz w:val="24"/>
          <w:highlight w:val="none"/>
        </w:rPr>
        <w:t>政府采购监督管理部门</w:t>
      </w:r>
      <w:r>
        <w:rPr>
          <w:rFonts w:hint="eastAsia" w:ascii="宋体" w:hAnsi="宋体" w:eastAsia="宋体" w:cs="宋体"/>
          <w:bCs/>
          <w:color w:val="auto"/>
          <w:sz w:val="24"/>
          <w:highlight w:val="none"/>
        </w:rPr>
        <w:t>将驳回投诉，将其列入不良行为记录名单，并依法予以处罚：</w:t>
      </w:r>
    </w:p>
    <w:p w14:paraId="399A2EEF">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36.5.1一年内三次以上投诉均查无实据的；</w:t>
      </w:r>
    </w:p>
    <w:p w14:paraId="54ACCCE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36.5.2捏造事实、提供虚假投诉材料或提供以非法手段取得的证明材料质疑的；</w:t>
      </w:r>
    </w:p>
    <w:p w14:paraId="1F3FCF6D">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36.5.3其他经认定属于虚假、恶意投诉的行为</w:t>
      </w:r>
      <w:r>
        <w:rPr>
          <w:rFonts w:hint="eastAsia" w:ascii="宋体" w:hAnsi="宋体" w:eastAsia="宋体" w:cs="宋体"/>
          <w:bCs/>
          <w:color w:val="auto"/>
          <w:sz w:val="24"/>
          <w:highlight w:val="none"/>
        </w:rPr>
        <w:t>。</w:t>
      </w:r>
    </w:p>
    <w:p w14:paraId="0DFB4334">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37.未尽事宜</w:t>
      </w:r>
    </w:p>
    <w:p w14:paraId="240F474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37.1按《中华人民共和国政府采购法》及其他有关法律法规的规定执行。</w:t>
      </w:r>
    </w:p>
    <w:p w14:paraId="35CBD7A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38.解释权</w:t>
      </w:r>
    </w:p>
    <w:p w14:paraId="0CB3AD54">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38.1本招标文件的解释权属于采购人。</w:t>
      </w:r>
    </w:p>
    <w:p w14:paraId="66F1D5D1">
      <w:pPr>
        <w:spacing w:line="360" w:lineRule="auto"/>
        <w:rPr>
          <w:rFonts w:hint="eastAsia" w:ascii="宋体" w:hAnsi="宋体" w:eastAsia="宋体" w:cs="宋体"/>
          <w:bCs/>
          <w:color w:val="auto"/>
          <w:sz w:val="24"/>
          <w:highlight w:val="none"/>
        </w:rPr>
      </w:pPr>
    </w:p>
    <w:p w14:paraId="6B65E485">
      <w:pPr>
        <w:pStyle w:val="31"/>
        <w:spacing w:beforeLines="0" w:afterLines="0" w:line="460" w:lineRule="exact"/>
        <w:ind w:left="0" w:leftChars="0" w:firstLine="0" w:firstLineChars="0"/>
        <w:jc w:val="both"/>
        <w:rPr>
          <w:rFonts w:hint="eastAsia"/>
          <w:color w:val="auto"/>
          <w:highlight w:val="none"/>
          <w:lang w:val="en-US" w:eastAsia="zh-CN"/>
        </w:rPr>
      </w:pPr>
    </w:p>
    <w:p w14:paraId="2154F209">
      <w:pPr>
        <w:pStyle w:val="31"/>
        <w:spacing w:beforeLines="0" w:afterLines="0" w:line="460" w:lineRule="exact"/>
        <w:ind w:left="0" w:leftChars="0" w:firstLine="0" w:firstLineChars="0"/>
        <w:jc w:val="both"/>
        <w:rPr>
          <w:rFonts w:hint="eastAsia"/>
          <w:color w:val="auto"/>
          <w:highlight w:val="none"/>
          <w:lang w:val="en-US" w:eastAsia="zh-CN"/>
        </w:rPr>
      </w:pPr>
    </w:p>
    <w:p w14:paraId="5834A740">
      <w:pPr>
        <w:pStyle w:val="31"/>
        <w:spacing w:beforeLines="0" w:afterLines="0" w:line="460" w:lineRule="exact"/>
        <w:ind w:left="0" w:leftChars="0" w:firstLine="0" w:firstLineChars="0"/>
        <w:jc w:val="both"/>
        <w:rPr>
          <w:rFonts w:hint="eastAsia"/>
          <w:color w:val="auto"/>
          <w:highlight w:val="none"/>
          <w:lang w:val="en-US" w:eastAsia="zh-CN"/>
        </w:rPr>
      </w:pPr>
    </w:p>
    <w:p w14:paraId="7FE3A068">
      <w:pPr>
        <w:pStyle w:val="31"/>
        <w:spacing w:beforeLines="0" w:afterLines="0" w:line="460" w:lineRule="exact"/>
        <w:ind w:left="0" w:leftChars="0" w:firstLine="0" w:firstLineChars="0"/>
        <w:jc w:val="both"/>
        <w:rPr>
          <w:rFonts w:hint="eastAsia"/>
          <w:color w:val="auto"/>
          <w:highlight w:val="none"/>
          <w:lang w:val="en-US" w:eastAsia="zh-CN"/>
        </w:rPr>
      </w:pPr>
    </w:p>
    <w:p w14:paraId="6B504046">
      <w:pPr>
        <w:pStyle w:val="31"/>
        <w:spacing w:beforeLines="0" w:afterLines="0" w:line="460" w:lineRule="exact"/>
        <w:ind w:left="0" w:leftChars="0" w:firstLine="0" w:firstLineChars="0"/>
        <w:jc w:val="both"/>
        <w:rPr>
          <w:rFonts w:hint="eastAsia"/>
          <w:color w:val="auto"/>
          <w:highlight w:val="none"/>
          <w:lang w:val="en-US" w:eastAsia="zh-CN"/>
        </w:rPr>
      </w:pPr>
    </w:p>
    <w:p w14:paraId="7E37B4ED">
      <w:pPr>
        <w:pStyle w:val="31"/>
        <w:spacing w:beforeLines="0" w:afterLines="0" w:line="460" w:lineRule="exact"/>
        <w:ind w:left="0" w:leftChars="0" w:firstLine="0" w:firstLineChars="0"/>
        <w:jc w:val="both"/>
        <w:rPr>
          <w:rFonts w:hint="eastAsia"/>
          <w:color w:val="auto"/>
          <w:highlight w:val="none"/>
          <w:lang w:val="en-US" w:eastAsia="zh-CN"/>
        </w:rPr>
      </w:pPr>
    </w:p>
    <w:p w14:paraId="59574297">
      <w:pPr>
        <w:pStyle w:val="31"/>
        <w:spacing w:beforeLines="0" w:afterLines="0" w:line="460" w:lineRule="exact"/>
        <w:ind w:left="0" w:leftChars="0" w:firstLine="0" w:firstLineChars="0"/>
        <w:jc w:val="both"/>
        <w:rPr>
          <w:rFonts w:hint="eastAsia"/>
          <w:color w:val="auto"/>
          <w:highlight w:val="none"/>
          <w:lang w:val="en-US" w:eastAsia="zh-CN"/>
        </w:rPr>
      </w:pPr>
    </w:p>
    <w:p w14:paraId="5E5C6098">
      <w:pPr>
        <w:pStyle w:val="31"/>
        <w:spacing w:beforeLines="0" w:afterLines="0" w:line="460" w:lineRule="exact"/>
        <w:ind w:left="0" w:leftChars="0" w:firstLine="0" w:firstLineChars="0"/>
        <w:jc w:val="both"/>
        <w:rPr>
          <w:rFonts w:hint="eastAsia"/>
          <w:color w:val="auto"/>
          <w:highlight w:val="none"/>
          <w:lang w:val="en-US" w:eastAsia="zh-CN"/>
        </w:rPr>
      </w:pPr>
    </w:p>
    <w:p w14:paraId="1A72BBB3">
      <w:pPr>
        <w:pStyle w:val="31"/>
        <w:spacing w:beforeLines="0" w:afterLines="0" w:line="460" w:lineRule="exact"/>
        <w:ind w:left="0" w:leftChars="0" w:firstLine="0" w:firstLineChars="0"/>
        <w:jc w:val="both"/>
        <w:rPr>
          <w:rFonts w:hint="eastAsia"/>
          <w:color w:val="auto"/>
          <w:highlight w:val="none"/>
          <w:lang w:val="en-US" w:eastAsia="zh-CN"/>
        </w:rPr>
      </w:pPr>
    </w:p>
    <w:p w14:paraId="093DD49A">
      <w:pPr>
        <w:pStyle w:val="31"/>
        <w:spacing w:beforeLines="0" w:afterLines="0" w:line="460" w:lineRule="exact"/>
        <w:ind w:left="0" w:leftChars="0" w:firstLine="0" w:firstLineChars="0"/>
        <w:jc w:val="both"/>
        <w:rPr>
          <w:rFonts w:hint="eastAsia"/>
          <w:color w:val="auto"/>
          <w:highlight w:val="none"/>
          <w:lang w:val="en-US" w:eastAsia="zh-CN"/>
        </w:rPr>
      </w:pPr>
    </w:p>
    <w:p w14:paraId="59C0B664">
      <w:pPr>
        <w:pStyle w:val="31"/>
        <w:spacing w:beforeLines="0" w:afterLines="0" w:line="460" w:lineRule="exact"/>
        <w:ind w:left="0" w:leftChars="0" w:firstLine="0" w:firstLineChars="0"/>
        <w:jc w:val="both"/>
        <w:rPr>
          <w:rFonts w:hint="eastAsia"/>
          <w:color w:val="auto"/>
          <w:highlight w:val="none"/>
          <w:lang w:val="en-US" w:eastAsia="zh-CN"/>
        </w:rPr>
      </w:pPr>
    </w:p>
    <w:p w14:paraId="4781F73E">
      <w:pPr>
        <w:pStyle w:val="31"/>
        <w:spacing w:beforeLines="0" w:afterLines="0" w:line="460" w:lineRule="exact"/>
        <w:ind w:left="0" w:leftChars="0" w:firstLine="0" w:firstLineChars="0"/>
        <w:jc w:val="both"/>
        <w:rPr>
          <w:rFonts w:hint="eastAsia"/>
          <w:color w:val="auto"/>
          <w:highlight w:val="none"/>
          <w:lang w:val="en-US" w:eastAsia="zh-CN"/>
        </w:rPr>
      </w:pPr>
    </w:p>
    <w:p w14:paraId="79ACEAAB">
      <w:pPr>
        <w:pStyle w:val="3"/>
        <w:spacing w:before="0" w:after="0" w:line="500" w:lineRule="exact"/>
        <w:ind w:firstLine="0"/>
        <w:jc w:val="center"/>
        <w:rPr>
          <w:rFonts w:hint="eastAsia" w:ascii="宋体" w:hAnsi="宋体" w:eastAsia="宋体" w:cs="宋体"/>
          <w:color w:val="auto"/>
          <w:w w:val="92"/>
          <w:highlight w:val="none"/>
          <w:lang w:val="en-US"/>
        </w:rPr>
      </w:pPr>
      <w:bookmarkStart w:id="136" w:name="_Toc17699_WPSOffice_Level1"/>
      <w:r>
        <w:rPr>
          <w:rFonts w:hint="eastAsia" w:ascii="宋体" w:hAnsi="宋体" w:eastAsia="宋体" w:cs="宋体"/>
          <w:bCs/>
          <w:caps/>
          <w:smallCaps/>
          <w:color w:val="auto"/>
          <w:sz w:val="32"/>
          <w:szCs w:val="32"/>
          <w:highlight w:val="none"/>
          <w:lang w:val="en-US"/>
        </w:rPr>
        <w:t>第六章</w:t>
      </w:r>
    </w:p>
    <w:p w14:paraId="1C5AEFF4">
      <w:pPr>
        <w:pStyle w:val="3"/>
        <w:spacing w:before="0" w:after="0" w:line="500" w:lineRule="exact"/>
        <w:ind w:firstLine="0"/>
        <w:rPr>
          <w:rFonts w:hint="eastAsia" w:ascii="宋体" w:hAnsi="宋体" w:eastAsia="宋体" w:cs="宋体"/>
          <w:b w:val="0"/>
          <w:color w:val="auto"/>
          <w:sz w:val="32"/>
          <w:szCs w:val="32"/>
          <w:highlight w:val="none"/>
          <w:lang w:val="en-US"/>
        </w:rPr>
      </w:pPr>
      <w:r>
        <w:rPr>
          <w:rFonts w:hint="eastAsia" w:ascii="宋体" w:hAnsi="宋体" w:eastAsia="宋体" w:cs="宋体"/>
          <w:b w:val="0"/>
          <w:color w:val="auto"/>
          <w:w w:val="92"/>
          <w:sz w:val="32"/>
          <w:szCs w:val="32"/>
          <w:highlight w:val="none"/>
          <w:lang w:val="en-US"/>
        </w:rPr>
        <w:t>周口市</w:t>
      </w:r>
      <w:r>
        <w:rPr>
          <w:rFonts w:hint="eastAsia" w:ascii="宋体" w:hAnsi="宋体" w:eastAsia="宋体" w:cs="宋体"/>
          <w:b w:val="0"/>
          <w:color w:val="auto"/>
          <w:sz w:val="32"/>
          <w:szCs w:val="32"/>
          <w:highlight w:val="none"/>
          <w:lang w:val="en-US"/>
        </w:rPr>
        <w:t>政府采购合同（服务类）标准文本</w:t>
      </w:r>
    </w:p>
    <w:p w14:paraId="16665238">
      <w:pPr>
        <w:ind w:firstLine="640" w:firstLineChars="200"/>
        <w:jc w:val="both"/>
        <w:rPr>
          <w:rFonts w:hint="eastAsia" w:ascii="宋体" w:hAnsi="宋体" w:eastAsia="宋体" w:cs="宋体"/>
          <w:color w:val="auto"/>
          <w:sz w:val="32"/>
          <w:szCs w:val="32"/>
          <w:highlight w:val="none"/>
          <w:lang w:val="en-US"/>
        </w:rPr>
      </w:pPr>
    </w:p>
    <w:p w14:paraId="3FC03859">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4FF102FA">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6678DBF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54BA417B">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429CADD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8BF918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73AE2A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308D78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90357AC">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7D31523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310AF6B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4B6B11FB">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386709C">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3F9293F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0F1FF8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C9F3CFD">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5E58FA8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62E582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C7B10ED">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76793ED2">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5A208BB2">
      <w:pPr>
        <w:pStyle w:val="31"/>
        <w:spacing w:beforeLines="0" w:afterLines="0" w:line="440" w:lineRule="exact"/>
        <w:ind w:left="0"/>
        <w:jc w:val="both"/>
        <w:rPr>
          <w:rFonts w:hint="eastAsia" w:ascii="宋体" w:hAnsi="宋体" w:eastAsia="宋体" w:cs="宋体"/>
          <w:color w:val="auto"/>
          <w:sz w:val="30"/>
          <w:szCs w:val="30"/>
          <w:highlight w:val="none"/>
        </w:rPr>
      </w:pPr>
    </w:p>
    <w:p w14:paraId="764D9971">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48E04BF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1B8DC2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B06533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276D18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304B80A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46FDF5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884D214">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7CE1736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1197392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54D2F3B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AF3F39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3EAB350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C20695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E7B9800">
      <w:pPr>
        <w:pStyle w:val="3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8AB3655">
      <w:pPr>
        <w:pStyle w:val="31"/>
        <w:spacing w:beforeLines="0" w:afterLines="0" w:line="440" w:lineRule="exact"/>
        <w:ind w:left="0"/>
        <w:jc w:val="center"/>
        <w:rPr>
          <w:rFonts w:hint="eastAsia" w:ascii="宋体" w:hAnsi="宋体" w:eastAsia="宋体" w:cs="宋体"/>
          <w:bCs/>
          <w:color w:val="auto"/>
          <w:sz w:val="32"/>
          <w:szCs w:val="32"/>
          <w:highlight w:val="none"/>
        </w:rPr>
      </w:pPr>
    </w:p>
    <w:p w14:paraId="419F7101">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1484BDC">
      <w:pPr>
        <w:pStyle w:val="3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0BCF783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lang w:val="en-US" w:eastAsia="zh-CN"/>
        </w:rPr>
        <w:t>投标人需在投标文件中书面声明</w:t>
      </w:r>
      <w:r>
        <w:rPr>
          <w:rFonts w:hint="eastAsia" w:ascii="宋体" w:hAnsi="宋体" w:eastAsia="宋体" w:cs="宋体"/>
          <w:color w:val="auto"/>
          <w:sz w:val="21"/>
          <w:szCs w:val="21"/>
          <w:highlight w:val="none"/>
          <w:lang w:val="en-US"/>
        </w:rPr>
        <w:t>不得以次充优，随意降低服务标准和水平</w:t>
      </w:r>
      <w:r>
        <w:rPr>
          <w:rFonts w:hint="eastAsia" w:ascii="宋体" w:hAnsi="宋体" w:eastAsia="宋体" w:cs="宋体"/>
          <w:color w:val="auto"/>
          <w:sz w:val="21"/>
          <w:szCs w:val="21"/>
          <w:highlight w:val="none"/>
        </w:rPr>
        <w:t>；</w:t>
      </w:r>
    </w:p>
    <w:p w14:paraId="632489EF">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4965FF2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60490EDE">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75E9B87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5F3C17D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2F59AB1B">
      <w:pPr>
        <w:bidi w:val="0"/>
        <w:rPr>
          <w:rFonts w:hint="eastAsia"/>
          <w:color w:val="auto"/>
          <w:highlight w:val="none"/>
        </w:rPr>
      </w:pPr>
    </w:p>
    <w:p w14:paraId="0412ACE8">
      <w:pPr>
        <w:pStyle w:val="26"/>
        <w:rPr>
          <w:rFonts w:hint="eastAsia"/>
          <w:color w:val="auto"/>
          <w:highlight w:val="none"/>
        </w:rPr>
      </w:pPr>
    </w:p>
    <w:p w14:paraId="4E6E14EC">
      <w:pPr>
        <w:rPr>
          <w:rFonts w:hint="eastAsia" w:ascii="宋体" w:hAnsi="宋体" w:eastAsia="宋体" w:cs="宋体"/>
          <w:b w:val="0"/>
          <w:bCs w:val="0"/>
          <w:color w:val="auto"/>
          <w:sz w:val="21"/>
          <w:szCs w:val="21"/>
          <w:highlight w:val="none"/>
        </w:rPr>
      </w:pPr>
    </w:p>
    <w:p w14:paraId="07CCCC95">
      <w:pPr>
        <w:pStyle w:val="26"/>
        <w:rPr>
          <w:rFonts w:hint="eastAsia" w:ascii="宋体" w:hAnsi="宋体" w:eastAsia="宋体" w:cs="宋体"/>
          <w:b w:val="0"/>
          <w:bCs w:val="0"/>
          <w:color w:val="auto"/>
          <w:sz w:val="21"/>
          <w:szCs w:val="21"/>
          <w:highlight w:val="none"/>
        </w:rPr>
      </w:pPr>
    </w:p>
    <w:p w14:paraId="4E87D718">
      <w:pPr>
        <w:pStyle w:val="6"/>
        <w:rPr>
          <w:rFonts w:hint="eastAsia" w:ascii="宋体" w:hAnsi="宋体" w:eastAsia="宋体" w:cs="宋体"/>
          <w:b w:val="0"/>
          <w:bCs w:val="0"/>
          <w:color w:val="auto"/>
          <w:sz w:val="21"/>
          <w:szCs w:val="21"/>
          <w:highlight w:val="none"/>
        </w:rPr>
      </w:pPr>
    </w:p>
    <w:p w14:paraId="31C17F95">
      <w:pPr>
        <w:rPr>
          <w:rFonts w:hint="eastAsia" w:ascii="宋体" w:hAnsi="宋体" w:eastAsia="宋体" w:cs="宋体"/>
          <w:b w:val="0"/>
          <w:bCs w:val="0"/>
          <w:color w:val="auto"/>
          <w:sz w:val="21"/>
          <w:szCs w:val="21"/>
          <w:highlight w:val="none"/>
        </w:rPr>
      </w:pPr>
    </w:p>
    <w:p w14:paraId="3EB5FAD0">
      <w:pPr>
        <w:pStyle w:val="26"/>
        <w:rPr>
          <w:rFonts w:hint="eastAsia" w:ascii="宋体" w:hAnsi="宋体" w:eastAsia="宋体" w:cs="宋体"/>
          <w:b w:val="0"/>
          <w:bCs w:val="0"/>
          <w:color w:val="auto"/>
          <w:sz w:val="21"/>
          <w:szCs w:val="21"/>
          <w:highlight w:val="none"/>
        </w:rPr>
      </w:pPr>
    </w:p>
    <w:p w14:paraId="00502AD3">
      <w:pPr>
        <w:pStyle w:val="6"/>
        <w:rPr>
          <w:rFonts w:hint="eastAsia" w:ascii="宋体" w:hAnsi="宋体" w:eastAsia="宋体" w:cs="宋体"/>
          <w:b w:val="0"/>
          <w:bCs w:val="0"/>
          <w:color w:val="auto"/>
          <w:sz w:val="21"/>
          <w:szCs w:val="21"/>
          <w:highlight w:val="none"/>
        </w:rPr>
      </w:pPr>
    </w:p>
    <w:p w14:paraId="650151D2">
      <w:pPr>
        <w:rPr>
          <w:rFonts w:hint="eastAsia" w:ascii="宋体" w:hAnsi="宋体" w:eastAsia="宋体" w:cs="宋体"/>
          <w:b w:val="0"/>
          <w:bCs w:val="0"/>
          <w:color w:val="auto"/>
          <w:sz w:val="21"/>
          <w:szCs w:val="21"/>
          <w:highlight w:val="none"/>
        </w:rPr>
      </w:pPr>
    </w:p>
    <w:p w14:paraId="4C0E3B10">
      <w:pPr>
        <w:pStyle w:val="26"/>
        <w:rPr>
          <w:rFonts w:hint="eastAsia" w:ascii="宋体" w:hAnsi="宋体" w:eastAsia="宋体" w:cs="宋体"/>
          <w:b w:val="0"/>
          <w:bCs w:val="0"/>
          <w:color w:val="auto"/>
          <w:sz w:val="21"/>
          <w:szCs w:val="21"/>
          <w:highlight w:val="none"/>
        </w:rPr>
      </w:pPr>
    </w:p>
    <w:p w14:paraId="2BEACF36">
      <w:pPr>
        <w:pStyle w:val="6"/>
        <w:rPr>
          <w:rFonts w:hint="eastAsia" w:ascii="宋体" w:hAnsi="宋体" w:eastAsia="宋体" w:cs="宋体"/>
          <w:b w:val="0"/>
          <w:bCs w:val="0"/>
          <w:color w:val="auto"/>
          <w:sz w:val="21"/>
          <w:szCs w:val="21"/>
          <w:highlight w:val="none"/>
        </w:rPr>
      </w:pPr>
    </w:p>
    <w:p w14:paraId="7E36B5A9">
      <w:pPr>
        <w:rPr>
          <w:rFonts w:hint="eastAsia" w:ascii="宋体" w:hAnsi="宋体" w:eastAsia="宋体" w:cs="宋体"/>
          <w:b w:val="0"/>
          <w:bCs w:val="0"/>
          <w:color w:val="auto"/>
          <w:sz w:val="21"/>
          <w:szCs w:val="21"/>
          <w:highlight w:val="none"/>
        </w:rPr>
      </w:pPr>
    </w:p>
    <w:p w14:paraId="1625ED78">
      <w:pPr>
        <w:pStyle w:val="26"/>
        <w:rPr>
          <w:rFonts w:hint="eastAsia" w:ascii="宋体" w:hAnsi="宋体" w:eastAsia="宋体" w:cs="宋体"/>
          <w:b w:val="0"/>
          <w:bCs w:val="0"/>
          <w:color w:val="auto"/>
          <w:sz w:val="21"/>
          <w:szCs w:val="21"/>
          <w:highlight w:val="none"/>
        </w:rPr>
      </w:pPr>
    </w:p>
    <w:p w14:paraId="23A13323">
      <w:pPr>
        <w:pStyle w:val="6"/>
        <w:rPr>
          <w:rFonts w:hint="eastAsia" w:ascii="宋体" w:hAnsi="宋体" w:eastAsia="宋体" w:cs="宋体"/>
          <w:b w:val="0"/>
          <w:bCs w:val="0"/>
          <w:color w:val="auto"/>
          <w:sz w:val="21"/>
          <w:szCs w:val="21"/>
          <w:highlight w:val="none"/>
        </w:rPr>
      </w:pPr>
    </w:p>
    <w:p w14:paraId="7B582B9E">
      <w:pPr>
        <w:rPr>
          <w:rFonts w:hint="eastAsia" w:ascii="宋体" w:hAnsi="宋体" w:eastAsia="宋体" w:cs="宋体"/>
          <w:b w:val="0"/>
          <w:bCs w:val="0"/>
          <w:color w:val="auto"/>
          <w:sz w:val="21"/>
          <w:szCs w:val="21"/>
          <w:highlight w:val="none"/>
        </w:rPr>
      </w:pPr>
    </w:p>
    <w:p w14:paraId="5AF5F610">
      <w:pPr>
        <w:pStyle w:val="26"/>
        <w:rPr>
          <w:rFonts w:hint="eastAsia" w:ascii="宋体" w:hAnsi="宋体" w:eastAsia="宋体" w:cs="宋体"/>
          <w:b w:val="0"/>
          <w:bCs w:val="0"/>
          <w:color w:val="auto"/>
          <w:sz w:val="21"/>
          <w:szCs w:val="21"/>
          <w:highlight w:val="none"/>
        </w:rPr>
      </w:pPr>
    </w:p>
    <w:p w14:paraId="44DDC220">
      <w:pPr>
        <w:pStyle w:val="6"/>
        <w:rPr>
          <w:rFonts w:hint="eastAsia" w:ascii="宋体" w:hAnsi="宋体" w:eastAsia="宋体" w:cs="宋体"/>
          <w:b w:val="0"/>
          <w:bCs w:val="0"/>
          <w:color w:val="auto"/>
          <w:sz w:val="21"/>
          <w:szCs w:val="21"/>
          <w:highlight w:val="none"/>
        </w:rPr>
      </w:pPr>
    </w:p>
    <w:p w14:paraId="7177F91F">
      <w:pPr>
        <w:rPr>
          <w:rFonts w:hint="eastAsia" w:ascii="宋体" w:hAnsi="宋体" w:eastAsia="宋体" w:cs="宋体"/>
          <w:b w:val="0"/>
          <w:bCs w:val="0"/>
          <w:color w:val="auto"/>
          <w:sz w:val="21"/>
          <w:szCs w:val="21"/>
          <w:highlight w:val="none"/>
        </w:rPr>
      </w:pPr>
    </w:p>
    <w:p w14:paraId="3B62CA7F">
      <w:pPr>
        <w:pStyle w:val="26"/>
        <w:rPr>
          <w:rFonts w:hint="eastAsia" w:ascii="宋体" w:hAnsi="宋体" w:eastAsia="宋体" w:cs="宋体"/>
          <w:b w:val="0"/>
          <w:bCs w:val="0"/>
          <w:color w:val="auto"/>
          <w:sz w:val="21"/>
          <w:szCs w:val="21"/>
          <w:highlight w:val="none"/>
        </w:rPr>
      </w:pPr>
    </w:p>
    <w:p w14:paraId="75A83EBC">
      <w:pPr>
        <w:pStyle w:val="6"/>
        <w:rPr>
          <w:rFonts w:hint="eastAsia" w:ascii="宋体" w:hAnsi="宋体" w:eastAsia="宋体" w:cs="宋体"/>
          <w:b w:val="0"/>
          <w:bCs w:val="0"/>
          <w:color w:val="auto"/>
          <w:sz w:val="21"/>
          <w:szCs w:val="21"/>
          <w:highlight w:val="none"/>
        </w:rPr>
      </w:pPr>
    </w:p>
    <w:p w14:paraId="664542A1">
      <w:pPr>
        <w:rPr>
          <w:rFonts w:hint="eastAsia" w:ascii="宋体" w:hAnsi="宋体" w:eastAsia="宋体" w:cs="宋体"/>
          <w:b w:val="0"/>
          <w:bCs w:val="0"/>
          <w:color w:val="auto"/>
          <w:sz w:val="21"/>
          <w:szCs w:val="21"/>
          <w:highlight w:val="none"/>
        </w:rPr>
      </w:pPr>
    </w:p>
    <w:p w14:paraId="0847AEC8">
      <w:pPr>
        <w:pStyle w:val="26"/>
        <w:rPr>
          <w:rFonts w:hint="eastAsia" w:ascii="宋体" w:hAnsi="宋体" w:eastAsia="宋体" w:cs="宋体"/>
          <w:b w:val="0"/>
          <w:bCs w:val="0"/>
          <w:color w:val="auto"/>
          <w:sz w:val="21"/>
          <w:szCs w:val="21"/>
          <w:highlight w:val="none"/>
        </w:rPr>
      </w:pPr>
    </w:p>
    <w:p w14:paraId="30C7E401">
      <w:pPr>
        <w:pStyle w:val="6"/>
        <w:rPr>
          <w:rFonts w:hint="eastAsia" w:ascii="宋体" w:hAnsi="宋体" w:eastAsia="宋体" w:cs="宋体"/>
          <w:b w:val="0"/>
          <w:bCs w:val="0"/>
          <w:color w:val="auto"/>
          <w:sz w:val="21"/>
          <w:szCs w:val="21"/>
          <w:highlight w:val="none"/>
        </w:rPr>
      </w:pPr>
    </w:p>
    <w:p w14:paraId="302B5687">
      <w:pPr>
        <w:rPr>
          <w:rFonts w:hint="eastAsia" w:ascii="宋体" w:hAnsi="宋体" w:eastAsia="宋体" w:cs="宋体"/>
          <w:b w:val="0"/>
          <w:bCs w:val="0"/>
          <w:color w:val="auto"/>
          <w:sz w:val="21"/>
          <w:szCs w:val="21"/>
          <w:highlight w:val="none"/>
        </w:rPr>
      </w:pPr>
    </w:p>
    <w:p w14:paraId="5CD153D5">
      <w:pPr>
        <w:pStyle w:val="26"/>
        <w:rPr>
          <w:rFonts w:hint="eastAsia" w:ascii="宋体" w:hAnsi="宋体" w:eastAsia="宋体" w:cs="宋体"/>
          <w:b w:val="0"/>
          <w:bCs w:val="0"/>
          <w:color w:val="auto"/>
          <w:sz w:val="21"/>
          <w:szCs w:val="21"/>
          <w:highlight w:val="none"/>
        </w:rPr>
      </w:pPr>
    </w:p>
    <w:p w14:paraId="237C4B2F">
      <w:pPr>
        <w:pStyle w:val="6"/>
        <w:rPr>
          <w:rFonts w:hint="eastAsia" w:ascii="宋体" w:hAnsi="宋体" w:eastAsia="宋体" w:cs="宋体"/>
          <w:b w:val="0"/>
          <w:bCs w:val="0"/>
          <w:color w:val="auto"/>
          <w:sz w:val="21"/>
          <w:szCs w:val="21"/>
          <w:highlight w:val="none"/>
        </w:rPr>
      </w:pPr>
    </w:p>
    <w:p w14:paraId="28DDEC15">
      <w:pPr>
        <w:rPr>
          <w:rFonts w:hint="eastAsia" w:ascii="宋体" w:hAnsi="宋体" w:eastAsia="宋体" w:cs="宋体"/>
          <w:b w:val="0"/>
          <w:bCs w:val="0"/>
          <w:color w:val="auto"/>
          <w:sz w:val="21"/>
          <w:szCs w:val="21"/>
          <w:highlight w:val="none"/>
        </w:rPr>
      </w:pPr>
    </w:p>
    <w:p w14:paraId="2C83B219">
      <w:pPr>
        <w:pStyle w:val="26"/>
        <w:rPr>
          <w:rFonts w:hint="eastAsia" w:ascii="宋体" w:hAnsi="宋体" w:eastAsia="宋体" w:cs="宋体"/>
          <w:b w:val="0"/>
          <w:bCs w:val="0"/>
          <w:color w:val="auto"/>
          <w:sz w:val="21"/>
          <w:szCs w:val="21"/>
          <w:highlight w:val="none"/>
        </w:rPr>
      </w:pPr>
    </w:p>
    <w:p w14:paraId="0258159A">
      <w:pPr>
        <w:pStyle w:val="6"/>
        <w:rPr>
          <w:rFonts w:hint="eastAsia" w:ascii="宋体" w:hAnsi="宋体" w:eastAsia="宋体" w:cs="宋体"/>
          <w:b w:val="0"/>
          <w:bCs w:val="0"/>
          <w:color w:val="auto"/>
          <w:sz w:val="21"/>
          <w:szCs w:val="21"/>
          <w:highlight w:val="none"/>
        </w:rPr>
      </w:pPr>
    </w:p>
    <w:p w14:paraId="1CD6C8E0">
      <w:pPr>
        <w:rPr>
          <w:rFonts w:hint="eastAsia" w:ascii="宋体" w:hAnsi="宋体" w:eastAsia="宋体" w:cs="宋体"/>
          <w:b w:val="0"/>
          <w:bCs w:val="0"/>
          <w:color w:val="auto"/>
          <w:sz w:val="21"/>
          <w:szCs w:val="21"/>
          <w:highlight w:val="none"/>
        </w:rPr>
      </w:pPr>
    </w:p>
    <w:p w14:paraId="1A66C6F1">
      <w:pPr>
        <w:pStyle w:val="26"/>
        <w:rPr>
          <w:rFonts w:hint="eastAsia" w:ascii="宋体" w:hAnsi="宋体" w:eastAsia="宋体" w:cs="宋体"/>
          <w:b w:val="0"/>
          <w:bCs w:val="0"/>
          <w:color w:val="auto"/>
          <w:sz w:val="21"/>
          <w:szCs w:val="21"/>
          <w:highlight w:val="none"/>
        </w:rPr>
      </w:pPr>
    </w:p>
    <w:p w14:paraId="1478B7B4">
      <w:pPr>
        <w:pStyle w:val="6"/>
        <w:rPr>
          <w:rFonts w:hint="eastAsia" w:ascii="宋体" w:hAnsi="宋体" w:eastAsia="宋体" w:cs="宋体"/>
          <w:b w:val="0"/>
          <w:bCs w:val="0"/>
          <w:color w:val="auto"/>
          <w:sz w:val="21"/>
          <w:szCs w:val="21"/>
          <w:highlight w:val="none"/>
        </w:rPr>
      </w:pPr>
    </w:p>
    <w:p w14:paraId="068F8D06">
      <w:pPr>
        <w:rPr>
          <w:rFonts w:hint="eastAsia" w:ascii="宋体" w:hAnsi="宋体" w:eastAsia="宋体" w:cs="宋体"/>
          <w:b w:val="0"/>
          <w:bCs w:val="0"/>
          <w:color w:val="auto"/>
          <w:sz w:val="21"/>
          <w:szCs w:val="21"/>
          <w:highlight w:val="none"/>
        </w:rPr>
      </w:pPr>
    </w:p>
    <w:p w14:paraId="4ED42E2C">
      <w:pPr>
        <w:pStyle w:val="26"/>
        <w:rPr>
          <w:rFonts w:hint="eastAsia" w:ascii="宋体" w:hAnsi="宋体" w:eastAsia="宋体" w:cs="宋体"/>
          <w:b w:val="0"/>
          <w:bCs w:val="0"/>
          <w:color w:val="auto"/>
          <w:sz w:val="21"/>
          <w:szCs w:val="21"/>
          <w:highlight w:val="none"/>
        </w:rPr>
      </w:pPr>
    </w:p>
    <w:p w14:paraId="686036AD">
      <w:pPr>
        <w:pStyle w:val="6"/>
        <w:rPr>
          <w:rFonts w:hint="eastAsia" w:ascii="宋体" w:hAnsi="宋体" w:eastAsia="宋体" w:cs="宋体"/>
          <w:b w:val="0"/>
          <w:bCs w:val="0"/>
          <w:color w:val="auto"/>
          <w:sz w:val="21"/>
          <w:szCs w:val="21"/>
          <w:highlight w:val="none"/>
        </w:rPr>
      </w:pPr>
    </w:p>
    <w:p w14:paraId="1CFAF950">
      <w:pPr>
        <w:rPr>
          <w:rFonts w:hint="eastAsia" w:ascii="宋体" w:hAnsi="宋体" w:eastAsia="宋体" w:cs="宋体"/>
          <w:b w:val="0"/>
          <w:bCs w:val="0"/>
          <w:color w:val="auto"/>
          <w:sz w:val="21"/>
          <w:szCs w:val="21"/>
          <w:highlight w:val="none"/>
        </w:rPr>
      </w:pPr>
    </w:p>
    <w:p w14:paraId="44AEDF99">
      <w:pPr>
        <w:pStyle w:val="26"/>
        <w:rPr>
          <w:rFonts w:hint="eastAsia" w:ascii="宋体" w:hAnsi="宋体" w:eastAsia="宋体" w:cs="宋体"/>
          <w:b w:val="0"/>
          <w:bCs w:val="0"/>
          <w:color w:val="auto"/>
          <w:sz w:val="21"/>
          <w:szCs w:val="21"/>
          <w:highlight w:val="none"/>
        </w:rPr>
      </w:pPr>
    </w:p>
    <w:p w14:paraId="05229325">
      <w:pPr>
        <w:pStyle w:val="6"/>
        <w:rPr>
          <w:rFonts w:hint="eastAsia" w:ascii="宋体" w:hAnsi="宋体" w:eastAsia="宋体" w:cs="宋体"/>
          <w:b w:val="0"/>
          <w:bCs w:val="0"/>
          <w:color w:val="auto"/>
          <w:sz w:val="21"/>
          <w:szCs w:val="21"/>
          <w:highlight w:val="none"/>
        </w:rPr>
      </w:pPr>
    </w:p>
    <w:p w14:paraId="26506A1D">
      <w:pPr>
        <w:rPr>
          <w:rFonts w:hint="eastAsia" w:ascii="宋体" w:hAnsi="宋体" w:eastAsia="宋体" w:cs="宋体"/>
          <w:b w:val="0"/>
          <w:bCs w:val="0"/>
          <w:color w:val="auto"/>
          <w:sz w:val="21"/>
          <w:szCs w:val="21"/>
          <w:highlight w:val="none"/>
        </w:rPr>
      </w:pPr>
    </w:p>
    <w:p w14:paraId="43A4E4A6">
      <w:pPr>
        <w:pStyle w:val="26"/>
        <w:rPr>
          <w:rFonts w:hint="eastAsia" w:ascii="宋体" w:hAnsi="宋体" w:eastAsia="宋体" w:cs="宋体"/>
          <w:b w:val="0"/>
          <w:bCs w:val="0"/>
          <w:color w:val="auto"/>
          <w:sz w:val="21"/>
          <w:szCs w:val="21"/>
          <w:highlight w:val="none"/>
        </w:rPr>
      </w:pPr>
    </w:p>
    <w:p w14:paraId="325F9D65">
      <w:pPr>
        <w:pStyle w:val="6"/>
        <w:rPr>
          <w:rFonts w:hint="eastAsia"/>
          <w:color w:val="auto"/>
          <w:highlight w:val="none"/>
        </w:rPr>
      </w:pPr>
    </w:p>
    <w:p w14:paraId="4905133A">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65F2063B">
      <w:pPr>
        <w:spacing w:line="360" w:lineRule="auto"/>
        <w:ind w:firstLine="420" w:firstLineChars="200"/>
        <w:jc w:val="both"/>
        <w:rPr>
          <w:rFonts w:hint="eastAsia" w:ascii="宋体" w:hAnsi="宋体" w:eastAsia="宋体" w:cs="宋体"/>
          <w:color w:val="auto"/>
          <w:szCs w:val="27"/>
          <w:highlight w:val="none"/>
        </w:rPr>
      </w:pPr>
    </w:p>
    <w:p w14:paraId="49A0BDE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11661E64">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2EE8724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54ED45A8">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2346F4A6">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0F1ABDD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13F6146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采购法》、《中华人民共和国合同法》之规定，经甲乙双方充分协商，特订立本合同，以便共同遵守。</w:t>
      </w:r>
    </w:p>
    <w:p w14:paraId="7F34F94C">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D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3E61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0D537DC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0E0D475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60B1C8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0A3B84E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6E74FA4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05578C7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511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BD111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E8D8BD8">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50E631B">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2523C1C">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F8A27CD">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0ABC3722">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4B74EA8A">
            <w:pPr>
              <w:spacing w:line="360" w:lineRule="auto"/>
              <w:ind w:firstLine="420" w:firstLineChars="200"/>
              <w:jc w:val="both"/>
              <w:rPr>
                <w:rFonts w:hint="eastAsia" w:ascii="宋体" w:hAnsi="宋体" w:eastAsia="宋体" w:cs="宋体"/>
                <w:color w:val="auto"/>
                <w:highlight w:val="none"/>
              </w:rPr>
            </w:pPr>
          </w:p>
        </w:tc>
      </w:tr>
      <w:tr w14:paraId="1D64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79786FC">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B1ED799">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60E0E3C">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07135C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45F298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43A09B7">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F170CF3">
            <w:pPr>
              <w:spacing w:line="360" w:lineRule="auto"/>
              <w:ind w:firstLine="420" w:firstLineChars="200"/>
              <w:jc w:val="both"/>
              <w:rPr>
                <w:rFonts w:hint="eastAsia" w:ascii="宋体" w:hAnsi="宋体" w:eastAsia="宋体" w:cs="宋体"/>
                <w:color w:val="auto"/>
                <w:highlight w:val="none"/>
              </w:rPr>
            </w:pPr>
          </w:p>
        </w:tc>
      </w:tr>
      <w:tr w14:paraId="0EF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C4085C3">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CF26CD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EDCCC7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143A0FF">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3ACC6E4">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34CCD6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42B16676">
            <w:pPr>
              <w:spacing w:line="360" w:lineRule="auto"/>
              <w:ind w:firstLine="420" w:firstLineChars="200"/>
              <w:jc w:val="both"/>
              <w:rPr>
                <w:rFonts w:hint="eastAsia" w:ascii="宋体" w:hAnsi="宋体" w:eastAsia="宋体" w:cs="宋体"/>
                <w:color w:val="auto"/>
                <w:highlight w:val="none"/>
              </w:rPr>
            </w:pPr>
          </w:p>
        </w:tc>
      </w:tr>
      <w:tr w14:paraId="15D9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19F2CB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4D40541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2A654BFE">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5A0A42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7894AD30">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乙方在投标文件中书面声明提供的服务标准和水平应与招标采购文件规定的标准和水平相一致。</w:t>
      </w:r>
    </w:p>
    <w:p w14:paraId="3F8D9714">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33CAAB9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6DC7BE8F">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2350FA28">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63355ED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3B3C4CE2">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w:t>
      </w:r>
      <w:r>
        <w:rPr>
          <w:rFonts w:hint="eastAsia" w:ascii="宋体" w:hAnsi="宋体" w:eastAsia="宋体" w:cs="宋体"/>
          <w:color w:val="auto"/>
          <w:sz w:val="21"/>
          <w:szCs w:val="21"/>
          <w:highlight w:val="none"/>
          <w:lang w:val="en-US"/>
        </w:rPr>
        <w:t xml:space="preserve">  </w:t>
      </w:r>
      <w:r>
        <w:rPr>
          <w:rFonts w:hint="eastAsia" w:ascii="宋体" w:hAnsi="宋体" w:eastAsia="宋体" w:cs="宋体"/>
          <w:color w:val="auto"/>
          <w:sz w:val="21"/>
          <w:szCs w:val="21"/>
          <w:highlight w:val="none"/>
        </w:rPr>
        <w:t>费用及支付方式</w:t>
      </w:r>
    </w:p>
    <w:p w14:paraId="131B0CB1">
      <w:pPr>
        <w:pStyle w:val="9"/>
        <w:kinsoku w:val="0"/>
        <w:overflowPunct w:val="0"/>
        <w:spacing w:line="364" w:lineRule="auto"/>
        <w:ind w:left="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(一)本项目</w:t>
      </w:r>
      <w:r>
        <w:rPr>
          <w:rFonts w:hint="eastAsia" w:ascii="宋体" w:hAnsi="宋体" w:eastAsia="宋体" w:cs="宋体"/>
          <w:b/>
          <w:color w:val="auto"/>
          <w:sz w:val="21"/>
          <w:szCs w:val="21"/>
          <w:highlight w:val="none"/>
          <w:lang w:val="en-US"/>
        </w:rPr>
        <w:t>费用有以</w:t>
      </w:r>
      <w:r>
        <w:rPr>
          <w:rFonts w:hint="eastAsia" w:ascii="宋体" w:hAnsi="宋体" w:eastAsia="宋体" w:cs="宋体"/>
          <w:b/>
          <w:color w:val="auto"/>
          <w:sz w:val="21"/>
          <w:szCs w:val="21"/>
          <w:highlight w:val="none"/>
        </w:rPr>
        <w:t>下组成：</w:t>
      </w:r>
    </w:p>
    <w:p w14:paraId="61FAF56A">
      <w:pPr>
        <w:pStyle w:val="9"/>
        <w:kinsoku w:val="0"/>
        <w:overflowPunct w:val="0"/>
        <w:spacing w:line="364"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1、XX 万元；</w:t>
      </w:r>
    </w:p>
    <w:p w14:paraId="75CFF4BD">
      <w:pPr>
        <w:pStyle w:val="9"/>
        <w:kinsoku w:val="0"/>
        <w:overflowPunct w:val="0"/>
        <w:spacing w:line="364"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2、XX 万元；</w:t>
      </w:r>
    </w:p>
    <w:p w14:paraId="0E0401CF">
      <w:pPr>
        <w:pStyle w:val="9"/>
        <w:kinsoku w:val="0"/>
        <w:overflowPunct w:val="0"/>
        <w:spacing w:line="364"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p w14:paraId="1602B524">
      <w:pPr>
        <w:pStyle w:val="9"/>
        <w:kinsoku w:val="0"/>
        <w:overflowPunct w:val="0"/>
        <w:spacing w:line="360" w:lineRule="auto"/>
        <w:ind w:left="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(二)费用支付方式：</w:t>
      </w:r>
    </w:p>
    <w:p w14:paraId="009FF8C1">
      <w:pPr>
        <w:pStyle w:val="9"/>
        <w:kinsoku w:val="0"/>
        <w:overflowPunct w:val="0"/>
        <w:spacing w:line="360"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1、XXXX；</w:t>
      </w:r>
    </w:p>
    <w:p w14:paraId="67B5629D">
      <w:pPr>
        <w:pStyle w:val="9"/>
        <w:kinsoku w:val="0"/>
        <w:overflowPunct w:val="0"/>
        <w:spacing w:line="360"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2、XXXX ；</w:t>
      </w:r>
    </w:p>
    <w:p w14:paraId="2A54A56C">
      <w:pPr>
        <w:pStyle w:val="9"/>
        <w:kinsoku w:val="0"/>
        <w:overflowPunct w:val="0"/>
        <w:spacing w:line="360"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3、在支付前甲方对乙方的服务进行考核或验收，合格的支付相应款 项。乙方须向甲方出具合法有效完整的完税发票及凭证资料进行支付结算。</w:t>
      </w:r>
    </w:p>
    <w:p w14:paraId="4919F702">
      <w:pPr>
        <w:pStyle w:val="9"/>
        <w:kinsoku w:val="0"/>
        <w:overflowPunct w:val="0"/>
        <w:spacing w:line="360" w:lineRule="auto"/>
        <w:ind w:left="0"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第五条</w:t>
      </w:r>
      <w:r>
        <w:rPr>
          <w:rFonts w:hint="eastAsia" w:ascii="宋体" w:hAnsi="宋体" w:eastAsia="宋体" w:cs="宋体"/>
          <w:b/>
          <w:color w:val="auto"/>
          <w:sz w:val="21"/>
          <w:szCs w:val="21"/>
          <w:highlight w:val="none"/>
          <w:lang w:val="en-US"/>
        </w:rPr>
        <w:t xml:space="preserve">  </w:t>
      </w:r>
      <w:r>
        <w:rPr>
          <w:rFonts w:hint="eastAsia" w:ascii="宋体" w:hAnsi="宋体" w:eastAsia="宋体" w:cs="宋体"/>
          <w:b/>
          <w:color w:val="auto"/>
          <w:sz w:val="21"/>
          <w:szCs w:val="21"/>
          <w:highlight w:val="none"/>
        </w:rPr>
        <w:t xml:space="preserve">付款条件   </w:t>
      </w:r>
      <w:r>
        <w:rPr>
          <w:rFonts w:hint="eastAsia" w:ascii="宋体" w:hAnsi="宋体" w:eastAsia="宋体" w:cs="宋体"/>
          <w:color w:val="auto"/>
          <w:sz w:val="21"/>
          <w:szCs w:val="21"/>
          <w:highlight w:val="none"/>
        </w:rPr>
        <w:t xml:space="preserve">               </w:t>
      </w:r>
    </w:p>
    <w:p w14:paraId="2C54C665">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本合同以人民币付款。</w:t>
      </w:r>
    </w:p>
    <w:p w14:paraId="331E8036">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该项目是否实行预付款：</w:t>
      </w:r>
    </w:p>
    <w:p w14:paraId="3AE11EB3">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实行预付款的条件和比例：</w:t>
      </w:r>
    </w:p>
    <w:p w14:paraId="73C86B47">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合同款项结算方式和支付比例：</w:t>
      </w:r>
      <w:r>
        <w:rPr>
          <w:rFonts w:hint="eastAsia" w:ascii="宋体" w:hAnsi="宋体" w:eastAsia="宋体" w:cs="宋体"/>
          <w:color w:val="auto"/>
          <w:sz w:val="21"/>
          <w:szCs w:val="21"/>
          <w:highlight w:val="none"/>
          <w:lang w:val="en-US"/>
        </w:rPr>
        <w:t xml:space="preserve">   </w:t>
      </w:r>
    </w:p>
    <w:p w14:paraId="70EC43B6">
      <w:pPr>
        <w:spacing w:line="360" w:lineRule="auto"/>
        <w:ind w:firstLine="420" w:firstLineChars="200"/>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rPr>
        <w:t>具体付款方式</w:t>
      </w:r>
      <w:r>
        <w:rPr>
          <w:rFonts w:hint="eastAsia" w:ascii="宋体" w:hAnsi="宋体" w:eastAsia="宋体" w:cs="宋体"/>
          <w:color w:val="auto"/>
          <w:sz w:val="21"/>
          <w:szCs w:val="21"/>
          <w:highlight w:val="none"/>
          <w:u w:val="single"/>
        </w:rPr>
        <w:t>按</w:t>
      </w:r>
      <w:r>
        <w:rPr>
          <w:rFonts w:hint="eastAsia" w:ascii="宋体" w:hAnsi="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须知前附表以及采、购双方的具体约定</w:t>
      </w:r>
    </w:p>
    <w:p w14:paraId="55969FCA">
      <w:pPr>
        <w:pStyle w:val="31"/>
        <w:spacing w:beforeLines="0" w:afterLines="0" w:line="360" w:lineRule="auto"/>
        <w:ind w:left="0" w:firstLine="422" w:firstLineChars="200"/>
        <w:jc w:val="both"/>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第六条  验收方法</w:t>
      </w:r>
    </w:p>
    <w:p w14:paraId="51B29BDF">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F0EE423">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E90A1A">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3、甲方视情况可以邀请参加本项目的其他</w:t>
      </w: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CN"/>
        </w:rPr>
        <w:t>或者第三方机构参与验收，参与验收的</w:t>
      </w: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CN"/>
        </w:rPr>
        <w:t>或者第三方机构的意见作为验收书的参考资料一并存档。</w:t>
      </w:r>
    </w:p>
    <w:p w14:paraId="230A290A">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66BE715">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检测、验收费用承担方式：</w:t>
      </w:r>
    </w:p>
    <w:p w14:paraId="70143207">
      <w:pPr>
        <w:pStyle w:val="9"/>
        <w:kinsoku w:val="0"/>
        <w:overflowPunct w:val="0"/>
        <w:spacing w:line="360" w:lineRule="auto"/>
        <w:ind w:left="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第七条 知识产权</w:t>
      </w:r>
    </w:p>
    <w:p w14:paraId="6360B15C">
      <w:pPr>
        <w:pStyle w:val="9"/>
        <w:kinsoku w:val="0"/>
        <w:overflowPunct w:val="0"/>
        <w:spacing w:line="360"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乙方应在投标文件中书面保证所提供的服务或其任何一部分均不会侵犯任何第三方的专利权、商标权或著作权。</w:t>
      </w:r>
    </w:p>
    <w:p w14:paraId="7DA29C66">
      <w:pPr>
        <w:bidi w:val="0"/>
        <w:spacing w:line="360" w:lineRule="auto"/>
        <w:ind w:firstLine="422" w:firstLineChars="200"/>
        <w:rPr>
          <w:rFonts w:hint="eastAsia"/>
          <w:color w:val="auto"/>
          <w:highlight w:val="none"/>
        </w:rPr>
      </w:pPr>
      <w:r>
        <w:rPr>
          <w:rFonts w:hint="eastAsia"/>
          <w:b/>
          <w:bCs/>
          <w:color w:val="auto"/>
          <w:highlight w:val="none"/>
        </w:rPr>
        <w:t>第八条 无产权瑕疵条款</w:t>
      </w:r>
    </w:p>
    <w:p w14:paraId="327F0B1B">
      <w:pPr>
        <w:pStyle w:val="9"/>
        <w:keepNext w:val="0"/>
        <w:keepLines w:val="0"/>
        <w:pageBreakBefore w:val="0"/>
        <w:widowControl w:val="0"/>
        <w:kinsoku/>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乙方应在投标文件中书面保证所提供的服务的所有权完全属于乙方且无任何抵押、查封等产权瑕疵。如有产权瑕疵的，视为乙方违约。乙方应负担由此而产生的一切损失。</w:t>
      </w:r>
    </w:p>
    <w:p w14:paraId="75636A97">
      <w:pPr>
        <w:keepNext w:val="0"/>
        <w:keepLines w:val="0"/>
        <w:pageBreakBefore w:val="0"/>
        <w:widowControl w:val="0"/>
        <w:kinsoku/>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第九条  履约（或质量）保证金</w:t>
      </w:r>
    </w:p>
    <w:p w14:paraId="27F7945B">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0FB8FF3">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2.若确需质量保证金的，质量保证金不得超过合同总价款的5%</w:t>
      </w:r>
    </w:p>
    <w:p w14:paraId="31889161">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3.如乙方未能履行其合同规定的任何义务，甲方有权从履约保证金中取得补偿。</w:t>
      </w:r>
    </w:p>
    <w:p w14:paraId="700B88CB">
      <w:pPr>
        <w:bidi w:val="0"/>
        <w:spacing w:line="360" w:lineRule="auto"/>
        <w:ind w:firstLine="442" w:firstLineChars="200"/>
        <w:rPr>
          <w:rFonts w:hint="eastAsia" w:ascii="宋体" w:hAnsi="宋体" w:eastAsia="宋体" w:cs="宋体"/>
          <w:color w:val="auto"/>
          <w:szCs w:val="21"/>
          <w:highlight w:val="none"/>
        </w:rPr>
      </w:pPr>
      <w:r>
        <w:rPr>
          <w:rFonts w:hint="eastAsia"/>
          <w:b/>
          <w:bCs/>
          <w:color w:val="auto"/>
          <w:sz w:val="22"/>
          <w:szCs w:val="21"/>
          <w:highlight w:val="none"/>
        </w:rPr>
        <w:t>第十条 甲方的权利和义务</w:t>
      </w:r>
    </w:p>
    <w:p w14:paraId="6CD71629">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5A40CA9">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2、甲方有权依据双方签订的考评办法对乙方提供的服务进行定期考评。当考评结果未达到标准时，有权依据考评办法约定的数额扣除履约保证金。</w:t>
      </w:r>
    </w:p>
    <w:p w14:paraId="28F72098">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3、负责检查监督乙方管理工作的实施及制度的执行情况。</w:t>
      </w:r>
    </w:p>
    <w:p w14:paraId="66156AB4">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4、根据本合同规定，按时向乙方支付应付服务费用。</w:t>
      </w:r>
    </w:p>
    <w:p w14:paraId="4D8C6D09">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5、国家法律、法规所规定由甲方承担的其他责任    </w:t>
      </w:r>
      <w:r>
        <w:rPr>
          <w:rFonts w:hint="eastAsia" w:ascii="宋体" w:hAnsi="宋体" w:eastAsia="宋体" w:cs="宋体"/>
          <w:color w:val="auto"/>
          <w:sz w:val="21"/>
          <w:szCs w:val="21"/>
          <w:highlight w:val="none"/>
          <w:lang w:val="en-US"/>
        </w:rPr>
        <w:t xml:space="preserve">           </w:t>
      </w:r>
    </w:p>
    <w:p w14:paraId="782FDCDF">
      <w:pPr>
        <w:pStyle w:val="9"/>
        <w:kinsoku w:val="0"/>
        <w:overflowPunct w:val="0"/>
        <w:spacing w:line="364" w:lineRule="auto"/>
        <w:ind w:left="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第十一条 乙方的权利和义务</w:t>
      </w:r>
    </w:p>
    <w:p w14:paraId="71E4E715">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1、对本合同规定的委托服务范围内的项目享有管理权及服务义务。</w:t>
      </w:r>
    </w:p>
    <w:p w14:paraId="69D8BF3C">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2、根据本合同的规定向甲方收取相关服务费用，并有权在本项目管理范围内管理及合理使用。</w:t>
      </w:r>
    </w:p>
    <w:p w14:paraId="15507D33">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3、及时向甲方通告本项目服务范围内有关服务的重大事项，及时配合处理投诉。</w:t>
      </w:r>
    </w:p>
    <w:p w14:paraId="6269EFD4">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4、接受项目行业管理部门及政府有关部门的指导，接受甲方的监督。</w:t>
      </w:r>
    </w:p>
    <w:p w14:paraId="03F18E78">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5、国家法律、法规所规定由乙方承担的其它责任。</w:t>
      </w:r>
    </w:p>
    <w:p w14:paraId="32BE6F56">
      <w:pPr>
        <w:pStyle w:val="9"/>
        <w:kinsoku w:val="0"/>
        <w:overflowPunct w:val="0"/>
        <w:spacing w:line="364" w:lineRule="auto"/>
        <w:ind w:left="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第十二条 违约责任</w:t>
      </w:r>
    </w:p>
    <w:p w14:paraId="29CBB1E1">
      <w:pPr>
        <w:pStyle w:val="9"/>
        <w:kinsoku w:val="0"/>
        <w:overflowPunct w:val="0"/>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1、甲乙双方必须遵守本合同并执行合同中的各项规定，保证本合同的正常履行。</w:t>
      </w:r>
    </w:p>
    <w:p w14:paraId="319881A8">
      <w:pPr>
        <w:pStyle w:val="9"/>
        <w:kinsoku w:val="0"/>
        <w:overflowPunct w:val="0"/>
        <w:spacing w:line="364"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2、甲方逾期付款的，除应及时付足款项外，应向乙方偿付欠款总额万分之 /天的违约金；逾期付款超过 天的，乙方有权终止合同。</w:t>
      </w:r>
    </w:p>
    <w:p w14:paraId="02A4C0AD">
      <w:pPr>
        <w:pStyle w:val="9"/>
        <w:kinsoku w:val="0"/>
        <w:overflowPunct w:val="0"/>
        <w:spacing w:line="364"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2B12F7">
      <w:pPr>
        <w:pStyle w:val="9"/>
        <w:kinsoku w:val="0"/>
        <w:overflowPunct w:val="0"/>
        <w:spacing w:line="364" w:lineRule="auto"/>
        <w:ind w:left="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4、变更、中止或者终止合同，有过错的一方应当承担赔偿责任，双方都有过错的，各自承担相应的责任。</w:t>
      </w:r>
    </w:p>
    <w:p w14:paraId="77F4B96A">
      <w:pPr>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第十三条 转让与分包</w:t>
      </w:r>
    </w:p>
    <w:p w14:paraId="125EA5EA">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1.除甲方事先书面同意外，乙方不得部分转让或全部转让其应履行的合同义务。</w:t>
      </w:r>
    </w:p>
    <w:p w14:paraId="4904CC2C">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337496E">
      <w:pPr>
        <w:spacing w:line="360" w:lineRule="auto"/>
        <w:ind w:firstLine="422" w:firstLineChars="200"/>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第十四条</w:t>
      </w:r>
      <w:r>
        <w:rPr>
          <w:rFonts w:hint="eastAsia" w:ascii="宋体" w:hAnsi="宋体" w:eastAsia="宋体" w:cs="宋体"/>
          <w:b w:val="0"/>
          <w:bCs w:val="0"/>
          <w:color w:val="auto"/>
          <w:sz w:val="21"/>
          <w:szCs w:val="21"/>
          <w:highlight w:val="none"/>
        </w:rPr>
        <w:t xml:space="preserve"> 合同文件及资料的使用</w:t>
      </w:r>
    </w:p>
    <w:p w14:paraId="7E0C20D9">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1.乙方在未经甲方同意的情况下，不得将合同、合同中的规定、有关计划、图纸、样本或甲方为上述内容向乙方提供的资料透露给任何人。</w:t>
      </w:r>
    </w:p>
    <w:p w14:paraId="0E834D47">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2.除非执行合同需要，在事先未得到甲方同意的情况下，乙方不得使用前款所列的任何文件和资料。</w:t>
      </w:r>
    </w:p>
    <w:p w14:paraId="12A7D8EE">
      <w:pPr>
        <w:bidi w:val="0"/>
        <w:spacing w:line="360" w:lineRule="auto"/>
        <w:ind w:firstLine="422" w:firstLineChars="200"/>
        <w:rPr>
          <w:rFonts w:hint="eastAsia"/>
          <w:b/>
          <w:bCs/>
          <w:color w:val="auto"/>
          <w:highlight w:val="none"/>
        </w:rPr>
      </w:pPr>
      <w:r>
        <w:rPr>
          <w:rFonts w:hint="eastAsia"/>
          <w:b/>
          <w:bCs/>
          <w:color w:val="auto"/>
          <w:highlight w:val="none"/>
        </w:rPr>
        <w:t>第十五条 不可抗力事件处理</w:t>
      </w:r>
    </w:p>
    <w:p w14:paraId="71C4A67B">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3D2B67">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72B416">
      <w:pPr>
        <w:bidi w:val="0"/>
        <w:spacing w:line="360" w:lineRule="auto"/>
        <w:ind w:firstLine="422" w:firstLineChars="200"/>
        <w:rPr>
          <w:rFonts w:hint="eastAsia"/>
          <w:b/>
          <w:bCs/>
          <w:color w:val="auto"/>
          <w:sz w:val="21"/>
          <w:szCs w:val="20"/>
          <w:highlight w:val="none"/>
        </w:rPr>
      </w:pPr>
      <w:r>
        <w:rPr>
          <w:rFonts w:hint="eastAsia"/>
          <w:b/>
          <w:bCs/>
          <w:color w:val="auto"/>
          <w:sz w:val="21"/>
          <w:szCs w:val="20"/>
          <w:highlight w:val="none"/>
        </w:rPr>
        <w:t>第十六条 合同纠纷调处</w:t>
      </w:r>
    </w:p>
    <w:p w14:paraId="33325411">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1.按本合同规定应该偿付的违约金、赔偿金、保管保养费和各种经济损失，应当在明确责任后10天内，按银行规定的结算办法付清，否则按逾期付款处理。</w:t>
      </w:r>
    </w:p>
    <w:p w14:paraId="6DF22D59">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 w:val="21"/>
          <w:szCs w:val="21"/>
          <w:highlight w:val="none"/>
          <w:u w:val="single"/>
        </w:rPr>
        <w:t>周口仲裁委员会</w:t>
      </w:r>
      <w:r>
        <w:rPr>
          <w:rFonts w:hint="eastAsia" w:ascii="宋体" w:hAnsi="宋体" w:eastAsia="宋体" w:cs="宋体"/>
          <w:color w:val="auto"/>
          <w:sz w:val="21"/>
          <w:szCs w:val="21"/>
          <w:highlight w:val="none"/>
        </w:rPr>
        <w:t>申请仲裁。②向合同签订地有级别管辖权的人民法院起诉。</w:t>
      </w:r>
    </w:p>
    <w:p w14:paraId="62963FCD">
      <w:pPr>
        <w:bidi w:val="0"/>
        <w:spacing w:line="360" w:lineRule="auto"/>
        <w:ind w:firstLine="420" w:firstLineChars="200"/>
        <w:rPr>
          <w:rFonts w:hint="eastAsia"/>
          <w:color w:val="auto"/>
          <w:highlight w:val="none"/>
          <w:lang w:val="en-US"/>
        </w:rPr>
      </w:pPr>
      <w:r>
        <w:rPr>
          <w:rFonts w:hint="eastAsia"/>
          <w:color w:val="auto"/>
          <w:highlight w:val="none"/>
          <w:lang w:val="en-US"/>
        </w:rPr>
        <w:t>3</w:t>
      </w:r>
      <w:r>
        <w:rPr>
          <w:rFonts w:hint="eastAsia"/>
          <w:color w:val="auto"/>
          <w:highlight w:val="none"/>
          <w:lang w:val="en-US" w:eastAsia="zh-CN"/>
        </w:rPr>
        <w:t>.甲、乙双方均有权利向本项目具有监管职能的政府采购监督管理部门举报反映对方在合同履约中的违法违纪行为。</w:t>
      </w:r>
    </w:p>
    <w:p w14:paraId="49530277">
      <w:pPr>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第十七条 其他</w:t>
      </w:r>
    </w:p>
    <w:p w14:paraId="73FAD7D8">
      <w:pPr>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下列关于周口市公共资源交易中心政府采购代理机构名称</w:t>
      </w:r>
      <w:r>
        <w:rPr>
          <w:rFonts w:hint="eastAsia" w:ascii="宋体" w:hAnsi="宋体" w:eastAsia="宋体" w:cs="宋体"/>
          <w:color w:val="auto"/>
          <w:sz w:val="21"/>
          <w:szCs w:val="21"/>
          <w:highlight w:val="none"/>
          <w:u w:val="single"/>
        </w:rPr>
        <w:t>某项目（项目编号：某编号）</w:t>
      </w:r>
      <w:r>
        <w:rPr>
          <w:rFonts w:hint="eastAsia" w:ascii="宋体" w:hAnsi="宋体" w:eastAsia="宋体" w:cs="宋体"/>
          <w:color w:val="auto"/>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397C64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430D5FA0">
      <w:pPr>
        <w:spacing w:line="360" w:lineRule="auto"/>
        <w:ind w:firstLine="420" w:firstLineChars="200"/>
        <w:jc w:val="both"/>
        <w:rPr>
          <w:rFonts w:hint="eastAsia" w:ascii="宋体" w:hAnsi="宋体" w:eastAsia="宋体" w:cs="宋体"/>
          <w:color w:val="auto"/>
          <w:szCs w:val="27"/>
          <w:highlight w:val="none"/>
        </w:rPr>
      </w:pPr>
    </w:p>
    <w:p w14:paraId="1466446D">
      <w:pPr>
        <w:pStyle w:val="27"/>
        <w:ind w:firstLine="240"/>
        <w:rPr>
          <w:rFonts w:hint="eastAsia" w:ascii="宋体" w:hAnsi="宋体" w:eastAsia="宋体" w:cs="宋体"/>
          <w:color w:val="auto"/>
          <w:highlight w:val="none"/>
        </w:rPr>
      </w:pPr>
    </w:p>
    <w:p w14:paraId="417D8B2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0AC6905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435B1D1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10C56D42">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09ACDF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03B3DFDF">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2846491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F78D296">
      <w:pPr>
        <w:spacing w:line="640" w:lineRule="exact"/>
        <w:ind w:firstLine="420" w:firstLineChars="200"/>
        <w:jc w:val="both"/>
        <w:rPr>
          <w:rFonts w:hint="eastAsia" w:ascii="宋体" w:hAnsi="宋体" w:eastAsia="宋体" w:cs="宋体"/>
          <w:color w:val="auto"/>
          <w:szCs w:val="27"/>
          <w:highlight w:val="none"/>
          <w:u w:val="single"/>
        </w:rPr>
      </w:pPr>
    </w:p>
    <w:p w14:paraId="3C85C81C">
      <w:pPr>
        <w:spacing w:line="900" w:lineRule="exact"/>
        <w:jc w:val="center"/>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p>
    <w:p w14:paraId="20F9AE62">
      <w:pPr>
        <w:pStyle w:val="27"/>
        <w:rPr>
          <w:rFonts w:hint="eastAsia" w:ascii="宋体" w:hAnsi="宋体" w:eastAsia="宋体" w:cs="宋体"/>
          <w:color w:val="auto"/>
          <w:szCs w:val="27"/>
          <w:highlight w:val="none"/>
        </w:rPr>
      </w:pPr>
    </w:p>
    <w:p w14:paraId="23AB4DB6">
      <w:pPr>
        <w:pStyle w:val="2"/>
        <w:bidi w:val="0"/>
        <w:rPr>
          <w:rFonts w:hint="eastAsia" w:ascii="宋体" w:hAnsi="宋体" w:eastAsia="宋体" w:cs="宋体"/>
          <w:color w:val="auto"/>
          <w:highlight w:val="none"/>
        </w:rPr>
      </w:pPr>
      <w:bookmarkStart w:id="137" w:name="_Toc30894"/>
      <w:r>
        <w:rPr>
          <w:rFonts w:hint="eastAsia" w:ascii="宋体" w:hAnsi="宋体" w:eastAsia="宋体" w:cs="宋体"/>
          <w:color w:val="auto"/>
          <w:highlight w:val="none"/>
        </w:rPr>
        <w:t>第七章 投标文件格式</w:t>
      </w:r>
      <w:bookmarkEnd w:id="136"/>
      <w:bookmarkEnd w:id="137"/>
    </w:p>
    <w:p w14:paraId="1DD5B8BA">
      <w:pPr>
        <w:pStyle w:val="16"/>
        <w:rPr>
          <w:rFonts w:hint="eastAsia" w:ascii="宋体" w:hAnsi="宋体" w:eastAsia="宋体" w:cs="宋体"/>
          <w:color w:val="auto"/>
          <w:highlight w:val="none"/>
        </w:rPr>
      </w:pPr>
      <w:bookmarkStart w:id="138" w:name="_Hlt509738509"/>
      <w:bookmarkStart w:id="139" w:name="_Hlt519045391"/>
      <w:bookmarkStart w:id="140" w:name="_Hlt509738521"/>
    </w:p>
    <w:p w14:paraId="517A5875">
      <w:pPr>
        <w:pStyle w:val="16"/>
        <w:rPr>
          <w:rFonts w:hint="eastAsia" w:ascii="宋体" w:hAnsi="宋体" w:eastAsia="宋体" w:cs="宋体"/>
          <w:color w:val="auto"/>
          <w:highlight w:val="none"/>
        </w:rPr>
        <w:sectPr>
          <w:pgSz w:w="11906" w:h="16838"/>
          <w:pgMar w:top="1389" w:right="1304" w:bottom="1440" w:left="1304" w:header="851" w:footer="992" w:gutter="0"/>
          <w:cols w:space="720" w:num="1"/>
          <w:docGrid w:linePitch="312" w:charSpace="0"/>
        </w:sectPr>
      </w:pPr>
    </w:p>
    <w:p w14:paraId="5C1A6495">
      <w:pPr>
        <w:pStyle w:val="20"/>
        <w:rPr>
          <w:rFonts w:hint="eastAsia" w:ascii="宋体" w:hAnsi="宋体" w:eastAsia="宋体" w:cs="宋体"/>
          <w:color w:val="auto"/>
          <w:highlight w:val="none"/>
        </w:rPr>
      </w:pPr>
      <w:bookmarkStart w:id="141" w:name="_Toc20284_WPSOffice_Level2"/>
      <w:r>
        <w:rPr>
          <w:rFonts w:hint="eastAsia" w:ascii="宋体" w:hAnsi="宋体" w:eastAsia="宋体" w:cs="宋体"/>
          <w:color w:val="auto"/>
          <w:highlight w:val="none"/>
        </w:rPr>
        <w:t>投标文件资料清单</w:t>
      </w:r>
      <w:bookmarkEnd w:id="141"/>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F50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5DFE9DA">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5460" w:type="dxa"/>
            <w:noWrap w:val="0"/>
            <w:vAlign w:val="center"/>
          </w:tcPr>
          <w:p w14:paraId="669C3000">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资料名称</w:t>
            </w:r>
          </w:p>
        </w:tc>
        <w:tc>
          <w:tcPr>
            <w:tcW w:w="1854" w:type="dxa"/>
            <w:noWrap w:val="0"/>
            <w:vAlign w:val="center"/>
          </w:tcPr>
          <w:p w14:paraId="0C56A0DF">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页码范围</w:t>
            </w:r>
          </w:p>
        </w:tc>
      </w:tr>
      <w:tr w14:paraId="6D4D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0018F4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noWrap w:val="0"/>
            <w:vAlign w:val="center"/>
          </w:tcPr>
          <w:p w14:paraId="569C6F44">
            <w:pPr>
              <w:rPr>
                <w:rFonts w:hint="eastAsia" w:ascii="宋体" w:hAnsi="宋体" w:eastAsia="宋体" w:cs="宋体"/>
                <w:color w:val="auto"/>
                <w:highlight w:val="none"/>
                <w:u w:val="single"/>
              </w:rPr>
            </w:pPr>
            <w:r>
              <w:rPr>
                <w:rFonts w:hint="eastAsia" w:ascii="宋体" w:hAnsi="宋体" w:eastAsia="宋体" w:cs="宋体"/>
                <w:bCs/>
                <w:color w:val="auto"/>
                <w:sz w:val="24"/>
                <w:highlight w:val="none"/>
              </w:rPr>
              <w:t>开标一览表</w:t>
            </w:r>
          </w:p>
        </w:tc>
        <w:tc>
          <w:tcPr>
            <w:tcW w:w="1854" w:type="dxa"/>
            <w:noWrap w:val="0"/>
            <w:vAlign w:val="center"/>
          </w:tcPr>
          <w:p w14:paraId="1238C998">
            <w:pPr>
              <w:spacing w:line="360" w:lineRule="auto"/>
              <w:jc w:val="center"/>
              <w:rPr>
                <w:rFonts w:hint="eastAsia" w:ascii="宋体" w:hAnsi="宋体" w:eastAsia="宋体" w:cs="宋体"/>
                <w:b/>
                <w:color w:val="auto"/>
                <w:sz w:val="24"/>
                <w:highlight w:val="none"/>
              </w:rPr>
            </w:pPr>
          </w:p>
        </w:tc>
      </w:tr>
      <w:tr w14:paraId="1F9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113123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noWrap w:val="0"/>
            <w:vAlign w:val="center"/>
          </w:tcPr>
          <w:p w14:paraId="1CEB26AF">
            <w:pPr>
              <w:rPr>
                <w:rFonts w:hint="eastAsia" w:ascii="宋体" w:hAnsi="宋体" w:eastAsia="宋体" w:cs="宋体"/>
                <w:bCs/>
                <w:color w:val="auto"/>
                <w:sz w:val="24"/>
                <w:highlight w:val="none"/>
              </w:rPr>
            </w:pP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情况综合简介</w:t>
            </w:r>
          </w:p>
        </w:tc>
        <w:tc>
          <w:tcPr>
            <w:tcW w:w="1854" w:type="dxa"/>
            <w:noWrap w:val="0"/>
            <w:vAlign w:val="center"/>
          </w:tcPr>
          <w:p w14:paraId="0B09DC75">
            <w:pPr>
              <w:spacing w:line="360" w:lineRule="auto"/>
              <w:jc w:val="center"/>
              <w:rPr>
                <w:rFonts w:hint="eastAsia" w:ascii="宋体" w:hAnsi="宋体" w:eastAsia="宋体" w:cs="宋体"/>
                <w:b/>
                <w:color w:val="auto"/>
                <w:sz w:val="24"/>
                <w:highlight w:val="none"/>
              </w:rPr>
            </w:pPr>
          </w:p>
        </w:tc>
      </w:tr>
      <w:tr w14:paraId="57A9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912C0B">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w:t>
            </w:r>
          </w:p>
        </w:tc>
        <w:tc>
          <w:tcPr>
            <w:tcW w:w="5460" w:type="dxa"/>
            <w:noWrap w:val="0"/>
            <w:vAlign w:val="center"/>
          </w:tcPr>
          <w:p w14:paraId="767039E5">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投标函</w:t>
            </w:r>
          </w:p>
        </w:tc>
        <w:tc>
          <w:tcPr>
            <w:tcW w:w="1854" w:type="dxa"/>
            <w:noWrap w:val="0"/>
            <w:vAlign w:val="center"/>
          </w:tcPr>
          <w:p w14:paraId="1A2F8B60">
            <w:pPr>
              <w:spacing w:line="360" w:lineRule="auto"/>
              <w:jc w:val="center"/>
              <w:rPr>
                <w:rFonts w:hint="eastAsia" w:ascii="宋体" w:hAnsi="宋体" w:eastAsia="宋体" w:cs="宋体"/>
                <w:b/>
                <w:color w:val="auto"/>
                <w:sz w:val="24"/>
                <w:highlight w:val="none"/>
              </w:rPr>
            </w:pPr>
          </w:p>
        </w:tc>
      </w:tr>
      <w:tr w14:paraId="5EC3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CFD858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noWrap w:val="0"/>
            <w:vAlign w:val="center"/>
          </w:tcPr>
          <w:p w14:paraId="55D084FC">
            <w:pPr>
              <w:rPr>
                <w:rFonts w:hint="eastAsia" w:ascii="宋体" w:hAnsi="宋体" w:eastAsia="宋体" w:cs="宋体"/>
                <w:bCs/>
                <w:color w:val="auto"/>
                <w:highlight w:val="none"/>
              </w:rPr>
            </w:pPr>
            <w:r>
              <w:rPr>
                <w:rFonts w:hint="eastAsia" w:ascii="宋体" w:hAnsi="宋体" w:eastAsia="宋体" w:cs="宋体"/>
                <w:color w:val="auto"/>
                <w:sz w:val="24"/>
                <w:highlight w:val="none"/>
              </w:rPr>
              <w:t>投标响应表</w:t>
            </w:r>
          </w:p>
        </w:tc>
        <w:tc>
          <w:tcPr>
            <w:tcW w:w="1854" w:type="dxa"/>
            <w:noWrap w:val="0"/>
            <w:vAlign w:val="center"/>
          </w:tcPr>
          <w:p w14:paraId="1D83BCD5">
            <w:pPr>
              <w:spacing w:line="360" w:lineRule="auto"/>
              <w:jc w:val="center"/>
              <w:rPr>
                <w:rFonts w:hint="eastAsia" w:ascii="宋体" w:hAnsi="宋体" w:eastAsia="宋体" w:cs="宋体"/>
                <w:b/>
                <w:color w:val="auto"/>
                <w:sz w:val="24"/>
                <w:highlight w:val="none"/>
              </w:rPr>
            </w:pPr>
          </w:p>
        </w:tc>
      </w:tr>
      <w:tr w14:paraId="535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D3A64B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noWrap w:val="0"/>
            <w:vAlign w:val="center"/>
          </w:tcPr>
          <w:p w14:paraId="7997C1A7">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服务质量承诺</w:t>
            </w:r>
          </w:p>
        </w:tc>
        <w:tc>
          <w:tcPr>
            <w:tcW w:w="1854" w:type="dxa"/>
            <w:noWrap w:val="0"/>
            <w:vAlign w:val="center"/>
          </w:tcPr>
          <w:p w14:paraId="742BF7F9">
            <w:pPr>
              <w:spacing w:line="360" w:lineRule="auto"/>
              <w:jc w:val="center"/>
              <w:rPr>
                <w:rFonts w:hint="eastAsia" w:ascii="宋体" w:hAnsi="宋体" w:eastAsia="宋体" w:cs="宋体"/>
                <w:b/>
                <w:color w:val="auto"/>
                <w:sz w:val="24"/>
                <w:highlight w:val="none"/>
              </w:rPr>
            </w:pPr>
          </w:p>
        </w:tc>
      </w:tr>
      <w:tr w14:paraId="3C49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3003C60">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六</w:t>
            </w:r>
          </w:p>
        </w:tc>
        <w:tc>
          <w:tcPr>
            <w:tcW w:w="5460" w:type="dxa"/>
            <w:noWrap w:val="0"/>
            <w:vAlign w:val="center"/>
          </w:tcPr>
          <w:p w14:paraId="06EEF674">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noWrap w:val="0"/>
            <w:vAlign w:val="center"/>
          </w:tcPr>
          <w:p w14:paraId="1E16E18A">
            <w:pPr>
              <w:spacing w:line="360" w:lineRule="auto"/>
              <w:rPr>
                <w:rFonts w:hint="eastAsia" w:ascii="宋体" w:hAnsi="宋体" w:eastAsia="宋体" w:cs="宋体"/>
                <w:b/>
                <w:color w:val="auto"/>
                <w:sz w:val="24"/>
                <w:highlight w:val="none"/>
              </w:rPr>
            </w:pPr>
          </w:p>
        </w:tc>
      </w:tr>
      <w:tr w14:paraId="08C9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2DA45CF">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七</w:t>
            </w:r>
          </w:p>
        </w:tc>
        <w:tc>
          <w:tcPr>
            <w:tcW w:w="5460" w:type="dxa"/>
            <w:noWrap w:val="0"/>
            <w:vAlign w:val="center"/>
          </w:tcPr>
          <w:p w14:paraId="23B5A008">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noWrap w:val="0"/>
            <w:vAlign w:val="center"/>
          </w:tcPr>
          <w:p w14:paraId="014CA112">
            <w:pPr>
              <w:spacing w:line="360" w:lineRule="auto"/>
              <w:rPr>
                <w:rFonts w:hint="eastAsia" w:ascii="宋体" w:hAnsi="宋体" w:eastAsia="宋体" w:cs="宋体"/>
                <w:b/>
                <w:color w:val="auto"/>
                <w:sz w:val="24"/>
                <w:highlight w:val="none"/>
              </w:rPr>
            </w:pPr>
          </w:p>
        </w:tc>
      </w:tr>
      <w:tr w14:paraId="65A8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E5638BB">
            <w:pPr>
              <w:ind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八</w:t>
            </w:r>
          </w:p>
        </w:tc>
        <w:tc>
          <w:tcPr>
            <w:tcW w:w="5460" w:type="dxa"/>
            <w:noWrap w:val="0"/>
            <w:vAlign w:val="center"/>
          </w:tcPr>
          <w:p w14:paraId="4ED8711C">
            <w:pP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noWrap w:val="0"/>
            <w:vAlign w:val="center"/>
          </w:tcPr>
          <w:p w14:paraId="39FC8A46">
            <w:pPr>
              <w:spacing w:line="360" w:lineRule="auto"/>
              <w:rPr>
                <w:rFonts w:hint="eastAsia" w:ascii="宋体" w:hAnsi="宋体" w:eastAsia="宋体" w:cs="宋体"/>
                <w:b/>
                <w:color w:val="auto"/>
                <w:sz w:val="24"/>
                <w:highlight w:val="none"/>
              </w:rPr>
            </w:pPr>
          </w:p>
        </w:tc>
      </w:tr>
      <w:tr w14:paraId="37AE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670BBE03">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九</w:t>
            </w:r>
          </w:p>
        </w:tc>
        <w:tc>
          <w:tcPr>
            <w:tcW w:w="5460" w:type="dxa"/>
            <w:noWrap w:val="0"/>
            <w:vAlign w:val="center"/>
          </w:tcPr>
          <w:p w14:paraId="1B9542B2">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所投服务的技术资料等</w:t>
            </w:r>
          </w:p>
        </w:tc>
        <w:tc>
          <w:tcPr>
            <w:tcW w:w="1854" w:type="dxa"/>
            <w:noWrap w:val="0"/>
            <w:vAlign w:val="center"/>
          </w:tcPr>
          <w:p w14:paraId="0585AD28">
            <w:pPr>
              <w:spacing w:line="360" w:lineRule="auto"/>
              <w:rPr>
                <w:rFonts w:hint="eastAsia" w:ascii="宋体" w:hAnsi="宋体" w:eastAsia="宋体" w:cs="宋体"/>
                <w:b/>
                <w:color w:val="auto"/>
                <w:sz w:val="24"/>
                <w:highlight w:val="none"/>
              </w:rPr>
            </w:pPr>
          </w:p>
        </w:tc>
      </w:tr>
      <w:tr w14:paraId="751E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C05C8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noWrap w:val="0"/>
            <w:vAlign w:val="center"/>
          </w:tcPr>
          <w:p w14:paraId="52E8AC5D">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认为需要提供得材料等</w:t>
            </w:r>
          </w:p>
        </w:tc>
        <w:tc>
          <w:tcPr>
            <w:tcW w:w="1854" w:type="dxa"/>
            <w:noWrap w:val="0"/>
            <w:vAlign w:val="center"/>
          </w:tcPr>
          <w:p w14:paraId="5FE259D0">
            <w:pPr>
              <w:spacing w:line="360" w:lineRule="auto"/>
              <w:rPr>
                <w:rFonts w:hint="eastAsia" w:ascii="宋体" w:hAnsi="宋体" w:eastAsia="宋体" w:cs="宋体"/>
                <w:b/>
                <w:color w:val="auto"/>
                <w:sz w:val="24"/>
                <w:highlight w:val="none"/>
              </w:rPr>
            </w:pPr>
          </w:p>
        </w:tc>
      </w:tr>
      <w:tr w14:paraId="42C9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264E9D2">
            <w:pPr>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十</w:t>
            </w:r>
            <w:r>
              <w:rPr>
                <w:rFonts w:hint="eastAsia" w:ascii="宋体" w:hAnsi="宋体" w:cs="宋体"/>
                <w:color w:val="auto"/>
                <w:sz w:val="24"/>
                <w:highlight w:val="none"/>
                <w:lang w:val="en-US" w:eastAsia="zh-CN"/>
              </w:rPr>
              <w:t>一</w:t>
            </w:r>
          </w:p>
        </w:tc>
        <w:tc>
          <w:tcPr>
            <w:tcW w:w="5460" w:type="dxa"/>
            <w:noWrap w:val="0"/>
            <w:vAlign w:val="center"/>
          </w:tcPr>
          <w:p w14:paraId="296668F2">
            <w:pPr>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政府采购供应商诚信承诺书</w:t>
            </w:r>
          </w:p>
        </w:tc>
        <w:tc>
          <w:tcPr>
            <w:tcW w:w="1854" w:type="dxa"/>
            <w:noWrap w:val="0"/>
            <w:vAlign w:val="center"/>
          </w:tcPr>
          <w:p w14:paraId="0DE0F1C6">
            <w:pPr>
              <w:spacing w:line="360" w:lineRule="auto"/>
              <w:rPr>
                <w:rFonts w:hint="eastAsia" w:ascii="宋体" w:hAnsi="宋体" w:eastAsia="宋体" w:cs="宋体"/>
                <w:b/>
                <w:color w:val="auto"/>
                <w:sz w:val="24"/>
                <w:highlight w:val="none"/>
              </w:rPr>
            </w:pPr>
          </w:p>
        </w:tc>
      </w:tr>
      <w:tr w14:paraId="4693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6F32176D">
            <w:pPr>
              <w:spacing w:line="500" w:lineRule="exac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备注：投标文件资料清单是</w:t>
            </w:r>
            <w:r>
              <w:rPr>
                <w:rFonts w:hint="eastAsia" w:ascii="宋体" w:hAnsi="宋体" w:cs="宋体"/>
                <w:b/>
                <w:color w:val="auto"/>
                <w:sz w:val="28"/>
                <w:highlight w:val="none"/>
                <w:lang w:eastAsia="zh-CN"/>
              </w:rPr>
              <w:t>供应商</w:t>
            </w:r>
            <w:r>
              <w:rPr>
                <w:rFonts w:hint="eastAsia" w:ascii="宋体" w:hAnsi="宋体" w:eastAsia="宋体" w:cs="宋体"/>
                <w:b/>
                <w:color w:val="auto"/>
                <w:sz w:val="28"/>
                <w:highlight w:val="none"/>
              </w:rPr>
              <w:t>制作投标文件的参考格式，并非必须格式，请各位</w:t>
            </w:r>
            <w:r>
              <w:rPr>
                <w:rFonts w:hint="eastAsia" w:ascii="宋体" w:hAnsi="宋体" w:cs="宋体"/>
                <w:b/>
                <w:color w:val="auto"/>
                <w:sz w:val="28"/>
                <w:highlight w:val="none"/>
                <w:lang w:eastAsia="zh-CN"/>
              </w:rPr>
              <w:t>供应商</w:t>
            </w:r>
            <w:r>
              <w:rPr>
                <w:rFonts w:hint="eastAsia" w:ascii="宋体" w:hAnsi="宋体" w:eastAsia="宋体" w:cs="宋体"/>
                <w:b/>
                <w:color w:val="auto"/>
                <w:sz w:val="28"/>
                <w:highlight w:val="none"/>
              </w:rPr>
              <w:t>根据所投项目需要自行增减，是否依据了本格式或自行增减了多少格式并不是废标的条款。</w:t>
            </w:r>
          </w:p>
        </w:tc>
      </w:tr>
    </w:tbl>
    <w:p w14:paraId="2FA1D6A0">
      <w:pPr>
        <w:spacing w:line="500" w:lineRule="exact"/>
        <w:rPr>
          <w:rFonts w:hint="eastAsia" w:ascii="宋体" w:hAnsi="宋体" w:eastAsia="宋体" w:cs="宋体"/>
          <w:color w:val="auto"/>
          <w:sz w:val="28"/>
          <w:highlight w:val="none"/>
        </w:rPr>
      </w:pPr>
    </w:p>
    <w:p w14:paraId="3CF32AFB">
      <w:pPr>
        <w:pStyle w:val="16"/>
        <w:rPr>
          <w:rFonts w:hint="eastAsia" w:ascii="宋体" w:hAnsi="宋体" w:eastAsia="宋体" w:cs="宋体"/>
          <w:color w:val="auto"/>
          <w:highlight w:val="none"/>
        </w:rPr>
      </w:pPr>
    </w:p>
    <w:p w14:paraId="0F0D5D6F">
      <w:pPr>
        <w:pStyle w:val="16"/>
        <w:rPr>
          <w:rFonts w:hint="eastAsia" w:ascii="宋体" w:hAnsi="宋体" w:eastAsia="宋体" w:cs="宋体"/>
          <w:color w:val="auto"/>
          <w:highlight w:val="none"/>
        </w:rPr>
      </w:pPr>
    </w:p>
    <w:p w14:paraId="3D627256">
      <w:pPr>
        <w:pStyle w:val="16"/>
        <w:rPr>
          <w:rFonts w:hint="eastAsia" w:ascii="宋体" w:hAnsi="宋体" w:eastAsia="宋体" w:cs="宋体"/>
          <w:color w:val="auto"/>
          <w:highlight w:val="none"/>
        </w:rPr>
      </w:pPr>
    </w:p>
    <w:p w14:paraId="434437AB">
      <w:pPr>
        <w:pStyle w:val="16"/>
        <w:rPr>
          <w:rFonts w:hint="eastAsia" w:ascii="宋体" w:hAnsi="宋体" w:eastAsia="宋体" w:cs="宋体"/>
          <w:color w:val="auto"/>
          <w:highlight w:val="none"/>
        </w:rPr>
      </w:pPr>
    </w:p>
    <w:p w14:paraId="674607C1">
      <w:pPr>
        <w:bidi w:val="0"/>
        <w:rPr>
          <w:rFonts w:hint="eastAsia"/>
          <w:color w:val="auto"/>
          <w:highlight w:val="none"/>
          <w:lang w:eastAsia="zh-CN"/>
        </w:rPr>
      </w:pPr>
      <w:bookmarkStart w:id="142" w:name="_Toc40975449"/>
      <w:bookmarkStart w:id="143" w:name="_Toc2396_WPSOffice_Level2"/>
      <w:bookmarkStart w:id="144" w:name="_Toc197934561"/>
    </w:p>
    <w:p w14:paraId="72312B7D">
      <w:pPr>
        <w:pStyle w:val="26"/>
        <w:rPr>
          <w:rFonts w:hint="eastAsia"/>
          <w:color w:val="auto"/>
          <w:highlight w:val="none"/>
          <w:lang w:eastAsia="zh-CN"/>
        </w:rPr>
      </w:pPr>
    </w:p>
    <w:p w14:paraId="06769FB4">
      <w:pPr>
        <w:pStyle w:val="6"/>
        <w:rPr>
          <w:rFonts w:hint="eastAsia"/>
          <w:color w:val="auto"/>
          <w:highlight w:val="none"/>
          <w:lang w:eastAsia="zh-CN"/>
        </w:rPr>
      </w:pPr>
    </w:p>
    <w:p w14:paraId="4C420036">
      <w:pPr>
        <w:rPr>
          <w:rFonts w:hint="eastAsia"/>
          <w:color w:val="auto"/>
          <w:highlight w:val="none"/>
          <w:lang w:eastAsia="zh-CN"/>
        </w:rPr>
      </w:pPr>
    </w:p>
    <w:p w14:paraId="00CA9161">
      <w:pPr>
        <w:pStyle w:val="26"/>
        <w:rPr>
          <w:rFonts w:hint="eastAsia"/>
          <w:color w:val="auto"/>
          <w:highlight w:val="none"/>
          <w:lang w:eastAsia="zh-CN"/>
        </w:rPr>
      </w:pPr>
    </w:p>
    <w:p w14:paraId="272BEF04">
      <w:pPr>
        <w:rPr>
          <w:rFonts w:hint="eastAsia" w:ascii="宋体" w:hAnsi="宋体" w:eastAsia="宋体" w:cs="宋体"/>
          <w:color w:val="auto"/>
          <w:sz w:val="28"/>
          <w:highlight w:val="none"/>
          <w:lang w:eastAsia="zh-CN"/>
        </w:rPr>
      </w:pPr>
    </w:p>
    <w:p w14:paraId="68B50C07">
      <w:pPr>
        <w:pStyle w:val="26"/>
        <w:rPr>
          <w:rFonts w:hint="eastAsia" w:ascii="宋体" w:hAnsi="宋体" w:eastAsia="宋体" w:cs="宋体"/>
          <w:color w:val="auto"/>
          <w:sz w:val="28"/>
          <w:highlight w:val="none"/>
          <w:lang w:eastAsia="zh-CN"/>
        </w:rPr>
      </w:pPr>
    </w:p>
    <w:p w14:paraId="604FFA15">
      <w:pPr>
        <w:pStyle w:val="6"/>
        <w:rPr>
          <w:rFonts w:hint="eastAsia"/>
          <w:color w:val="auto"/>
          <w:highlight w:val="none"/>
          <w:lang w:eastAsia="zh-CN"/>
        </w:rPr>
      </w:pPr>
    </w:p>
    <w:p w14:paraId="28BA3E91">
      <w:pPr>
        <w:pStyle w:val="4"/>
        <w:bidi w:val="0"/>
        <w:rPr>
          <w:rFonts w:hint="eastAsia"/>
          <w:color w:val="auto"/>
          <w:highlight w:val="none"/>
        </w:rPr>
      </w:pPr>
      <w:bookmarkStart w:id="145" w:name="_Toc5255"/>
      <w:bookmarkStart w:id="146" w:name="_Toc11226"/>
      <w:bookmarkStart w:id="147" w:name="_Toc17431"/>
      <w:r>
        <w:rPr>
          <w:rFonts w:hint="eastAsia"/>
          <w:color w:val="auto"/>
          <w:highlight w:val="none"/>
        </w:rPr>
        <w:t>一．开标一览表</w:t>
      </w:r>
      <w:bookmarkEnd w:id="142"/>
      <w:bookmarkEnd w:id="143"/>
      <w:bookmarkEnd w:id="144"/>
      <w:bookmarkEnd w:id="145"/>
      <w:bookmarkEnd w:id="146"/>
      <w:bookmarkEnd w:id="14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3FA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8FBAF19">
            <w:pPr>
              <w:widowControl/>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311A4E2">
            <w:pPr>
              <w:spacing w:line="360" w:lineRule="exact"/>
              <w:jc w:val="center"/>
              <w:rPr>
                <w:rFonts w:hint="eastAsia" w:ascii="宋体" w:hAnsi="宋体" w:eastAsia="宋体" w:cs="宋体"/>
                <w:bCs/>
                <w:color w:val="auto"/>
                <w:sz w:val="24"/>
                <w:highlight w:val="none"/>
                <w:u w:val="single"/>
              </w:rPr>
            </w:pPr>
          </w:p>
        </w:tc>
      </w:tr>
      <w:tr w14:paraId="24C0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63AE7F4">
            <w:pPr>
              <w:spacing w:line="360" w:lineRule="exact"/>
              <w:jc w:val="center"/>
              <w:rPr>
                <w:rFonts w:hint="eastAsia" w:ascii="宋体" w:hAnsi="宋体" w:eastAsia="宋体" w:cs="宋体"/>
                <w:b/>
                <w:color w:val="auto"/>
                <w:sz w:val="24"/>
                <w:highlight w:val="none"/>
              </w:rPr>
            </w:pPr>
            <w:r>
              <w:rPr>
                <w:rFonts w:hint="eastAsia" w:ascii="宋体" w:hAnsi="宋体" w:cs="宋体"/>
                <w:b/>
                <w:color w:val="auto"/>
                <w:sz w:val="24"/>
                <w:highlight w:val="none"/>
                <w:lang w:eastAsia="zh-CN"/>
              </w:rPr>
              <w:t>供应商</w:t>
            </w:r>
            <w:r>
              <w:rPr>
                <w:rFonts w:hint="eastAsia" w:ascii="宋体" w:hAnsi="宋体" w:eastAsia="宋体" w:cs="宋体"/>
                <w:b/>
                <w:color w:val="auto"/>
                <w:sz w:val="24"/>
                <w:highlight w:val="none"/>
              </w:rPr>
              <w:t>全称</w:t>
            </w:r>
          </w:p>
        </w:tc>
        <w:tc>
          <w:tcPr>
            <w:tcW w:w="6309" w:type="dxa"/>
            <w:tcBorders>
              <w:top w:val="nil"/>
            </w:tcBorders>
            <w:noWrap w:val="0"/>
            <w:vAlign w:val="center"/>
          </w:tcPr>
          <w:p w14:paraId="6FF7F703">
            <w:pPr>
              <w:spacing w:line="360" w:lineRule="auto"/>
              <w:rPr>
                <w:rFonts w:hint="eastAsia" w:ascii="宋体" w:hAnsi="宋体" w:eastAsia="宋体" w:cs="宋体"/>
                <w:color w:val="auto"/>
                <w:sz w:val="24"/>
                <w:highlight w:val="none"/>
              </w:rPr>
            </w:pPr>
          </w:p>
        </w:tc>
      </w:tr>
      <w:tr w14:paraId="229C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11CC0F3">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投标范围</w:t>
            </w:r>
          </w:p>
        </w:tc>
        <w:tc>
          <w:tcPr>
            <w:tcW w:w="6309" w:type="dxa"/>
            <w:tcBorders>
              <w:top w:val="nil"/>
            </w:tcBorders>
            <w:noWrap w:val="0"/>
            <w:vAlign w:val="center"/>
          </w:tcPr>
          <w:p w14:paraId="07B8D6E5">
            <w:pPr>
              <w:widowControl/>
              <w:spacing w:line="360" w:lineRule="exact"/>
              <w:rPr>
                <w:rFonts w:hint="eastAsia" w:ascii="宋体" w:hAnsi="宋体" w:eastAsia="宋体" w:cs="宋体"/>
                <w:b/>
                <w:color w:val="auto"/>
                <w:sz w:val="24"/>
                <w:highlight w:val="none"/>
              </w:rPr>
            </w:pPr>
          </w:p>
        </w:tc>
      </w:tr>
      <w:tr w14:paraId="149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0B0FAB1">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1、最终投标报价</w:t>
            </w:r>
          </w:p>
          <w:p w14:paraId="6D0F3F06">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p w14:paraId="0E4DAC5D">
            <w:pPr>
              <w:spacing w:line="360" w:lineRule="exact"/>
              <w:rPr>
                <w:rFonts w:hint="eastAsia" w:ascii="宋体" w:hAnsi="宋体" w:eastAsia="宋体" w:cs="宋体"/>
                <w:color w:val="auto"/>
                <w:highlight w:val="none"/>
              </w:rPr>
            </w:pPr>
          </w:p>
        </w:tc>
        <w:tc>
          <w:tcPr>
            <w:tcW w:w="6309" w:type="dxa"/>
            <w:tcBorders>
              <w:top w:val="nil"/>
            </w:tcBorders>
            <w:noWrap w:val="0"/>
            <w:vAlign w:val="center"/>
          </w:tcPr>
          <w:p w14:paraId="6222B1F6">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1、投标报价：        元、大写：         </w:t>
            </w:r>
          </w:p>
          <w:p w14:paraId="0E6F4006">
            <w:pPr>
              <w:pStyle w:val="21"/>
              <w:ind w:right="-21" w:firstLine="540"/>
              <w:rPr>
                <w:rFonts w:hint="eastAsia" w:ascii="宋体" w:hAnsi="宋体" w:eastAsia="宋体" w:cs="宋体"/>
                <w:color w:val="auto"/>
                <w:highlight w:val="none"/>
                <w:lang w:val="en-US" w:eastAsia="zh-CN"/>
              </w:rPr>
            </w:pPr>
          </w:p>
        </w:tc>
      </w:tr>
      <w:tr w14:paraId="065E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2C50830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c>
          <w:tcPr>
            <w:tcW w:w="6309" w:type="dxa"/>
            <w:tcBorders>
              <w:top w:val="nil"/>
            </w:tcBorders>
            <w:noWrap w:val="0"/>
            <w:vAlign w:val="center"/>
          </w:tcPr>
          <w:p w14:paraId="11A405A5">
            <w:pPr>
              <w:spacing w:line="360" w:lineRule="auto"/>
              <w:jc w:val="left"/>
              <w:rPr>
                <w:rFonts w:hint="eastAsia" w:ascii="宋体" w:hAnsi="宋体" w:eastAsia="宋体" w:cs="宋体"/>
                <w:color w:val="auto"/>
                <w:sz w:val="24"/>
                <w:szCs w:val="28"/>
                <w:highlight w:val="none"/>
              </w:rPr>
            </w:pPr>
          </w:p>
        </w:tc>
      </w:tr>
    </w:tbl>
    <w:p w14:paraId="78BA3528">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供应商名称：（电子签章）</w:t>
      </w:r>
    </w:p>
    <w:p w14:paraId="64DCB7D2">
      <w:pPr>
        <w:spacing w:line="380" w:lineRule="exact"/>
        <w:ind w:right="640" w:firstLine="1560" w:firstLineChars="650"/>
        <w:rPr>
          <w:rFonts w:hint="eastAsia" w:ascii="宋体" w:hAnsi="宋体" w:eastAsia="宋体" w:cs="宋体"/>
          <w:color w:val="auto"/>
          <w:sz w:val="24"/>
          <w:highlight w:val="none"/>
        </w:rPr>
      </w:pPr>
    </w:p>
    <w:p w14:paraId="02ECC469">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授权委托人：</w:t>
      </w:r>
    </w:p>
    <w:p w14:paraId="297CBC40">
      <w:pPr>
        <w:spacing w:line="380" w:lineRule="exact"/>
        <w:jc w:val="center"/>
        <w:rPr>
          <w:rFonts w:hint="eastAsia" w:ascii="宋体" w:hAnsi="宋体" w:eastAsia="宋体" w:cs="宋体"/>
          <w:color w:val="auto"/>
          <w:sz w:val="24"/>
          <w:highlight w:val="none"/>
        </w:rPr>
      </w:pPr>
    </w:p>
    <w:p w14:paraId="691B7C4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39E40CEC">
      <w:pPr>
        <w:spacing w:before="100" w:beforeAutospacing="1" w:after="100" w:afterAutospacing="1"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5A28CC16">
      <w:pPr>
        <w:spacing w:line="500" w:lineRule="exact"/>
        <w:jc w:val="center"/>
        <w:rPr>
          <w:rFonts w:hint="eastAsia" w:ascii="宋体" w:hAnsi="宋体" w:eastAsia="宋体" w:cs="宋体"/>
          <w:b/>
          <w:bCs/>
          <w:color w:val="auto"/>
          <w:sz w:val="30"/>
          <w:highlight w:val="none"/>
        </w:rPr>
      </w:pPr>
    </w:p>
    <w:p w14:paraId="4480CD61">
      <w:pPr>
        <w:pStyle w:val="26"/>
        <w:rPr>
          <w:rFonts w:hint="eastAsia"/>
          <w:color w:val="auto"/>
          <w:highlight w:val="none"/>
        </w:rPr>
      </w:pPr>
    </w:p>
    <w:p w14:paraId="1E0A65B1">
      <w:pPr>
        <w:spacing w:line="500" w:lineRule="exact"/>
        <w:jc w:val="center"/>
        <w:rPr>
          <w:rFonts w:hint="eastAsia" w:ascii="宋体" w:hAnsi="宋体" w:eastAsia="宋体" w:cs="宋体"/>
          <w:b/>
          <w:bCs/>
          <w:color w:val="auto"/>
          <w:sz w:val="30"/>
          <w:highlight w:val="none"/>
        </w:rPr>
      </w:pPr>
    </w:p>
    <w:p w14:paraId="6B986139">
      <w:pPr>
        <w:spacing w:line="500" w:lineRule="exact"/>
        <w:jc w:val="center"/>
        <w:rPr>
          <w:rFonts w:hint="eastAsia" w:ascii="宋体" w:hAnsi="宋体" w:eastAsia="宋体" w:cs="宋体"/>
          <w:b/>
          <w:bCs/>
          <w:color w:val="auto"/>
          <w:sz w:val="30"/>
          <w:highlight w:val="none"/>
        </w:rPr>
      </w:pPr>
    </w:p>
    <w:p w14:paraId="3D22298F">
      <w:pPr>
        <w:pStyle w:val="4"/>
        <w:rPr>
          <w:rFonts w:hint="eastAsia" w:ascii="宋体" w:hAnsi="宋体" w:eastAsia="宋体" w:cs="宋体"/>
          <w:color w:val="auto"/>
          <w:sz w:val="28"/>
          <w:highlight w:val="none"/>
        </w:rPr>
      </w:pPr>
      <w:bookmarkStart w:id="148" w:name="_Hlt509716873"/>
      <w:bookmarkEnd w:id="148"/>
      <w:bookmarkStart w:id="149" w:name="_Hlt533409360"/>
      <w:bookmarkEnd w:id="149"/>
      <w:bookmarkStart w:id="150" w:name="_Hlt519045798"/>
      <w:bookmarkEnd w:id="150"/>
      <w:bookmarkStart w:id="151" w:name="_Hlt533408916"/>
      <w:bookmarkEnd w:id="151"/>
      <w:bookmarkStart w:id="152" w:name="_Hlt533408409"/>
      <w:bookmarkEnd w:id="152"/>
      <w:bookmarkStart w:id="153" w:name="_Toc18070"/>
      <w:bookmarkStart w:id="154" w:name="_Toc40975450"/>
      <w:bookmarkStart w:id="155" w:name="_Toc516969097"/>
      <w:bookmarkStart w:id="156" w:name="_Toc32321"/>
      <w:bookmarkStart w:id="157" w:name="_Toc6108"/>
      <w:bookmarkStart w:id="158" w:name="_Toc11175_WPSOffice_Level2"/>
      <w:bookmarkStart w:id="159" w:name="_Toc197934563"/>
      <w:r>
        <w:rPr>
          <w:rFonts w:hint="eastAsia" w:ascii="宋体" w:hAnsi="宋体" w:eastAsia="宋体" w:cs="宋体"/>
          <w:color w:val="auto"/>
          <w:sz w:val="28"/>
          <w:highlight w:val="none"/>
        </w:rPr>
        <w:t>二．</w:t>
      </w:r>
      <w:r>
        <w:rPr>
          <w:rFonts w:hint="eastAsia" w:hAnsi="宋体" w:cs="宋体"/>
          <w:color w:val="auto"/>
          <w:sz w:val="28"/>
          <w:highlight w:val="none"/>
          <w:lang w:eastAsia="zh-CN"/>
        </w:rPr>
        <w:t>供应商</w:t>
      </w:r>
      <w:r>
        <w:rPr>
          <w:rFonts w:hint="eastAsia" w:ascii="宋体" w:hAnsi="宋体" w:eastAsia="宋体" w:cs="宋体"/>
          <w:color w:val="auto"/>
          <w:sz w:val="28"/>
          <w:highlight w:val="none"/>
        </w:rPr>
        <w:t>综合情况简介</w:t>
      </w:r>
      <w:bookmarkEnd w:id="153"/>
      <w:bookmarkEnd w:id="154"/>
      <w:bookmarkEnd w:id="155"/>
      <w:bookmarkEnd w:id="156"/>
      <w:bookmarkEnd w:id="157"/>
      <w:bookmarkEnd w:id="158"/>
    </w:p>
    <w:p w14:paraId="4C7C2731">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可自行制作格式)</w:t>
      </w:r>
    </w:p>
    <w:p w14:paraId="64475DD2">
      <w:pPr>
        <w:pStyle w:val="26"/>
        <w:rPr>
          <w:rFonts w:hint="eastAsia" w:ascii="宋体" w:hAnsi="宋体" w:eastAsia="宋体" w:cs="宋体"/>
          <w:color w:val="auto"/>
          <w:sz w:val="24"/>
          <w:highlight w:val="none"/>
        </w:rPr>
      </w:pPr>
    </w:p>
    <w:p w14:paraId="36F500CD">
      <w:pPr>
        <w:pStyle w:val="6"/>
        <w:rPr>
          <w:rFonts w:hint="eastAsia" w:ascii="宋体" w:hAnsi="宋体" w:eastAsia="宋体" w:cs="宋体"/>
          <w:color w:val="auto"/>
          <w:sz w:val="24"/>
          <w:highlight w:val="none"/>
        </w:rPr>
      </w:pPr>
    </w:p>
    <w:p w14:paraId="5C19A6DD">
      <w:pPr>
        <w:rPr>
          <w:rFonts w:hint="eastAsia" w:ascii="宋体" w:hAnsi="宋体" w:eastAsia="宋体" w:cs="宋体"/>
          <w:color w:val="auto"/>
          <w:sz w:val="24"/>
          <w:highlight w:val="none"/>
        </w:rPr>
      </w:pPr>
    </w:p>
    <w:p w14:paraId="38D4EC75">
      <w:pPr>
        <w:pStyle w:val="26"/>
        <w:rPr>
          <w:rFonts w:hint="eastAsia" w:ascii="宋体" w:hAnsi="宋体" w:eastAsia="宋体" w:cs="宋体"/>
          <w:color w:val="auto"/>
          <w:sz w:val="24"/>
          <w:highlight w:val="none"/>
        </w:rPr>
      </w:pPr>
    </w:p>
    <w:p w14:paraId="64622B13">
      <w:pPr>
        <w:pStyle w:val="6"/>
        <w:rPr>
          <w:rFonts w:hint="eastAsia" w:ascii="宋体" w:hAnsi="宋体" w:eastAsia="宋体" w:cs="宋体"/>
          <w:color w:val="auto"/>
          <w:sz w:val="24"/>
          <w:highlight w:val="none"/>
        </w:rPr>
      </w:pPr>
    </w:p>
    <w:p w14:paraId="24C942E3">
      <w:pPr>
        <w:rPr>
          <w:rFonts w:hint="eastAsia" w:ascii="宋体" w:hAnsi="宋体" w:eastAsia="宋体" w:cs="宋体"/>
          <w:color w:val="auto"/>
          <w:sz w:val="24"/>
          <w:highlight w:val="none"/>
        </w:rPr>
      </w:pPr>
    </w:p>
    <w:p w14:paraId="77B6C145">
      <w:pPr>
        <w:pStyle w:val="26"/>
        <w:rPr>
          <w:rFonts w:hint="eastAsia" w:ascii="宋体" w:hAnsi="宋体" w:eastAsia="宋体" w:cs="宋体"/>
          <w:color w:val="auto"/>
          <w:sz w:val="24"/>
          <w:highlight w:val="none"/>
        </w:rPr>
      </w:pPr>
    </w:p>
    <w:p w14:paraId="02E9A2D8">
      <w:pPr>
        <w:pStyle w:val="6"/>
        <w:rPr>
          <w:rFonts w:hint="eastAsia" w:ascii="宋体" w:hAnsi="宋体" w:eastAsia="宋体" w:cs="宋体"/>
          <w:color w:val="auto"/>
          <w:sz w:val="24"/>
          <w:highlight w:val="none"/>
        </w:rPr>
      </w:pPr>
    </w:p>
    <w:p w14:paraId="09BD4B7B">
      <w:pPr>
        <w:rPr>
          <w:rFonts w:hint="eastAsia" w:ascii="宋体" w:hAnsi="宋体" w:eastAsia="宋体" w:cs="宋体"/>
          <w:color w:val="auto"/>
          <w:sz w:val="24"/>
          <w:highlight w:val="none"/>
        </w:rPr>
      </w:pPr>
    </w:p>
    <w:p w14:paraId="50102BBC">
      <w:pPr>
        <w:pStyle w:val="26"/>
        <w:rPr>
          <w:rFonts w:hint="eastAsia" w:ascii="宋体" w:hAnsi="宋体" w:eastAsia="宋体" w:cs="宋体"/>
          <w:color w:val="auto"/>
          <w:sz w:val="24"/>
          <w:highlight w:val="none"/>
        </w:rPr>
      </w:pPr>
    </w:p>
    <w:p w14:paraId="675EC01D">
      <w:pPr>
        <w:pStyle w:val="6"/>
        <w:rPr>
          <w:rFonts w:hint="eastAsia" w:ascii="宋体" w:hAnsi="宋体" w:eastAsia="宋体" w:cs="宋体"/>
          <w:color w:val="auto"/>
          <w:sz w:val="24"/>
          <w:highlight w:val="none"/>
        </w:rPr>
      </w:pPr>
    </w:p>
    <w:p w14:paraId="166D70F0">
      <w:pPr>
        <w:rPr>
          <w:rFonts w:hint="eastAsia" w:ascii="宋体" w:hAnsi="宋体" w:eastAsia="宋体" w:cs="宋体"/>
          <w:color w:val="auto"/>
          <w:sz w:val="24"/>
          <w:highlight w:val="none"/>
        </w:rPr>
      </w:pPr>
    </w:p>
    <w:p w14:paraId="0ED547E1">
      <w:pPr>
        <w:pStyle w:val="26"/>
        <w:rPr>
          <w:rFonts w:hint="eastAsia" w:ascii="宋体" w:hAnsi="宋体" w:eastAsia="宋体" w:cs="宋体"/>
          <w:color w:val="auto"/>
          <w:sz w:val="24"/>
          <w:highlight w:val="none"/>
        </w:rPr>
      </w:pPr>
    </w:p>
    <w:p w14:paraId="7E4146B9">
      <w:pPr>
        <w:pStyle w:val="6"/>
        <w:rPr>
          <w:rFonts w:hint="eastAsia" w:ascii="宋体" w:hAnsi="宋体" w:eastAsia="宋体" w:cs="宋体"/>
          <w:color w:val="auto"/>
          <w:sz w:val="24"/>
          <w:highlight w:val="none"/>
        </w:rPr>
      </w:pPr>
    </w:p>
    <w:p w14:paraId="2214868F">
      <w:pPr>
        <w:rPr>
          <w:rFonts w:hint="eastAsia" w:ascii="宋体" w:hAnsi="宋体" w:eastAsia="宋体" w:cs="宋体"/>
          <w:color w:val="auto"/>
          <w:sz w:val="24"/>
          <w:highlight w:val="none"/>
        </w:rPr>
      </w:pPr>
    </w:p>
    <w:p w14:paraId="118564B5">
      <w:pPr>
        <w:pStyle w:val="26"/>
        <w:rPr>
          <w:rFonts w:hint="eastAsia" w:ascii="宋体" w:hAnsi="宋体" w:eastAsia="宋体" w:cs="宋体"/>
          <w:color w:val="auto"/>
          <w:sz w:val="24"/>
          <w:highlight w:val="none"/>
        </w:rPr>
      </w:pPr>
    </w:p>
    <w:p w14:paraId="01D83DC7">
      <w:pPr>
        <w:pStyle w:val="6"/>
        <w:rPr>
          <w:rFonts w:hint="eastAsia" w:ascii="宋体" w:hAnsi="宋体" w:eastAsia="宋体" w:cs="宋体"/>
          <w:color w:val="auto"/>
          <w:sz w:val="24"/>
          <w:highlight w:val="none"/>
        </w:rPr>
      </w:pPr>
    </w:p>
    <w:p w14:paraId="32390E93">
      <w:pPr>
        <w:rPr>
          <w:rFonts w:hint="eastAsia" w:ascii="宋体" w:hAnsi="宋体" w:eastAsia="宋体" w:cs="宋体"/>
          <w:color w:val="auto"/>
          <w:sz w:val="24"/>
          <w:highlight w:val="none"/>
        </w:rPr>
      </w:pPr>
    </w:p>
    <w:p w14:paraId="450F7E2B">
      <w:pPr>
        <w:pStyle w:val="26"/>
        <w:rPr>
          <w:rFonts w:hint="eastAsia" w:ascii="宋体" w:hAnsi="宋体" w:eastAsia="宋体" w:cs="宋体"/>
          <w:color w:val="auto"/>
          <w:sz w:val="24"/>
          <w:highlight w:val="none"/>
        </w:rPr>
      </w:pPr>
    </w:p>
    <w:p w14:paraId="2164C953">
      <w:pPr>
        <w:pStyle w:val="6"/>
        <w:rPr>
          <w:rFonts w:hint="eastAsia" w:ascii="宋体" w:hAnsi="宋体" w:eastAsia="宋体" w:cs="宋体"/>
          <w:color w:val="auto"/>
          <w:sz w:val="24"/>
          <w:highlight w:val="none"/>
        </w:rPr>
      </w:pPr>
    </w:p>
    <w:p w14:paraId="2F95CEE9">
      <w:pPr>
        <w:rPr>
          <w:rFonts w:hint="eastAsia" w:ascii="宋体" w:hAnsi="宋体" w:eastAsia="宋体" w:cs="宋体"/>
          <w:color w:val="auto"/>
          <w:sz w:val="24"/>
          <w:highlight w:val="none"/>
        </w:rPr>
      </w:pPr>
    </w:p>
    <w:p w14:paraId="23F5F4BD">
      <w:pPr>
        <w:pStyle w:val="26"/>
        <w:rPr>
          <w:rFonts w:hint="eastAsia" w:ascii="宋体" w:hAnsi="宋体" w:eastAsia="宋体" w:cs="宋体"/>
          <w:color w:val="auto"/>
          <w:sz w:val="24"/>
          <w:highlight w:val="none"/>
        </w:rPr>
      </w:pPr>
    </w:p>
    <w:p w14:paraId="2672446B">
      <w:pPr>
        <w:pStyle w:val="6"/>
        <w:rPr>
          <w:rFonts w:hint="eastAsia" w:ascii="宋体" w:hAnsi="宋体" w:eastAsia="宋体" w:cs="宋体"/>
          <w:color w:val="auto"/>
          <w:sz w:val="24"/>
          <w:highlight w:val="none"/>
        </w:rPr>
      </w:pPr>
    </w:p>
    <w:p w14:paraId="3A8096E1">
      <w:pPr>
        <w:rPr>
          <w:rFonts w:hint="eastAsia" w:ascii="宋体" w:hAnsi="宋体" w:eastAsia="宋体" w:cs="宋体"/>
          <w:color w:val="auto"/>
          <w:sz w:val="24"/>
          <w:highlight w:val="none"/>
        </w:rPr>
      </w:pPr>
    </w:p>
    <w:p w14:paraId="0616A167">
      <w:pPr>
        <w:pStyle w:val="26"/>
        <w:rPr>
          <w:rFonts w:hint="eastAsia" w:ascii="宋体" w:hAnsi="宋体" w:eastAsia="宋体" w:cs="宋体"/>
          <w:color w:val="auto"/>
          <w:sz w:val="24"/>
          <w:highlight w:val="none"/>
        </w:rPr>
      </w:pPr>
    </w:p>
    <w:p w14:paraId="0FCB7073">
      <w:pPr>
        <w:pStyle w:val="6"/>
        <w:rPr>
          <w:rFonts w:hint="eastAsia" w:ascii="宋体" w:hAnsi="宋体" w:eastAsia="宋体" w:cs="宋体"/>
          <w:color w:val="auto"/>
          <w:sz w:val="24"/>
          <w:highlight w:val="none"/>
        </w:rPr>
      </w:pPr>
    </w:p>
    <w:p w14:paraId="05F10263">
      <w:pPr>
        <w:rPr>
          <w:rFonts w:hint="eastAsia" w:ascii="宋体" w:hAnsi="宋体" w:eastAsia="宋体" w:cs="宋体"/>
          <w:color w:val="auto"/>
          <w:sz w:val="24"/>
          <w:highlight w:val="none"/>
        </w:rPr>
      </w:pPr>
    </w:p>
    <w:p w14:paraId="4FA03D76">
      <w:pPr>
        <w:pStyle w:val="26"/>
        <w:rPr>
          <w:rFonts w:hint="eastAsia" w:ascii="宋体" w:hAnsi="宋体" w:eastAsia="宋体" w:cs="宋体"/>
          <w:color w:val="auto"/>
          <w:sz w:val="24"/>
          <w:highlight w:val="none"/>
        </w:rPr>
      </w:pPr>
    </w:p>
    <w:p w14:paraId="2D123A37">
      <w:pPr>
        <w:pStyle w:val="6"/>
        <w:rPr>
          <w:rFonts w:hint="eastAsia" w:ascii="宋体" w:hAnsi="宋体" w:eastAsia="宋体" w:cs="宋体"/>
          <w:color w:val="auto"/>
          <w:sz w:val="24"/>
          <w:highlight w:val="none"/>
        </w:rPr>
      </w:pPr>
    </w:p>
    <w:p w14:paraId="336170F5">
      <w:pPr>
        <w:rPr>
          <w:rFonts w:hint="eastAsia" w:ascii="宋体" w:hAnsi="宋体" w:eastAsia="宋体" w:cs="宋体"/>
          <w:color w:val="auto"/>
          <w:sz w:val="24"/>
          <w:highlight w:val="none"/>
        </w:rPr>
      </w:pPr>
    </w:p>
    <w:p w14:paraId="315048C8">
      <w:pPr>
        <w:pStyle w:val="26"/>
        <w:rPr>
          <w:rFonts w:hint="eastAsia" w:ascii="宋体" w:hAnsi="宋体" w:eastAsia="宋体" w:cs="宋体"/>
          <w:color w:val="auto"/>
          <w:sz w:val="24"/>
          <w:highlight w:val="none"/>
        </w:rPr>
      </w:pPr>
    </w:p>
    <w:p w14:paraId="510D5FB8">
      <w:pPr>
        <w:pStyle w:val="6"/>
        <w:rPr>
          <w:rFonts w:hint="eastAsia" w:ascii="宋体" w:hAnsi="宋体" w:eastAsia="宋体" w:cs="宋体"/>
          <w:color w:val="auto"/>
          <w:sz w:val="24"/>
          <w:highlight w:val="none"/>
        </w:rPr>
      </w:pPr>
    </w:p>
    <w:p w14:paraId="7941DF40">
      <w:pPr>
        <w:rPr>
          <w:rFonts w:hint="eastAsia" w:ascii="宋体" w:hAnsi="宋体" w:eastAsia="宋体" w:cs="宋体"/>
          <w:color w:val="auto"/>
          <w:sz w:val="24"/>
          <w:highlight w:val="none"/>
        </w:rPr>
      </w:pPr>
    </w:p>
    <w:p w14:paraId="3521EC81">
      <w:pPr>
        <w:pStyle w:val="26"/>
        <w:rPr>
          <w:rFonts w:hint="eastAsia" w:ascii="宋体" w:hAnsi="宋体" w:eastAsia="宋体" w:cs="宋体"/>
          <w:color w:val="auto"/>
          <w:sz w:val="24"/>
          <w:highlight w:val="none"/>
        </w:rPr>
      </w:pPr>
    </w:p>
    <w:p w14:paraId="50CBBBF9">
      <w:pPr>
        <w:pStyle w:val="6"/>
        <w:rPr>
          <w:rFonts w:hint="eastAsia" w:ascii="宋体" w:hAnsi="宋体" w:eastAsia="宋体" w:cs="宋体"/>
          <w:color w:val="auto"/>
          <w:sz w:val="24"/>
          <w:highlight w:val="none"/>
        </w:rPr>
      </w:pPr>
    </w:p>
    <w:p w14:paraId="285EEBD2">
      <w:pPr>
        <w:rPr>
          <w:rFonts w:hint="eastAsia"/>
          <w:color w:val="auto"/>
          <w:highlight w:val="none"/>
        </w:rPr>
      </w:pPr>
    </w:p>
    <w:p w14:paraId="68BDD18F">
      <w:pPr>
        <w:pStyle w:val="16"/>
        <w:rPr>
          <w:rFonts w:hint="eastAsia" w:ascii="宋体" w:hAnsi="宋体" w:eastAsia="宋体" w:cs="宋体"/>
          <w:color w:val="auto"/>
          <w:highlight w:val="none"/>
        </w:rPr>
      </w:pPr>
    </w:p>
    <w:p w14:paraId="0F0F69D4">
      <w:pPr>
        <w:pStyle w:val="4"/>
        <w:spacing w:after="240"/>
        <w:rPr>
          <w:rFonts w:hint="eastAsia" w:ascii="宋体" w:hAnsi="宋体" w:eastAsia="宋体" w:cs="宋体"/>
          <w:color w:val="auto"/>
          <w:sz w:val="28"/>
          <w:highlight w:val="none"/>
        </w:rPr>
      </w:pPr>
      <w:bookmarkStart w:id="160" w:name="_Hlt509739007"/>
      <w:bookmarkEnd w:id="160"/>
      <w:bookmarkStart w:id="161" w:name="_Toc516969098"/>
      <w:bookmarkStart w:id="162" w:name="_Toc40975451"/>
      <w:bookmarkStart w:id="163" w:name="_Toc1391_WPSOffice_Level2"/>
      <w:bookmarkStart w:id="164" w:name="_Toc15297"/>
      <w:bookmarkStart w:id="165" w:name="_Toc23480"/>
      <w:bookmarkStart w:id="166" w:name="_Toc25232"/>
      <w:r>
        <w:rPr>
          <w:rFonts w:hint="eastAsia" w:ascii="宋体" w:hAnsi="宋体" w:eastAsia="宋体" w:cs="宋体"/>
          <w:color w:val="auto"/>
          <w:sz w:val="28"/>
          <w:highlight w:val="none"/>
        </w:rPr>
        <w:t>三．投标函</w:t>
      </w:r>
      <w:bookmarkEnd w:id="161"/>
      <w:bookmarkEnd w:id="162"/>
      <w:bookmarkEnd w:id="163"/>
      <w:bookmarkEnd w:id="164"/>
      <w:bookmarkEnd w:id="165"/>
      <w:bookmarkEnd w:id="166"/>
    </w:p>
    <w:p w14:paraId="0E4DF5EC">
      <w:pPr>
        <w:pStyle w:val="13"/>
        <w:spacing w:line="360" w:lineRule="auto"/>
        <w:rPr>
          <w:rFonts w:hint="eastAsia" w:ascii="宋体" w:hAnsi="宋体" w:eastAsia="宋体" w:cs="宋体"/>
          <w:b w:val="0"/>
          <w:color w:val="auto"/>
          <w:kern w:val="2"/>
          <w:sz w:val="24"/>
          <w:highlight w:val="none"/>
          <w:lang w:val="en-US" w:eastAsia="zh-CN" w:bidi="ar-SA"/>
        </w:rPr>
      </w:pPr>
      <w:r>
        <w:rPr>
          <w:rFonts w:hint="eastAsia" w:ascii="宋体" w:hAnsi="宋体" w:eastAsia="宋体" w:cs="宋体"/>
          <w:b w:val="0"/>
          <w:color w:val="auto"/>
          <w:kern w:val="2"/>
          <w:sz w:val="24"/>
          <w:highlight w:val="none"/>
          <w:lang w:val="en-US" w:eastAsia="zh-CN" w:bidi="ar-SA"/>
        </w:rPr>
        <w:t>致：（采购人</w:t>
      </w:r>
      <w:r>
        <w:rPr>
          <w:rFonts w:hint="eastAsia" w:ascii="宋体" w:hAnsi="宋体" w:cs="宋体"/>
          <w:b w:val="0"/>
          <w:color w:val="auto"/>
          <w:kern w:val="2"/>
          <w:sz w:val="24"/>
          <w:highlight w:val="none"/>
          <w:lang w:val="en-US" w:eastAsia="zh-CN" w:bidi="ar-SA"/>
        </w:rPr>
        <w:t>和</w:t>
      </w:r>
      <w:r>
        <w:rPr>
          <w:rFonts w:hint="eastAsia" w:ascii="宋体" w:hAnsi="宋体" w:eastAsia="宋体" w:cs="宋体"/>
          <w:b w:val="0"/>
          <w:color w:val="auto"/>
          <w:kern w:val="2"/>
          <w:sz w:val="24"/>
          <w:highlight w:val="none"/>
          <w:lang w:val="en-US" w:eastAsia="zh-CN" w:bidi="ar-SA"/>
        </w:rPr>
        <w:t>采购代理机构）</w:t>
      </w:r>
    </w:p>
    <w:p w14:paraId="785EDE24">
      <w:pPr>
        <w:spacing w:line="360" w:lineRule="auto"/>
        <w:ind w:left="239" w:leftChars="114" w:firstLine="386" w:firstLineChars="161"/>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根据贵方</w:t>
      </w:r>
      <w:r>
        <w:rPr>
          <w:rFonts w:hint="eastAsia" w:ascii="宋体" w:hAnsi="宋体" w:eastAsia="宋体" w:cs="宋体"/>
          <w:b w:val="0"/>
          <w:bCs w:val="0"/>
          <w:color w:val="auto"/>
          <w:sz w:val="24"/>
          <w:highlight w:val="none"/>
          <w:u w:val="none"/>
          <w:lang w:val="en-US" w:eastAsia="zh-CN"/>
        </w:rPr>
        <w:t>项目名称、项目编号</w:t>
      </w:r>
      <w:r>
        <w:rPr>
          <w:rFonts w:hint="eastAsia" w:ascii="宋体" w:hAnsi="宋体" w:eastAsia="宋体" w:cs="宋体"/>
          <w:color w:val="auto"/>
          <w:sz w:val="24"/>
          <w:highlight w:val="none"/>
        </w:rPr>
        <w:t>项目招标邀请书或招标公告，正式授权下述签字人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（姓名）代表</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全称），提交规定形式的投标文件。</w:t>
      </w:r>
    </w:p>
    <w:p w14:paraId="68D7251E">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67F7264E">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（1）如我公司中标，愿意按招标文件规定提供交付服务（包括税费等工作）的总报价为人民币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元，服务期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967C9B9">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0C113745">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4A1DCE14">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608A0E5">
      <w:pPr>
        <w:spacing w:line="360" w:lineRule="auto"/>
        <w:ind w:firstLine="630"/>
        <w:rPr>
          <w:rFonts w:hint="eastAsia" w:ascii="宋体" w:hAnsi="宋体"/>
          <w:color w:val="auto"/>
          <w:sz w:val="24"/>
          <w:highlight w:val="none"/>
        </w:rPr>
      </w:pPr>
      <w:r>
        <w:rPr>
          <w:rFonts w:hint="eastAsia" w:ascii="宋体" w:hAnsi="宋体"/>
          <w:color w:val="auto"/>
          <w:sz w:val="24"/>
          <w:highlight w:val="none"/>
        </w:rPr>
        <w:t>（5）我方同意从招标文件规定的开标日期起遵循本投标文件，投标有效期为从开标之日起</w:t>
      </w:r>
      <w:r>
        <w:rPr>
          <w:rFonts w:hint="eastAsia" w:ascii="宋体" w:hAnsi="宋体"/>
          <w:color w:val="auto"/>
          <w:sz w:val="24"/>
          <w:highlight w:val="none"/>
          <w:lang w:val="en-US" w:eastAsia="zh-CN"/>
        </w:rPr>
        <w:t xml:space="preserve"> 有效</w:t>
      </w:r>
      <w:r>
        <w:rPr>
          <w:rFonts w:hint="eastAsia" w:ascii="宋体" w:hAnsi="宋体"/>
          <w:color w:val="auto"/>
          <w:sz w:val="24"/>
          <w:highlight w:val="none"/>
        </w:rPr>
        <w:t>。并在招标文件规定的投标有效期之前均具有约束力。</w:t>
      </w:r>
    </w:p>
    <w:p w14:paraId="2FC6C297">
      <w:pPr>
        <w:spacing w:line="360" w:lineRule="auto"/>
        <w:ind w:firstLine="630"/>
        <w:rPr>
          <w:rFonts w:ascii="宋体" w:hAnsi="宋体"/>
          <w:color w:val="auto"/>
          <w:sz w:val="24"/>
          <w:highlight w:val="none"/>
        </w:rPr>
      </w:pPr>
      <w:r>
        <w:rPr>
          <w:rFonts w:hint="eastAsia" w:ascii="宋体" w:hAnsi="宋体"/>
          <w:color w:val="auto"/>
          <w:sz w:val="24"/>
          <w:highlight w:val="none"/>
        </w:rPr>
        <w:t>（6）如果被确定为中标人，我方同意在领取中标通知书之日起</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日内，按照招标文件的规定与采购人签订采购合同。否则，视为我方成交后无正当理由不与采购人签订合同并承担相应法律责任。</w:t>
      </w:r>
    </w:p>
    <w:p w14:paraId="21401D79">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（7）我方完全理解贵方不一定接受最低报价的投标。</w:t>
      </w:r>
    </w:p>
    <w:p w14:paraId="0A55509C">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（8）我方同意招标文件规定的付款方式。</w:t>
      </w:r>
    </w:p>
    <w:p w14:paraId="7F423169">
      <w:pPr>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（9）与本投标有关的通讯地址：</w:t>
      </w:r>
      <w:r>
        <w:rPr>
          <w:rFonts w:hint="eastAsia" w:ascii="宋体" w:hAnsi="宋体" w:eastAsia="宋体" w:cs="宋体"/>
          <w:color w:val="auto"/>
          <w:sz w:val="24"/>
          <w:highlight w:val="none"/>
          <w:u w:val="single"/>
        </w:rPr>
        <w:t xml:space="preserve">                                  </w:t>
      </w:r>
    </w:p>
    <w:p w14:paraId="4D2408A6">
      <w:pPr>
        <w:pStyle w:val="27"/>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2D97A5B2">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24D4F464">
      <w:pPr>
        <w:spacing w:line="380" w:lineRule="exact"/>
        <w:ind w:right="640" w:firstLine="1560" w:firstLineChars="650"/>
        <w:rPr>
          <w:rFonts w:hint="eastAsia" w:ascii="宋体" w:hAnsi="宋体" w:eastAsia="宋体" w:cs="宋体"/>
          <w:color w:val="auto"/>
          <w:sz w:val="24"/>
          <w:highlight w:val="none"/>
        </w:rPr>
      </w:pPr>
    </w:p>
    <w:p w14:paraId="7EA1367C">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w:t>
      </w:r>
      <w:r>
        <w:rPr>
          <w:rFonts w:hint="eastAsia" w:ascii="宋体" w:hAnsi="宋体" w:eastAsia="宋体" w:cs="宋体"/>
          <w:color w:val="auto"/>
          <w:sz w:val="24"/>
          <w:highlight w:val="none"/>
          <w:lang w:val="en-US" w:eastAsia="zh-CN"/>
        </w:rPr>
        <w:t>和授权委托人</w:t>
      </w:r>
      <w:r>
        <w:rPr>
          <w:rFonts w:hint="eastAsia" w:ascii="宋体" w:hAnsi="宋体" w:eastAsia="宋体" w:cs="宋体"/>
          <w:color w:val="auto"/>
          <w:sz w:val="24"/>
          <w:highlight w:val="none"/>
        </w:rPr>
        <w:t>：（签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2509BAEB">
      <w:pPr>
        <w:spacing w:line="380" w:lineRule="exact"/>
        <w:jc w:val="center"/>
        <w:rPr>
          <w:rFonts w:hint="eastAsia" w:ascii="宋体" w:hAnsi="宋体" w:eastAsia="宋体" w:cs="宋体"/>
          <w:color w:val="auto"/>
          <w:sz w:val="24"/>
          <w:highlight w:val="none"/>
        </w:rPr>
      </w:pPr>
    </w:p>
    <w:p w14:paraId="742B8E5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bookmarkEnd w:id="138"/>
    <w:bookmarkEnd w:id="139"/>
    <w:bookmarkEnd w:id="140"/>
    <w:bookmarkEnd w:id="159"/>
    <w:p w14:paraId="2B06FAD4">
      <w:pPr>
        <w:adjustRightInd w:val="0"/>
        <w:snapToGrid w:val="0"/>
        <w:spacing w:line="360" w:lineRule="auto"/>
        <w:rPr>
          <w:rFonts w:hint="eastAsia" w:ascii="宋体" w:hAnsi="宋体" w:eastAsia="宋体" w:cs="宋体"/>
          <w:b/>
          <w:bCs/>
          <w:color w:val="auto"/>
          <w:sz w:val="24"/>
          <w:szCs w:val="28"/>
          <w:highlight w:val="none"/>
        </w:rPr>
      </w:pPr>
      <w:bookmarkStart w:id="167" w:name="_Toc27270_WPSOffice_Level2"/>
      <w:bookmarkStart w:id="168" w:name="_Toc197934552"/>
    </w:p>
    <w:p w14:paraId="6DF38BD5">
      <w:pPr>
        <w:pStyle w:val="16"/>
        <w:rPr>
          <w:rFonts w:hint="eastAsia" w:ascii="宋体" w:hAnsi="宋体" w:eastAsia="宋体" w:cs="宋体"/>
          <w:color w:val="auto"/>
          <w:highlight w:val="none"/>
        </w:rPr>
      </w:pPr>
    </w:p>
    <w:p w14:paraId="5C924A83">
      <w:pPr>
        <w:pStyle w:val="16"/>
        <w:rPr>
          <w:rFonts w:hint="eastAsia" w:ascii="宋体" w:hAnsi="宋体" w:eastAsia="宋体" w:cs="宋体"/>
          <w:color w:val="auto"/>
          <w:highlight w:val="none"/>
        </w:rPr>
      </w:pPr>
    </w:p>
    <w:p w14:paraId="1BA3C233">
      <w:pPr>
        <w:pStyle w:val="4"/>
        <w:rPr>
          <w:rFonts w:hint="eastAsia" w:ascii="宋体" w:hAnsi="宋体" w:eastAsia="宋体" w:cs="宋体"/>
          <w:color w:val="auto"/>
          <w:sz w:val="28"/>
          <w:highlight w:val="none"/>
        </w:rPr>
      </w:pPr>
      <w:bookmarkStart w:id="169" w:name="_Toc22823"/>
      <w:bookmarkStart w:id="170" w:name="_Toc3380"/>
      <w:bookmarkStart w:id="171" w:name="_Toc30168"/>
      <w:bookmarkStart w:id="172" w:name="_Toc40975453"/>
      <w:r>
        <w:rPr>
          <w:rFonts w:hint="eastAsia" w:hAnsi="宋体" w:cs="宋体"/>
          <w:color w:val="auto"/>
          <w:sz w:val="28"/>
          <w:highlight w:val="none"/>
          <w:lang w:val="en-US" w:eastAsia="zh-CN"/>
        </w:rPr>
        <w:t>四</w:t>
      </w:r>
      <w:r>
        <w:rPr>
          <w:rFonts w:hint="eastAsia" w:ascii="宋体" w:hAnsi="宋体" w:eastAsia="宋体" w:cs="宋体"/>
          <w:color w:val="auto"/>
          <w:sz w:val="28"/>
          <w:highlight w:val="none"/>
        </w:rPr>
        <w:t>．投标响应表</w:t>
      </w:r>
      <w:bookmarkEnd w:id="167"/>
      <w:bookmarkEnd w:id="168"/>
      <w:bookmarkEnd w:id="169"/>
      <w:bookmarkEnd w:id="170"/>
      <w:bookmarkEnd w:id="171"/>
      <w:bookmarkEnd w:id="172"/>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C6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4523525">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按招标文件规定填写</w:t>
            </w:r>
          </w:p>
        </w:tc>
        <w:tc>
          <w:tcPr>
            <w:tcW w:w="3534" w:type="dxa"/>
            <w:gridSpan w:val="2"/>
            <w:noWrap w:val="0"/>
            <w:vAlign w:val="center"/>
          </w:tcPr>
          <w:p w14:paraId="590F2BA7">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w:t>
            </w:r>
            <w:r>
              <w:rPr>
                <w:rFonts w:hint="eastAsia" w:hAnsi="宋体" w:cs="宋体"/>
                <w:b/>
                <w:color w:val="auto"/>
                <w:sz w:val="24"/>
                <w:highlight w:val="none"/>
                <w:lang w:val="en-US" w:eastAsia="zh-CN"/>
              </w:rPr>
              <w:t>供应商</w:t>
            </w:r>
            <w:r>
              <w:rPr>
                <w:rFonts w:hint="eastAsia" w:ascii="宋体" w:hAnsi="宋体" w:eastAsia="宋体" w:cs="宋体"/>
                <w:b/>
                <w:color w:val="auto"/>
                <w:sz w:val="24"/>
                <w:highlight w:val="none"/>
                <w:lang w:val="en-US" w:eastAsia="zh-CN"/>
              </w:rPr>
              <w:t>所投内容填写</w:t>
            </w:r>
          </w:p>
        </w:tc>
      </w:tr>
      <w:tr w14:paraId="3C22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3FF65C88">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第一部分：技术部分响应</w:t>
            </w:r>
          </w:p>
        </w:tc>
      </w:tr>
      <w:tr w14:paraId="2698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2E65092">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6AD686F5">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品名</w:t>
            </w:r>
          </w:p>
        </w:tc>
        <w:tc>
          <w:tcPr>
            <w:tcW w:w="2520" w:type="dxa"/>
            <w:noWrap w:val="0"/>
            <w:vAlign w:val="center"/>
          </w:tcPr>
          <w:p w14:paraId="4F5D2DDF">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招标文件要求</w:t>
            </w:r>
          </w:p>
        </w:tc>
        <w:tc>
          <w:tcPr>
            <w:tcW w:w="2310" w:type="dxa"/>
            <w:noWrap w:val="0"/>
            <w:vAlign w:val="center"/>
          </w:tcPr>
          <w:p w14:paraId="27301779">
            <w:pPr>
              <w:pStyle w:val="11"/>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投标响应</w:t>
            </w:r>
          </w:p>
          <w:p w14:paraId="4D13B71D">
            <w:pPr>
              <w:pStyle w:val="11"/>
              <w:rPr>
                <w:rFonts w:hint="eastAsia" w:ascii="宋体" w:hAnsi="宋体" w:eastAsia="宋体" w:cs="宋体"/>
                <w:b/>
                <w:color w:val="auto"/>
                <w:sz w:val="24"/>
                <w:highlight w:val="none"/>
                <w:lang w:val="en-US" w:eastAsia="zh-CN"/>
              </w:rPr>
            </w:pPr>
          </w:p>
        </w:tc>
        <w:tc>
          <w:tcPr>
            <w:tcW w:w="1224" w:type="dxa"/>
            <w:noWrap w:val="0"/>
            <w:vAlign w:val="center"/>
          </w:tcPr>
          <w:p w14:paraId="2A44ECF8">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180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BFFC2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top"/>
          </w:tcPr>
          <w:p w14:paraId="56071D77">
            <w:pPr>
              <w:rPr>
                <w:rFonts w:hint="eastAsia" w:ascii="宋体" w:hAnsi="宋体" w:eastAsia="宋体" w:cs="宋体"/>
                <w:color w:val="auto"/>
                <w:sz w:val="24"/>
                <w:highlight w:val="none"/>
              </w:rPr>
            </w:pPr>
          </w:p>
        </w:tc>
        <w:tc>
          <w:tcPr>
            <w:tcW w:w="2520" w:type="dxa"/>
            <w:noWrap w:val="0"/>
            <w:vAlign w:val="top"/>
          </w:tcPr>
          <w:p w14:paraId="385E6CFA">
            <w:pPr>
              <w:rPr>
                <w:rFonts w:hint="eastAsia" w:ascii="宋体" w:hAnsi="宋体" w:eastAsia="宋体" w:cs="宋体"/>
                <w:color w:val="auto"/>
                <w:sz w:val="24"/>
                <w:highlight w:val="none"/>
              </w:rPr>
            </w:pPr>
          </w:p>
        </w:tc>
        <w:tc>
          <w:tcPr>
            <w:tcW w:w="2310" w:type="dxa"/>
            <w:noWrap w:val="0"/>
            <w:vAlign w:val="top"/>
          </w:tcPr>
          <w:p w14:paraId="2499711E">
            <w:pPr>
              <w:rPr>
                <w:rFonts w:hint="eastAsia" w:ascii="宋体" w:hAnsi="宋体" w:eastAsia="宋体" w:cs="宋体"/>
                <w:color w:val="auto"/>
                <w:sz w:val="24"/>
                <w:highlight w:val="none"/>
              </w:rPr>
            </w:pPr>
          </w:p>
        </w:tc>
        <w:tc>
          <w:tcPr>
            <w:tcW w:w="1224" w:type="dxa"/>
            <w:noWrap w:val="0"/>
            <w:vAlign w:val="top"/>
          </w:tcPr>
          <w:p w14:paraId="0F0A6B56">
            <w:pPr>
              <w:rPr>
                <w:rFonts w:hint="eastAsia" w:ascii="宋体" w:hAnsi="宋体" w:eastAsia="宋体" w:cs="宋体"/>
                <w:color w:val="auto"/>
                <w:sz w:val="24"/>
                <w:highlight w:val="none"/>
              </w:rPr>
            </w:pPr>
          </w:p>
        </w:tc>
      </w:tr>
      <w:tr w14:paraId="0BB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6F683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top"/>
          </w:tcPr>
          <w:p w14:paraId="3345E9DC">
            <w:pPr>
              <w:rPr>
                <w:rFonts w:hint="eastAsia" w:ascii="宋体" w:hAnsi="宋体" w:eastAsia="宋体" w:cs="宋体"/>
                <w:color w:val="auto"/>
                <w:sz w:val="24"/>
                <w:highlight w:val="none"/>
              </w:rPr>
            </w:pPr>
          </w:p>
        </w:tc>
        <w:tc>
          <w:tcPr>
            <w:tcW w:w="2520" w:type="dxa"/>
            <w:noWrap w:val="0"/>
            <w:vAlign w:val="top"/>
          </w:tcPr>
          <w:p w14:paraId="7D9BAF12">
            <w:pPr>
              <w:rPr>
                <w:rFonts w:hint="eastAsia" w:ascii="宋体" w:hAnsi="宋体" w:eastAsia="宋体" w:cs="宋体"/>
                <w:color w:val="auto"/>
                <w:sz w:val="24"/>
                <w:highlight w:val="none"/>
              </w:rPr>
            </w:pPr>
          </w:p>
        </w:tc>
        <w:tc>
          <w:tcPr>
            <w:tcW w:w="2310" w:type="dxa"/>
            <w:noWrap w:val="0"/>
            <w:vAlign w:val="top"/>
          </w:tcPr>
          <w:p w14:paraId="7DC1AB27">
            <w:pPr>
              <w:rPr>
                <w:rFonts w:hint="eastAsia" w:ascii="宋体" w:hAnsi="宋体" w:eastAsia="宋体" w:cs="宋体"/>
                <w:color w:val="auto"/>
                <w:sz w:val="24"/>
                <w:highlight w:val="none"/>
              </w:rPr>
            </w:pPr>
          </w:p>
        </w:tc>
        <w:tc>
          <w:tcPr>
            <w:tcW w:w="1224" w:type="dxa"/>
            <w:noWrap w:val="0"/>
            <w:vAlign w:val="top"/>
          </w:tcPr>
          <w:p w14:paraId="79151633">
            <w:pPr>
              <w:rPr>
                <w:rFonts w:hint="eastAsia" w:ascii="宋体" w:hAnsi="宋体" w:eastAsia="宋体" w:cs="宋体"/>
                <w:color w:val="auto"/>
                <w:sz w:val="24"/>
                <w:highlight w:val="none"/>
              </w:rPr>
            </w:pPr>
          </w:p>
        </w:tc>
      </w:tr>
      <w:tr w14:paraId="351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EADF0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top"/>
          </w:tcPr>
          <w:p w14:paraId="5EAB558C">
            <w:pPr>
              <w:rPr>
                <w:rFonts w:hint="eastAsia" w:ascii="宋体" w:hAnsi="宋体" w:eastAsia="宋体" w:cs="宋体"/>
                <w:color w:val="auto"/>
                <w:sz w:val="24"/>
                <w:highlight w:val="none"/>
              </w:rPr>
            </w:pPr>
          </w:p>
        </w:tc>
        <w:tc>
          <w:tcPr>
            <w:tcW w:w="2520" w:type="dxa"/>
            <w:noWrap w:val="0"/>
            <w:vAlign w:val="top"/>
          </w:tcPr>
          <w:p w14:paraId="43D2F2EC">
            <w:pPr>
              <w:rPr>
                <w:rFonts w:hint="eastAsia" w:ascii="宋体" w:hAnsi="宋体" w:eastAsia="宋体" w:cs="宋体"/>
                <w:color w:val="auto"/>
                <w:sz w:val="24"/>
                <w:highlight w:val="none"/>
              </w:rPr>
            </w:pPr>
          </w:p>
        </w:tc>
        <w:tc>
          <w:tcPr>
            <w:tcW w:w="2310" w:type="dxa"/>
            <w:noWrap w:val="0"/>
            <w:vAlign w:val="top"/>
          </w:tcPr>
          <w:p w14:paraId="23A5CF44">
            <w:pPr>
              <w:pStyle w:val="32"/>
              <w:rPr>
                <w:rFonts w:hint="eastAsia" w:ascii="宋体" w:hAnsi="宋体" w:eastAsia="宋体" w:cs="宋体"/>
                <w:color w:val="auto"/>
                <w:highlight w:val="none"/>
              </w:rPr>
            </w:pPr>
          </w:p>
        </w:tc>
        <w:tc>
          <w:tcPr>
            <w:tcW w:w="1224" w:type="dxa"/>
            <w:noWrap w:val="0"/>
            <w:vAlign w:val="top"/>
          </w:tcPr>
          <w:p w14:paraId="4A918EC7">
            <w:pPr>
              <w:rPr>
                <w:rFonts w:hint="eastAsia" w:ascii="宋体" w:hAnsi="宋体" w:eastAsia="宋体" w:cs="宋体"/>
                <w:color w:val="auto"/>
                <w:sz w:val="24"/>
                <w:highlight w:val="none"/>
              </w:rPr>
            </w:pPr>
          </w:p>
        </w:tc>
      </w:tr>
      <w:tr w14:paraId="5BC0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C1271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top"/>
          </w:tcPr>
          <w:p w14:paraId="7E820CA5">
            <w:pPr>
              <w:rPr>
                <w:rFonts w:hint="eastAsia" w:ascii="宋体" w:hAnsi="宋体" w:eastAsia="宋体" w:cs="宋体"/>
                <w:color w:val="auto"/>
                <w:sz w:val="24"/>
                <w:highlight w:val="none"/>
              </w:rPr>
            </w:pPr>
          </w:p>
        </w:tc>
        <w:tc>
          <w:tcPr>
            <w:tcW w:w="2520" w:type="dxa"/>
            <w:noWrap w:val="0"/>
            <w:vAlign w:val="top"/>
          </w:tcPr>
          <w:p w14:paraId="40F23345">
            <w:pPr>
              <w:rPr>
                <w:rFonts w:hint="eastAsia" w:ascii="宋体" w:hAnsi="宋体" w:eastAsia="宋体" w:cs="宋体"/>
                <w:color w:val="auto"/>
                <w:sz w:val="24"/>
                <w:highlight w:val="none"/>
              </w:rPr>
            </w:pPr>
          </w:p>
        </w:tc>
        <w:tc>
          <w:tcPr>
            <w:tcW w:w="2310" w:type="dxa"/>
            <w:noWrap w:val="0"/>
            <w:vAlign w:val="top"/>
          </w:tcPr>
          <w:p w14:paraId="68711505">
            <w:pPr>
              <w:rPr>
                <w:rFonts w:hint="eastAsia" w:ascii="宋体" w:hAnsi="宋体" w:eastAsia="宋体" w:cs="宋体"/>
                <w:color w:val="auto"/>
                <w:sz w:val="24"/>
                <w:highlight w:val="none"/>
              </w:rPr>
            </w:pPr>
          </w:p>
        </w:tc>
        <w:tc>
          <w:tcPr>
            <w:tcW w:w="1224" w:type="dxa"/>
            <w:noWrap w:val="0"/>
            <w:vAlign w:val="top"/>
          </w:tcPr>
          <w:p w14:paraId="73E0AB74">
            <w:pPr>
              <w:rPr>
                <w:rFonts w:hint="eastAsia" w:ascii="宋体" w:hAnsi="宋体" w:eastAsia="宋体" w:cs="宋体"/>
                <w:color w:val="auto"/>
                <w:sz w:val="24"/>
                <w:highlight w:val="none"/>
              </w:rPr>
            </w:pPr>
          </w:p>
        </w:tc>
      </w:tr>
      <w:tr w14:paraId="5200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11BB5CDC">
            <w:pPr>
              <w:pStyle w:val="11"/>
              <w:jc w:val="center"/>
              <w:rPr>
                <w:rFonts w:hint="eastAsia" w:ascii="宋体" w:hAnsi="宋体" w:eastAsia="宋体" w:cs="宋体"/>
                <w:color w:val="auto"/>
                <w:sz w:val="24"/>
                <w:highlight w:val="none"/>
                <w:lang w:val="en-US" w:eastAsia="zh-CN"/>
              </w:rPr>
            </w:pPr>
            <w:r>
              <w:rPr>
                <w:rFonts w:hint="eastAsia" w:ascii="宋体" w:hAnsi="宋体" w:eastAsia="宋体" w:cs="宋体"/>
                <w:b/>
                <w:color w:val="auto"/>
                <w:sz w:val="24"/>
                <w:highlight w:val="none"/>
                <w:lang w:val="en-US" w:eastAsia="zh-CN"/>
              </w:rPr>
              <w:t>第二部分：资信及报价部分响应</w:t>
            </w:r>
          </w:p>
        </w:tc>
      </w:tr>
      <w:tr w14:paraId="4A83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A8A5B78">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7E6F7AEF">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内容</w:t>
            </w:r>
          </w:p>
        </w:tc>
        <w:tc>
          <w:tcPr>
            <w:tcW w:w="2520" w:type="dxa"/>
            <w:noWrap w:val="0"/>
            <w:vAlign w:val="center"/>
          </w:tcPr>
          <w:p w14:paraId="06E86BE5">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招标要求</w:t>
            </w:r>
          </w:p>
        </w:tc>
        <w:tc>
          <w:tcPr>
            <w:tcW w:w="2310" w:type="dxa"/>
            <w:noWrap w:val="0"/>
            <w:vAlign w:val="center"/>
          </w:tcPr>
          <w:p w14:paraId="5B490B56">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投标承诺</w:t>
            </w:r>
          </w:p>
        </w:tc>
        <w:tc>
          <w:tcPr>
            <w:tcW w:w="1224" w:type="dxa"/>
            <w:noWrap w:val="0"/>
            <w:vAlign w:val="center"/>
          </w:tcPr>
          <w:p w14:paraId="6DA9B351">
            <w:pPr>
              <w:pStyle w:val="11"/>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4E14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2A3F86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center"/>
          </w:tcPr>
          <w:p w14:paraId="408388F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供货期</w:t>
            </w:r>
          </w:p>
        </w:tc>
        <w:tc>
          <w:tcPr>
            <w:tcW w:w="2520" w:type="dxa"/>
            <w:noWrap w:val="0"/>
            <w:vAlign w:val="top"/>
          </w:tcPr>
          <w:p w14:paraId="3DFB89CA">
            <w:pPr>
              <w:rPr>
                <w:rFonts w:hint="eastAsia" w:ascii="宋体" w:hAnsi="宋体" w:eastAsia="宋体" w:cs="宋体"/>
                <w:color w:val="auto"/>
                <w:sz w:val="24"/>
                <w:highlight w:val="none"/>
              </w:rPr>
            </w:pPr>
          </w:p>
        </w:tc>
        <w:tc>
          <w:tcPr>
            <w:tcW w:w="2310" w:type="dxa"/>
            <w:noWrap w:val="0"/>
            <w:vAlign w:val="top"/>
          </w:tcPr>
          <w:p w14:paraId="36C5485D">
            <w:pPr>
              <w:rPr>
                <w:rFonts w:hint="eastAsia" w:ascii="宋体" w:hAnsi="宋体" w:eastAsia="宋体" w:cs="宋体"/>
                <w:color w:val="auto"/>
                <w:sz w:val="24"/>
                <w:highlight w:val="none"/>
              </w:rPr>
            </w:pPr>
          </w:p>
        </w:tc>
        <w:tc>
          <w:tcPr>
            <w:tcW w:w="1224" w:type="dxa"/>
            <w:noWrap w:val="0"/>
            <w:vAlign w:val="top"/>
          </w:tcPr>
          <w:p w14:paraId="728270D0">
            <w:pPr>
              <w:rPr>
                <w:rFonts w:hint="eastAsia" w:ascii="宋体" w:hAnsi="宋体" w:eastAsia="宋体" w:cs="宋体"/>
                <w:color w:val="auto"/>
                <w:sz w:val="24"/>
                <w:highlight w:val="none"/>
              </w:rPr>
            </w:pPr>
          </w:p>
        </w:tc>
      </w:tr>
      <w:tr w14:paraId="1312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0CA500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center"/>
          </w:tcPr>
          <w:p w14:paraId="67B4041E">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520" w:type="dxa"/>
            <w:noWrap w:val="0"/>
            <w:vAlign w:val="top"/>
          </w:tcPr>
          <w:p w14:paraId="609130A2">
            <w:pPr>
              <w:rPr>
                <w:rFonts w:hint="eastAsia" w:ascii="宋体" w:hAnsi="宋体" w:eastAsia="宋体" w:cs="宋体"/>
                <w:color w:val="auto"/>
                <w:sz w:val="24"/>
                <w:highlight w:val="none"/>
              </w:rPr>
            </w:pPr>
          </w:p>
        </w:tc>
        <w:tc>
          <w:tcPr>
            <w:tcW w:w="2310" w:type="dxa"/>
            <w:noWrap w:val="0"/>
            <w:vAlign w:val="top"/>
          </w:tcPr>
          <w:p w14:paraId="0310F3CD">
            <w:pPr>
              <w:rPr>
                <w:rFonts w:hint="eastAsia" w:ascii="宋体" w:hAnsi="宋体" w:eastAsia="宋体" w:cs="宋体"/>
                <w:color w:val="auto"/>
                <w:sz w:val="24"/>
                <w:highlight w:val="none"/>
              </w:rPr>
            </w:pPr>
          </w:p>
        </w:tc>
        <w:tc>
          <w:tcPr>
            <w:tcW w:w="1224" w:type="dxa"/>
            <w:noWrap w:val="0"/>
            <w:vAlign w:val="top"/>
          </w:tcPr>
          <w:p w14:paraId="498EC7C6">
            <w:pPr>
              <w:rPr>
                <w:rFonts w:hint="eastAsia" w:ascii="宋体" w:hAnsi="宋体" w:eastAsia="宋体" w:cs="宋体"/>
                <w:color w:val="auto"/>
                <w:sz w:val="24"/>
                <w:highlight w:val="none"/>
              </w:rPr>
            </w:pPr>
          </w:p>
        </w:tc>
      </w:tr>
      <w:tr w14:paraId="447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BEE2E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center"/>
          </w:tcPr>
          <w:p w14:paraId="13B81EC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付款响应</w:t>
            </w:r>
          </w:p>
        </w:tc>
        <w:tc>
          <w:tcPr>
            <w:tcW w:w="2520" w:type="dxa"/>
            <w:noWrap w:val="0"/>
            <w:vAlign w:val="top"/>
          </w:tcPr>
          <w:p w14:paraId="3A817088">
            <w:pPr>
              <w:rPr>
                <w:rFonts w:hint="eastAsia" w:ascii="宋体" w:hAnsi="宋体" w:eastAsia="宋体" w:cs="宋体"/>
                <w:color w:val="auto"/>
                <w:sz w:val="24"/>
                <w:highlight w:val="none"/>
              </w:rPr>
            </w:pPr>
          </w:p>
        </w:tc>
        <w:tc>
          <w:tcPr>
            <w:tcW w:w="2310" w:type="dxa"/>
            <w:noWrap w:val="0"/>
            <w:vAlign w:val="top"/>
          </w:tcPr>
          <w:p w14:paraId="1F022FB6">
            <w:pPr>
              <w:rPr>
                <w:rFonts w:hint="eastAsia" w:ascii="宋体" w:hAnsi="宋体" w:eastAsia="宋体" w:cs="宋体"/>
                <w:color w:val="auto"/>
                <w:sz w:val="24"/>
                <w:highlight w:val="none"/>
              </w:rPr>
            </w:pPr>
          </w:p>
        </w:tc>
        <w:tc>
          <w:tcPr>
            <w:tcW w:w="1224" w:type="dxa"/>
            <w:noWrap w:val="0"/>
            <w:vAlign w:val="top"/>
          </w:tcPr>
          <w:p w14:paraId="78511CB0">
            <w:pPr>
              <w:rPr>
                <w:rFonts w:hint="eastAsia" w:ascii="宋体" w:hAnsi="宋体" w:eastAsia="宋体" w:cs="宋体"/>
                <w:color w:val="auto"/>
                <w:sz w:val="24"/>
                <w:highlight w:val="none"/>
              </w:rPr>
            </w:pPr>
          </w:p>
        </w:tc>
      </w:tr>
      <w:tr w14:paraId="1ECD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7514F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center"/>
          </w:tcPr>
          <w:p w14:paraId="0AE625E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业绩</w:t>
            </w:r>
          </w:p>
        </w:tc>
        <w:tc>
          <w:tcPr>
            <w:tcW w:w="2520" w:type="dxa"/>
            <w:noWrap w:val="0"/>
            <w:vAlign w:val="top"/>
          </w:tcPr>
          <w:p w14:paraId="05C0FB66">
            <w:pPr>
              <w:rPr>
                <w:rFonts w:hint="eastAsia" w:ascii="宋体" w:hAnsi="宋体" w:eastAsia="宋体" w:cs="宋体"/>
                <w:color w:val="auto"/>
                <w:sz w:val="24"/>
                <w:highlight w:val="none"/>
              </w:rPr>
            </w:pPr>
          </w:p>
        </w:tc>
        <w:tc>
          <w:tcPr>
            <w:tcW w:w="2310" w:type="dxa"/>
            <w:noWrap w:val="0"/>
            <w:vAlign w:val="top"/>
          </w:tcPr>
          <w:p w14:paraId="2362DC85">
            <w:pPr>
              <w:rPr>
                <w:rFonts w:hint="eastAsia" w:ascii="宋体" w:hAnsi="宋体" w:eastAsia="宋体" w:cs="宋体"/>
                <w:color w:val="auto"/>
                <w:sz w:val="24"/>
                <w:highlight w:val="none"/>
              </w:rPr>
            </w:pPr>
          </w:p>
        </w:tc>
        <w:tc>
          <w:tcPr>
            <w:tcW w:w="1224" w:type="dxa"/>
            <w:noWrap w:val="0"/>
            <w:vAlign w:val="top"/>
          </w:tcPr>
          <w:p w14:paraId="1D65DAF7">
            <w:pPr>
              <w:rPr>
                <w:rFonts w:hint="eastAsia" w:ascii="宋体" w:hAnsi="宋体" w:eastAsia="宋体" w:cs="宋体"/>
                <w:color w:val="auto"/>
                <w:sz w:val="24"/>
                <w:highlight w:val="none"/>
              </w:rPr>
            </w:pPr>
          </w:p>
        </w:tc>
      </w:tr>
      <w:tr w14:paraId="5CAF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AE820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70" w:type="dxa"/>
            <w:noWrap w:val="0"/>
            <w:vAlign w:val="center"/>
          </w:tcPr>
          <w:p w14:paraId="78D90CA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2520" w:type="dxa"/>
            <w:noWrap w:val="0"/>
            <w:vAlign w:val="top"/>
          </w:tcPr>
          <w:p w14:paraId="7C312DD4">
            <w:pPr>
              <w:rPr>
                <w:rFonts w:hint="eastAsia" w:ascii="宋体" w:hAnsi="宋体" w:eastAsia="宋体" w:cs="宋体"/>
                <w:color w:val="auto"/>
                <w:sz w:val="24"/>
                <w:highlight w:val="none"/>
              </w:rPr>
            </w:pPr>
          </w:p>
        </w:tc>
        <w:tc>
          <w:tcPr>
            <w:tcW w:w="2310" w:type="dxa"/>
            <w:noWrap w:val="0"/>
            <w:vAlign w:val="top"/>
          </w:tcPr>
          <w:p w14:paraId="1D8F858F">
            <w:pPr>
              <w:rPr>
                <w:rFonts w:hint="eastAsia" w:ascii="宋体" w:hAnsi="宋体" w:eastAsia="宋体" w:cs="宋体"/>
                <w:color w:val="auto"/>
                <w:sz w:val="24"/>
                <w:highlight w:val="none"/>
              </w:rPr>
            </w:pPr>
          </w:p>
        </w:tc>
        <w:tc>
          <w:tcPr>
            <w:tcW w:w="1224" w:type="dxa"/>
            <w:noWrap w:val="0"/>
            <w:vAlign w:val="top"/>
          </w:tcPr>
          <w:p w14:paraId="097E6E9E">
            <w:pPr>
              <w:rPr>
                <w:rFonts w:hint="eastAsia" w:ascii="宋体" w:hAnsi="宋体" w:eastAsia="宋体" w:cs="宋体"/>
                <w:color w:val="auto"/>
                <w:sz w:val="24"/>
                <w:highlight w:val="none"/>
              </w:rPr>
            </w:pPr>
          </w:p>
        </w:tc>
      </w:tr>
    </w:tbl>
    <w:p w14:paraId="2021C447">
      <w:pPr>
        <w:spacing w:line="38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0560B945">
      <w:pPr>
        <w:spacing w:line="380" w:lineRule="exact"/>
        <w:ind w:right="640" w:firstLine="1560" w:firstLineChars="650"/>
        <w:jc w:val="left"/>
        <w:rPr>
          <w:rFonts w:hint="eastAsia" w:ascii="宋体" w:hAnsi="宋体" w:eastAsia="宋体" w:cs="宋体"/>
          <w:color w:val="auto"/>
          <w:sz w:val="24"/>
          <w:highlight w:val="none"/>
        </w:rPr>
      </w:pPr>
    </w:p>
    <w:p w14:paraId="2E90E48D">
      <w:pPr>
        <w:spacing w:line="380" w:lineRule="exact"/>
        <w:ind w:right="64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161DAD35">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12830A26">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071A4FA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w:t>
      </w:r>
      <w:r>
        <w:rPr>
          <w:rFonts w:hint="eastAsia" w:ascii="宋体" w:hAnsi="宋体" w:cs="宋体"/>
          <w:b/>
          <w:bCs/>
          <w:color w:val="auto"/>
          <w:sz w:val="24"/>
          <w:szCs w:val="28"/>
          <w:highlight w:val="none"/>
          <w:lang w:eastAsia="zh-CN"/>
        </w:rPr>
        <w:t>供应商</w:t>
      </w:r>
      <w:r>
        <w:rPr>
          <w:rFonts w:hint="eastAsia" w:ascii="宋体" w:hAnsi="宋体" w:eastAsia="宋体" w:cs="宋体"/>
          <w:b/>
          <w:bCs/>
          <w:color w:val="auto"/>
          <w:sz w:val="24"/>
          <w:szCs w:val="28"/>
          <w:highlight w:val="none"/>
        </w:rPr>
        <w:t>必须逐项对应描述投标服务要求，如不进行描述，仅在响应栏填“响应”或未填写的，将可能导致投标无效；</w:t>
      </w:r>
    </w:p>
    <w:p w14:paraId="57670E2C">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2、</w:t>
      </w:r>
      <w:r>
        <w:rPr>
          <w:rFonts w:hint="eastAsia" w:ascii="宋体" w:hAnsi="宋体" w:cs="宋体"/>
          <w:b/>
          <w:bCs/>
          <w:color w:val="auto"/>
          <w:sz w:val="24"/>
          <w:szCs w:val="28"/>
          <w:highlight w:val="none"/>
          <w:lang w:eastAsia="zh-CN"/>
        </w:rPr>
        <w:t>供应商</w:t>
      </w:r>
      <w:r>
        <w:rPr>
          <w:rFonts w:hint="eastAsia" w:ascii="宋体" w:hAnsi="宋体" w:eastAsia="宋体" w:cs="宋体"/>
          <w:b/>
          <w:bCs/>
          <w:color w:val="auto"/>
          <w:sz w:val="24"/>
          <w:szCs w:val="28"/>
          <w:highlight w:val="none"/>
        </w:rPr>
        <w:t>所投服务如与招标文件要求不一致，则须在上表偏离说明中详细注明。</w:t>
      </w:r>
    </w:p>
    <w:p w14:paraId="60BAA858">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3、响应部分可后附详细说明及技术资料，并应注明投标文件中对应的页码范围。</w:t>
      </w:r>
    </w:p>
    <w:p w14:paraId="00BF47E3">
      <w:pPr>
        <w:pStyle w:val="16"/>
        <w:rPr>
          <w:rFonts w:hint="eastAsia" w:ascii="宋体" w:hAnsi="宋体" w:eastAsia="宋体" w:cs="宋体"/>
          <w:color w:val="auto"/>
          <w:highlight w:val="none"/>
        </w:rPr>
      </w:pPr>
    </w:p>
    <w:p w14:paraId="58E3EF8C">
      <w:pPr>
        <w:pStyle w:val="16"/>
        <w:rPr>
          <w:rFonts w:hint="eastAsia" w:ascii="宋体" w:hAnsi="宋体" w:eastAsia="宋体" w:cs="宋体"/>
          <w:color w:val="auto"/>
          <w:highlight w:val="none"/>
        </w:rPr>
      </w:pPr>
    </w:p>
    <w:p w14:paraId="7C859D24">
      <w:pPr>
        <w:pStyle w:val="16"/>
        <w:rPr>
          <w:rFonts w:hint="eastAsia" w:ascii="宋体" w:hAnsi="宋体" w:eastAsia="宋体" w:cs="宋体"/>
          <w:color w:val="auto"/>
          <w:highlight w:val="none"/>
        </w:rPr>
      </w:pPr>
    </w:p>
    <w:p w14:paraId="6085B68C">
      <w:pPr>
        <w:pStyle w:val="16"/>
        <w:rPr>
          <w:rFonts w:hint="eastAsia" w:ascii="宋体" w:hAnsi="宋体" w:eastAsia="宋体" w:cs="宋体"/>
          <w:color w:val="auto"/>
          <w:highlight w:val="none"/>
          <w:lang w:eastAsia="zh-CN"/>
        </w:rPr>
      </w:pPr>
    </w:p>
    <w:p w14:paraId="6CCE69BA">
      <w:pPr>
        <w:pStyle w:val="16"/>
        <w:rPr>
          <w:rFonts w:hint="eastAsia" w:ascii="宋体" w:hAnsi="宋体" w:eastAsia="宋体" w:cs="宋体"/>
          <w:color w:val="auto"/>
          <w:highlight w:val="none"/>
          <w:lang w:eastAsia="zh-CN"/>
        </w:rPr>
      </w:pPr>
    </w:p>
    <w:p w14:paraId="7C9071DE">
      <w:pPr>
        <w:pStyle w:val="16"/>
        <w:rPr>
          <w:rFonts w:hint="eastAsia" w:ascii="宋体" w:hAnsi="宋体" w:eastAsia="宋体" w:cs="宋体"/>
          <w:color w:val="auto"/>
          <w:highlight w:val="none"/>
        </w:rPr>
      </w:pPr>
    </w:p>
    <w:p w14:paraId="3699E6AD">
      <w:pPr>
        <w:pStyle w:val="16"/>
        <w:rPr>
          <w:rFonts w:hint="eastAsia" w:ascii="宋体" w:hAnsi="宋体" w:eastAsia="宋体" w:cs="宋体"/>
          <w:color w:val="auto"/>
          <w:highlight w:val="none"/>
        </w:rPr>
      </w:pPr>
    </w:p>
    <w:p w14:paraId="490E4343">
      <w:pPr>
        <w:pStyle w:val="4"/>
        <w:rPr>
          <w:rFonts w:hint="eastAsia" w:ascii="宋体" w:hAnsi="宋体" w:eastAsia="宋体" w:cs="宋体"/>
          <w:color w:val="auto"/>
          <w:sz w:val="28"/>
          <w:szCs w:val="36"/>
          <w:highlight w:val="none"/>
        </w:rPr>
      </w:pPr>
      <w:bookmarkStart w:id="173" w:name="_Hlt509738950"/>
      <w:bookmarkEnd w:id="173"/>
      <w:bookmarkStart w:id="174" w:name="_Toc28604"/>
      <w:bookmarkStart w:id="175" w:name="_Toc1906"/>
      <w:bookmarkStart w:id="176" w:name="_Toc220232400"/>
      <w:bookmarkStart w:id="177" w:name="_Toc19673"/>
      <w:bookmarkStart w:id="178" w:name="_Toc2238_WPSOffice_Level2"/>
      <w:bookmarkStart w:id="179" w:name="_Toc40975454"/>
      <w:r>
        <w:rPr>
          <w:rFonts w:hint="eastAsia" w:hAnsi="宋体" w:cs="宋体"/>
          <w:color w:val="auto"/>
          <w:sz w:val="28"/>
          <w:highlight w:val="none"/>
          <w:lang w:val="en-US" w:eastAsia="zh-CN"/>
        </w:rPr>
        <w:t>五</w:t>
      </w:r>
      <w:r>
        <w:rPr>
          <w:rFonts w:hint="eastAsia" w:ascii="宋体" w:hAnsi="宋体" w:eastAsia="宋体" w:cs="宋体"/>
          <w:color w:val="auto"/>
          <w:sz w:val="28"/>
          <w:highlight w:val="none"/>
        </w:rPr>
        <w:t>．</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质量承诺</w:t>
      </w:r>
      <w:bookmarkEnd w:id="174"/>
      <w:bookmarkEnd w:id="175"/>
      <w:bookmarkEnd w:id="176"/>
      <w:bookmarkEnd w:id="177"/>
      <w:bookmarkEnd w:id="178"/>
      <w:bookmarkEnd w:id="179"/>
    </w:p>
    <w:p w14:paraId="36BE59FD">
      <w:pPr>
        <w:spacing w:before="48" w:beforeLines="20" w:after="48" w:afterLines="2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可自行制作格式)</w:t>
      </w:r>
    </w:p>
    <w:p w14:paraId="008F5CF4">
      <w:pPr>
        <w:spacing w:before="48" w:beforeLines="20" w:after="48" w:afterLines="20" w:line="360" w:lineRule="auto"/>
        <w:rPr>
          <w:rFonts w:hint="eastAsia" w:ascii="宋体" w:hAnsi="宋体" w:eastAsia="宋体" w:cs="宋体"/>
          <w:color w:val="auto"/>
          <w:sz w:val="28"/>
          <w:highlight w:val="none"/>
        </w:rPr>
      </w:pPr>
    </w:p>
    <w:p w14:paraId="404CCAFE">
      <w:pPr>
        <w:pStyle w:val="16"/>
        <w:rPr>
          <w:rFonts w:hint="eastAsia" w:ascii="宋体" w:hAnsi="宋体" w:eastAsia="宋体" w:cs="宋体"/>
          <w:color w:val="auto"/>
          <w:highlight w:val="none"/>
        </w:rPr>
      </w:pPr>
    </w:p>
    <w:p w14:paraId="4F96172F">
      <w:pPr>
        <w:pStyle w:val="16"/>
        <w:rPr>
          <w:rFonts w:hint="eastAsia" w:ascii="宋体" w:hAnsi="宋体" w:eastAsia="宋体" w:cs="宋体"/>
          <w:color w:val="auto"/>
          <w:highlight w:val="none"/>
        </w:rPr>
      </w:pPr>
    </w:p>
    <w:p w14:paraId="285D3642">
      <w:pPr>
        <w:pStyle w:val="16"/>
        <w:rPr>
          <w:rFonts w:hint="eastAsia" w:ascii="宋体" w:hAnsi="宋体" w:eastAsia="宋体" w:cs="宋体"/>
          <w:color w:val="auto"/>
          <w:highlight w:val="none"/>
        </w:rPr>
      </w:pPr>
    </w:p>
    <w:p w14:paraId="4AC4DF0B">
      <w:pPr>
        <w:pStyle w:val="16"/>
        <w:rPr>
          <w:rFonts w:hint="eastAsia" w:ascii="宋体" w:hAnsi="宋体" w:eastAsia="宋体" w:cs="宋体"/>
          <w:color w:val="auto"/>
          <w:highlight w:val="none"/>
        </w:rPr>
      </w:pPr>
    </w:p>
    <w:p w14:paraId="62F24954">
      <w:pPr>
        <w:pStyle w:val="16"/>
        <w:rPr>
          <w:rFonts w:hint="eastAsia" w:ascii="宋体" w:hAnsi="宋体" w:eastAsia="宋体" w:cs="宋体"/>
          <w:color w:val="auto"/>
          <w:highlight w:val="none"/>
        </w:rPr>
      </w:pPr>
    </w:p>
    <w:p w14:paraId="5605004D">
      <w:pPr>
        <w:pStyle w:val="16"/>
        <w:rPr>
          <w:rFonts w:hint="eastAsia" w:ascii="宋体" w:hAnsi="宋体" w:eastAsia="宋体" w:cs="宋体"/>
          <w:color w:val="auto"/>
          <w:highlight w:val="none"/>
        </w:rPr>
      </w:pPr>
    </w:p>
    <w:p w14:paraId="4053ED4E">
      <w:pPr>
        <w:pStyle w:val="16"/>
        <w:rPr>
          <w:rFonts w:hint="eastAsia" w:ascii="宋体" w:hAnsi="宋体" w:eastAsia="宋体" w:cs="宋体"/>
          <w:color w:val="auto"/>
          <w:highlight w:val="none"/>
        </w:rPr>
      </w:pPr>
    </w:p>
    <w:p w14:paraId="1BFF9A45">
      <w:pPr>
        <w:pStyle w:val="16"/>
        <w:rPr>
          <w:rFonts w:hint="eastAsia" w:ascii="宋体" w:hAnsi="宋体" w:eastAsia="宋体" w:cs="宋体"/>
          <w:color w:val="auto"/>
          <w:highlight w:val="none"/>
        </w:rPr>
      </w:pPr>
    </w:p>
    <w:p w14:paraId="28731633">
      <w:pPr>
        <w:pStyle w:val="16"/>
        <w:rPr>
          <w:rFonts w:hint="eastAsia" w:ascii="宋体" w:hAnsi="宋体" w:eastAsia="宋体" w:cs="宋体"/>
          <w:color w:val="auto"/>
          <w:highlight w:val="none"/>
        </w:rPr>
      </w:pPr>
    </w:p>
    <w:p w14:paraId="5E7C8B61">
      <w:pPr>
        <w:pStyle w:val="16"/>
        <w:rPr>
          <w:rFonts w:hint="eastAsia" w:ascii="宋体" w:hAnsi="宋体" w:eastAsia="宋体" w:cs="宋体"/>
          <w:color w:val="auto"/>
          <w:highlight w:val="none"/>
        </w:rPr>
      </w:pPr>
    </w:p>
    <w:p w14:paraId="106AAAE9">
      <w:pPr>
        <w:pStyle w:val="16"/>
        <w:rPr>
          <w:rFonts w:hint="eastAsia" w:ascii="宋体" w:hAnsi="宋体" w:eastAsia="宋体" w:cs="宋体"/>
          <w:color w:val="auto"/>
          <w:highlight w:val="none"/>
        </w:rPr>
      </w:pPr>
    </w:p>
    <w:p w14:paraId="3367A366">
      <w:pPr>
        <w:pStyle w:val="16"/>
        <w:rPr>
          <w:rFonts w:hint="eastAsia" w:ascii="宋体" w:hAnsi="宋体" w:eastAsia="宋体" w:cs="宋体"/>
          <w:color w:val="auto"/>
          <w:highlight w:val="none"/>
        </w:rPr>
      </w:pPr>
    </w:p>
    <w:p w14:paraId="51A2A297">
      <w:pPr>
        <w:pStyle w:val="16"/>
        <w:rPr>
          <w:rFonts w:hint="eastAsia" w:ascii="宋体" w:hAnsi="宋体" w:eastAsia="宋体" w:cs="宋体"/>
          <w:color w:val="auto"/>
          <w:highlight w:val="none"/>
        </w:rPr>
      </w:pPr>
    </w:p>
    <w:p w14:paraId="30C1B1D0">
      <w:pPr>
        <w:pStyle w:val="16"/>
        <w:rPr>
          <w:rFonts w:hint="eastAsia" w:ascii="宋体" w:hAnsi="宋体" w:eastAsia="宋体" w:cs="宋体"/>
          <w:color w:val="auto"/>
          <w:highlight w:val="none"/>
        </w:rPr>
      </w:pPr>
    </w:p>
    <w:p w14:paraId="0B78C5C9">
      <w:pPr>
        <w:pStyle w:val="16"/>
        <w:rPr>
          <w:rFonts w:hint="eastAsia" w:ascii="宋体" w:hAnsi="宋体" w:eastAsia="宋体" w:cs="宋体"/>
          <w:color w:val="auto"/>
          <w:highlight w:val="none"/>
        </w:rPr>
      </w:pPr>
    </w:p>
    <w:p w14:paraId="398CFC86">
      <w:pPr>
        <w:pStyle w:val="16"/>
        <w:rPr>
          <w:rFonts w:hint="eastAsia" w:ascii="宋体" w:hAnsi="宋体" w:eastAsia="宋体" w:cs="宋体"/>
          <w:color w:val="auto"/>
          <w:highlight w:val="none"/>
        </w:rPr>
      </w:pPr>
    </w:p>
    <w:p w14:paraId="74747D92">
      <w:pPr>
        <w:pStyle w:val="16"/>
        <w:rPr>
          <w:rFonts w:hint="eastAsia" w:ascii="宋体" w:hAnsi="宋体" w:eastAsia="宋体" w:cs="宋体"/>
          <w:color w:val="auto"/>
          <w:highlight w:val="none"/>
        </w:rPr>
      </w:pPr>
    </w:p>
    <w:p w14:paraId="6E4EFF67">
      <w:pPr>
        <w:pStyle w:val="16"/>
        <w:rPr>
          <w:rFonts w:hint="eastAsia" w:ascii="宋体" w:hAnsi="宋体" w:eastAsia="宋体" w:cs="宋体"/>
          <w:color w:val="auto"/>
          <w:highlight w:val="none"/>
        </w:rPr>
      </w:pPr>
    </w:p>
    <w:p w14:paraId="53B2C225">
      <w:pPr>
        <w:pStyle w:val="16"/>
        <w:rPr>
          <w:rFonts w:hint="eastAsia" w:ascii="宋体" w:hAnsi="宋体" w:eastAsia="宋体" w:cs="宋体"/>
          <w:color w:val="auto"/>
          <w:highlight w:val="none"/>
        </w:rPr>
      </w:pPr>
    </w:p>
    <w:p w14:paraId="3FAA7B72">
      <w:pPr>
        <w:pStyle w:val="16"/>
        <w:rPr>
          <w:rFonts w:hint="eastAsia" w:ascii="宋体" w:hAnsi="宋体" w:eastAsia="宋体" w:cs="宋体"/>
          <w:color w:val="auto"/>
          <w:highlight w:val="none"/>
        </w:rPr>
      </w:pPr>
    </w:p>
    <w:p w14:paraId="1BC9B93A">
      <w:pPr>
        <w:pStyle w:val="16"/>
        <w:rPr>
          <w:rFonts w:hint="eastAsia" w:ascii="宋体" w:hAnsi="宋体" w:eastAsia="宋体" w:cs="宋体"/>
          <w:color w:val="auto"/>
          <w:highlight w:val="none"/>
        </w:rPr>
      </w:pPr>
    </w:p>
    <w:p w14:paraId="1D4CB259">
      <w:pPr>
        <w:pStyle w:val="16"/>
        <w:rPr>
          <w:rFonts w:hint="eastAsia" w:ascii="宋体" w:hAnsi="宋体" w:eastAsia="宋体" w:cs="宋体"/>
          <w:color w:val="auto"/>
          <w:highlight w:val="none"/>
        </w:rPr>
      </w:pPr>
    </w:p>
    <w:p w14:paraId="375DD7AE">
      <w:pPr>
        <w:pStyle w:val="16"/>
        <w:rPr>
          <w:rFonts w:hint="eastAsia" w:ascii="宋体" w:hAnsi="宋体" w:eastAsia="宋体" w:cs="宋体"/>
          <w:color w:val="auto"/>
          <w:highlight w:val="none"/>
        </w:rPr>
      </w:pPr>
    </w:p>
    <w:p w14:paraId="34DD0F34">
      <w:pPr>
        <w:pStyle w:val="16"/>
        <w:rPr>
          <w:rFonts w:hint="eastAsia" w:ascii="宋体" w:hAnsi="宋体" w:eastAsia="宋体" w:cs="宋体"/>
          <w:color w:val="auto"/>
          <w:highlight w:val="none"/>
        </w:rPr>
      </w:pPr>
    </w:p>
    <w:p w14:paraId="1620B896">
      <w:pPr>
        <w:pStyle w:val="16"/>
        <w:rPr>
          <w:rFonts w:hint="eastAsia" w:ascii="宋体" w:hAnsi="宋体" w:eastAsia="宋体" w:cs="宋体"/>
          <w:color w:val="auto"/>
          <w:highlight w:val="none"/>
        </w:rPr>
      </w:pPr>
    </w:p>
    <w:p w14:paraId="28FCC4CE">
      <w:pPr>
        <w:pStyle w:val="16"/>
        <w:rPr>
          <w:rFonts w:hint="eastAsia" w:ascii="宋体" w:hAnsi="宋体" w:eastAsia="宋体" w:cs="宋体"/>
          <w:color w:val="auto"/>
          <w:highlight w:val="none"/>
        </w:rPr>
      </w:pPr>
    </w:p>
    <w:p w14:paraId="413F35FF">
      <w:pPr>
        <w:pStyle w:val="16"/>
        <w:rPr>
          <w:rFonts w:hint="eastAsia" w:ascii="宋体" w:hAnsi="宋体" w:eastAsia="宋体" w:cs="宋体"/>
          <w:color w:val="auto"/>
          <w:highlight w:val="none"/>
        </w:rPr>
      </w:pPr>
    </w:p>
    <w:p w14:paraId="7C20D875">
      <w:pPr>
        <w:pStyle w:val="16"/>
        <w:rPr>
          <w:rFonts w:hint="eastAsia" w:ascii="宋体" w:hAnsi="宋体" w:eastAsia="宋体" w:cs="宋体"/>
          <w:color w:val="auto"/>
          <w:highlight w:val="none"/>
        </w:rPr>
      </w:pPr>
    </w:p>
    <w:p w14:paraId="12927083">
      <w:pPr>
        <w:pStyle w:val="16"/>
        <w:rPr>
          <w:rFonts w:hint="eastAsia" w:ascii="宋体" w:hAnsi="宋体" w:eastAsia="宋体" w:cs="宋体"/>
          <w:color w:val="auto"/>
          <w:highlight w:val="none"/>
        </w:rPr>
      </w:pPr>
    </w:p>
    <w:p w14:paraId="54294BBC">
      <w:pPr>
        <w:pStyle w:val="16"/>
        <w:rPr>
          <w:rFonts w:hint="eastAsia" w:ascii="宋体" w:hAnsi="宋体" w:eastAsia="宋体" w:cs="宋体"/>
          <w:color w:val="auto"/>
          <w:highlight w:val="none"/>
        </w:rPr>
      </w:pPr>
    </w:p>
    <w:p w14:paraId="6A9A5568">
      <w:pPr>
        <w:pStyle w:val="16"/>
        <w:rPr>
          <w:rFonts w:hint="eastAsia" w:ascii="宋体" w:hAnsi="宋体" w:eastAsia="宋体" w:cs="宋体"/>
          <w:color w:val="auto"/>
          <w:highlight w:val="none"/>
        </w:rPr>
      </w:pPr>
    </w:p>
    <w:p w14:paraId="6569E71F">
      <w:pPr>
        <w:pStyle w:val="16"/>
        <w:rPr>
          <w:rFonts w:hint="eastAsia" w:ascii="宋体" w:hAnsi="宋体" w:eastAsia="宋体" w:cs="宋体"/>
          <w:color w:val="auto"/>
          <w:highlight w:val="none"/>
        </w:rPr>
      </w:pPr>
    </w:p>
    <w:p w14:paraId="588A9882">
      <w:pPr>
        <w:pStyle w:val="16"/>
        <w:rPr>
          <w:rFonts w:hint="eastAsia" w:ascii="宋体" w:hAnsi="宋体" w:eastAsia="宋体" w:cs="宋体"/>
          <w:color w:val="auto"/>
          <w:highlight w:val="none"/>
        </w:rPr>
      </w:pPr>
    </w:p>
    <w:p w14:paraId="6CD60A24">
      <w:pPr>
        <w:pStyle w:val="16"/>
        <w:rPr>
          <w:rFonts w:hint="eastAsia" w:ascii="宋体" w:hAnsi="宋体" w:eastAsia="宋体" w:cs="宋体"/>
          <w:color w:val="auto"/>
          <w:highlight w:val="none"/>
        </w:rPr>
      </w:pPr>
    </w:p>
    <w:p w14:paraId="58ECA7C4">
      <w:pPr>
        <w:pStyle w:val="16"/>
        <w:rPr>
          <w:rFonts w:hint="eastAsia" w:ascii="宋体" w:hAnsi="宋体" w:eastAsia="宋体" w:cs="宋体"/>
          <w:color w:val="auto"/>
          <w:highlight w:val="none"/>
        </w:rPr>
      </w:pPr>
    </w:p>
    <w:p w14:paraId="7EEC0C22">
      <w:pPr>
        <w:pStyle w:val="16"/>
        <w:rPr>
          <w:rFonts w:hint="eastAsia" w:ascii="宋体" w:hAnsi="宋体" w:eastAsia="宋体" w:cs="宋体"/>
          <w:color w:val="auto"/>
          <w:highlight w:val="none"/>
        </w:rPr>
      </w:pPr>
    </w:p>
    <w:p w14:paraId="218B4ACC">
      <w:pPr>
        <w:pStyle w:val="16"/>
        <w:rPr>
          <w:rFonts w:hint="eastAsia" w:ascii="宋体" w:hAnsi="宋体" w:eastAsia="宋体" w:cs="宋体"/>
          <w:color w:val="auto"/>
          <w:highlight w:val="none"/>
        </w:rPr>
      </w:pPr>
    </w:p>
    <w:p w14:paraId="311D41CF">
      <w:pPr>
        <w:pStyle w:val="16"/>
        <w:rPr>
          <w:rFonts w:hint="eastAsia" w:ascii="宋体" w:hAnsi="宋体" w:eastAsia="宋体" w:cs="宋体"/>
          <w:color w:val="auto"/>
          <w:highlight w:val="none"/>
        </w:rPr>
      </w:pPr>
    </w:p>
    <w:p w14:paraId="5EE150BA">
      <w:pPr>
        <w:pStyle w:val="16"/>
        <w:rPr>
          <w:rFonts w:hint="eastAsia" w:ascii="宋体" w:hAnsi="宋体" w:eastAsia="宋体" w:cs="宋体"/>
          <w:color w:val="auto"/>
          <w:highlight w:val="none"/>
        </w:rPr>
      </w:pPr>
    </w:p>
    <w:p w14:paraId="4DDCBAB3">
      <w:pPr>
        <w:pStyle w:val="16"/>
        <w:rPr>
          <w:rFonts w:hint="eastAsia" w:ascii="宋体" w:hAnsi="宋体" w:eastAsia="宋体" w:cs="宋体"/>
          <w:color w:val="auto"/>
          <w:highlight w:val="none"/>
        </w:rPr>
      </w:pPr>
    </w:p>
    <w:p w14:paraId="592E430D">
      <w:pPr>
        <w:pStyle w:val="16"/>
        <w:rPr>
          <w:rFonts w:hint="eastAsia" w:ascii="宋体" w:hAnsi="宋体" w:eastAsia="宋体" w:cs="宋体"/>
          <w:color w:val="auto"/>
          <w:highlight w:val="none"/>
        </w:rPr>
      </w:pPr>
    </w:p>
    <w:p w14:paraId="30E169AA">
      <w:pPr>
        <w:pStyle w:val="16"/>
        <w:rPr>
          <w:rFonts w:hint="eastAsia" w:ascii="宋体" w:hAnsi="宋体" w:eastAsia="宋体" w:cs="宋体"/>
          <w:color w:val="auto"/>
          <w:highlight w:val="none"/>
        </w:rPr>
      </w:pPr>
    </w:p>
    <w:p w14:paraId="2051C217">
      <w:pPr>
        <w:pStyle w:val="16"/>
        <w:rPr>
          <w:rFonts w:hint="eastAsia" w:ascii="宋体" w:hAnsi="宋体" w:eastAsia="宋体" w:cs="宋体"/>
          <w:color w:val="auto"/>
          <w:highlight w:val="none"/>
        </w:rPr>
      </w:pPr>
    </w:p>
    <w:p w14:paraId="6FA32E07">
      <w:pPr>
        <w:pStyle w:val="16"/>
        <w:rPr>
          <w:rFonts w:hint="eastAsia" w:ascii="宋体" w:hAnsi="宋体" w:eastAsia="宋体" w:cs="宋体"/>
          <w:color w:val="auto"/>
          <w:highlight w:val="none"/>
        </w:rPr>
      </w:pPr>
    </w:p>
    <w:p w14:paraId="6A9B0016">
      <w:pPr>
        <w:pStyle w:val="16"/>
        <w:rPr>
          <w:rFonts w:hint="eastAsia" w:ascii="宋体" w:hAnsi="宋体" w:eastAsia="宋体" w:cs="宋体"/>
          <w:color w:val="auto"/>
          <w:highlight w:val="none"/>
        </w:rPr>
      </w:pPr>
    </w:p>
    <w:p w14:paraId="52EBE2F7">
      <w:pPr>
        <w:pStyle w:val="16"/>
        <w:rPr>
          <w:rFonts w:hint="eastAsia" w:ascii="宋体" w:hAnsi="宋体" w:eastAsia="宋体" w:cs="宋体"/>
          <w:color w:val="auto"/>
          <w:highlight w:val="none"/>
        </w:rPr>
      </w:pPr>
    </w:p>
    <w:p w14:paraId="4662F17A">
      <w:pPr>
        <w:pStyle w:val="16"/>
        <w:rPr>
          <w:rFonts w:hint="eastAsia" w:ascii="宋体" w:hAnsi="宋体" w:eastAsia="宋体" w:cs="宋体"/>
          <w:color w:val="auto"/>
          <w:highlight w:val="none"/>
        </w:rPr>
      </w:pPr>
    </w:p>
    <w:p w14:paraId="0388ECF3">
      <w:pPr>
        <w:pStyle w:val="4"/>
        <w:rPr>
          <w:rFonts w:hint="eastAsia" w:ascii="宋体" w:hAnsi="宋体" w:eastAsia="宋体" w:cs="宋体"/>
          <w:color w:val="auto"/>
          <w:sz w:val="28"/>
          <w:szCs w:val="36"/>
          <w:highlight w:val="none"/>
        </w:rPr>
      </w:pPr>
      <w:bookmarkStart w:id="180" w:name="_Toc5312_WPSOffice_Level2"/>
      <w:bookmarkStart w:id="181" w:name="_Toc8310"/>
      <w:bookmarkStart w:id="182" w:name="_Toc220232402"/>
      <w:bookmarkStart w:id="183" w:name="_Toc25061"/>
      <w:bookmarkStart w:id="184" w:name="_Toc40975456"/>
      <w:bookmarkStart w:id="185" w:name="_Toc516969105"/>
      <w:bookmarkStart w:id="186" w:name="_Toc235"/>
      <w:r>
        <w:rPr>
          <w:rFonts w:hint="eastAsia" w:hAnsi="宋体" w:cs="宋体"/>
          <w:color w:val="auto"/>
          <w:sz w:val="28"/>
          <w:highlight w:val="none"/>
          <w:lang w:val="en-US" w:eastAsia="zh-CN"/>
        </w:rPr>
        <w:t>六</w:t>
      </w:r>
      <w:r>
        <w:rPr>
          <w:rFonts w:hint="eastAsia" w:ascii="宋体" w:hAnsi="宋体" w:eastAsia="宋体" w:cs="宋体"/>
          <w:color w:val="auto"/>
          <w:sz w:val="28"/>
          <w:highlight w:val="none"/>
        </w:rPr>
        <w:t>．有关证明文件</w:t>
      </w:r>
      <w:bookmarkEnd w:id="180"/>
      <w:bookmarkEnd w:id="181"/>
      <w:bookmarkEnd w:id="182"/>
      <w:bookmarkEnd w:id="183"/>
      <w:bookmarkEnd w:id="184"/>
      <w:bookmarkEnd w:id="185"/>
      <w:bookmarkEnd w:id="186"/>
    </w:p>
    <w:p w14:paraId="6380D05C">
      <w:pPr>
        <w:tabs>
          <w:tab w:val="left" w:pos="462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提供符合投标邀请（招标公告）、需求一览表及评标办法规定的相关证明文件。</w:t>
      </w:r>
    </w:p>
    <w:p w14:paraId="2748AEA6">
      <w:pPr>
        <w:tabs>
          <w:tab w:val="left" w:pos="4620"/>
        </w:tabs>
        <w:spacing w:line="360" w:lineRule="auto"/>
        <w:ind w:firstLine="480" w:firstLineChars="200"/>
        <w:rPr>
          <w:rFonts w:hint="eastAsia" w:ascii="宋体" w:hAnsi="宋体" w:eastAsia="宋体" w:cs="宋体"/>
          <w:color w:val="auto"/>
          <w:sz w:val="24"/>
          <w:highlight w:val="none"/>
        </w:rPr>
      </w:pPr>
    </w:p>
    <w:p w14:paraId="3218AD08">
      <w:pPr>
        <w:tabs>
          <w:tab w:val="left" w:pos="4620"/>
        </w:tabs>
        <w:spacing w:line="360" w:lineRule="auto"/>
        <w:ind w:firstLine="480" w:firstLineChars="200"/>
        <w:rPr>
          <w:rFonts w:hint="eastAsia" w:ascii="宋体" w:hAnsi="宋体" w:eastAsia="宋体" w:cs="宋体"/>
          <w:color w:val="auto"/>
          <w:sz w:val="24"/>
          <w:highlight w:val="none"/>
        </w:rPr>
      </w:pPr>
    </w:p>
    <w:p w14:paraId="3A8B65D1">
      <w:pPr>
        <w:tabs>
          <w:tab w:val="left" w:pos="4620"/>
        </w:tabs>
        <w:spacing w:line="360" w:lineRule="auto"/>
        <w:ind w:firstLine="480" w:firstLineChars="200"/>
        <w:rPr>
          <w:rFonts w:hint="eastAsia" w:ascii="宋体" w:hAnsi="宋体" w:eastAsia="宋体" w:cs="宋体"/>
          <w:color w:val="auto"/>
          <w:sz w:val="24"/>
          <w:highlight w:val="none"/>
        </w:rPr>
      </w:pPr>
    </w:p>
    <w:p w14:paraId="5A06817A">
      <w:pPr>
        <w:tabs>
          <w:tab w:val="left" w:pos="4620"/>
        </w:tabs>
        <w:spacing w:line="360" w:lineRule="auto"/>
        <w:ind w:firstLine="480" w:firstLineChars="200"/>
        <w:rPr>
          <w:rFonts w:hint="eastAsia" w:ascii="宋体" w:hAnsi="宋体" w:eastAsia="宋体" w:cs="宋体"/>
          <w:color w:val="auto"/>
          <w:sz w:val="24"/>
          <w:highlight w:val="none"/>
        </w:rPr>
      </w:pPr>
    </w:p>
    <w:p w14:paraId="34E92EC3">
      <w:pPr>
        <w:tabs>
          <w:tab w:val="left" w:pos="4620"/>
        </w:tabs>
        <w:spacing w:line="360" w:lineRule="auto"/>
        <w:ind w:firstLine="480" w:firstLineChars="200"/>
        <w:rPr>
          <w:rFonts w:hint="eastAsia" w:ascii="宋体" w:hAnsi="宋体" w:eastAsia="宋体" w:cs="宋体"/>
          <w:color w:val="auto"/>
          <w:sz w:val="24"/>
          <w:highlight w:val="none"/>
        </w:rPr>
      </w:pPr>
    </w:p>
    <w:p w14:paraId="5B7DA3EC">
      <w:pPr>
        <w:tabs>
          <w:tab w:val="left" w:pos="4620"/>
        </w:tabs>
        <w:spacing w:line="360" w:lineRule="auto"/>
        <w:ind w:firstLine="480" w:firstLineChars="200"/>
        <w:rPr>
          <w:rFonts w:hint="eastAsia" w:ascii="宋体" w:hAnsi="宋体" w:eastAsia="宋体" w:cs="宋体"/>
          <w:color w:val="auto"/>
          <w:sz w:val="24"/>
          <w:highlight w:val="none"/>
        </w:rPr>
      </w:pPr>
    </w:p>
    <w:p w14:paraId="598656E9">
      <w:pPr>
        <w:tabs>
          <w:tab w:val="left" w:pos="4620"/>
        </w:tabs>
        <w:spacing w:line="360" w:lineRule="auto"/>
        <w:ind w:firstLine="480" w:firstLineChars="200"/>
        <w:rPr>
          <w:rFonts w:hint="eastAsia" w:ascii="宋体" w:hAnsi="宋体" w:eastAsia="宋体" w:cs="宋体"/>
          <w:color w:val="auto"/>
          <w:sz w:val="24"/>
          <w:highlight w:val="none"/>
        </w:rPr>
      </w:pPr>
    </w:p>
    <w:p w14:paraId="13DB1649">
      <w:pPr>
        <w:tabs>
          <w:tab w:val="left" w:pos="4620"/>
        </w:tabs>
        <w:spacing w:line="360" w:lineRule="auto"/>
        <w:ind w:firstLine="480" w:firstLineChars="200"/>
        <w:rPr>
          <w:rFonts w:hint="eastAsia" w:ascii="宋体" w:hAnsi="宋体" w:eastAsia="宋体" w:cs="宋体"/>
          <w:color w:val="auto"/>
          <w:sz w:val="24"/>
          <w:highlight w:val="none"/>
        </w:rPr>
      </w:pPr>
    </w:p>
    <w:p w14:paraId="55C53461">
      <w:pPr>
        <w:tabs>
          <w:tab w:val="left" w:pos="4620"/>
        </w:tabs>
        <w:spacing w:line="360" w:lineRule="auto"/>
        <w:ind w:firstLine="480" w:firstLineChars="200"/>
        <w:rPr>
          <w:rFonts w:hint="eastAsia" w:ascii="宋体" w:hAnsi="宋体" w:eastAsia="宋体" w:cs="宋体"/>
          <w:color w:val="auto"/>
          <w:sz w:val="24"/>
          <w:highlight w:val="none"/>
        </w:rPr>
      </w:pPr>
    </w:p>
    <w:p w14:paraId="49B36403">
      <w:pPr>
        <w:tabs>
          <w:tab w:val="left" w:pos="4620"/>
        </w:tabs>
        <w:spacing w:line="360" w:lineRule="auto"/>
        <w:ind w:firstLine="480" w:firstLineChars="200"/>
        <w:rPr>
          <w:rFonts w:hint="eastAsia" w:ascii="宋体" w:hAnsi="宋体" w:eastAsia="宋体" w:cs="宋体"/>
          <w:color w:val="auto"/>
          <w:sz w:val="24"/>
          <w:highlight w:val="none"/>
        </w:rPr>
      </w:pPr>
    </w:p>
    <w:p w14:paraId="5B29B5CE">
      <w:pPr>
        <w:tabs>
          <w:tab w:val="left" w:pos="4620"/>
        </w:tabs>
        <w:spacing w:line="360" w:lineRule="auto"/>
        <w:ind w:firstLine="480" w:firstLineChars="200"/>
        <w:rPr>
          <w:rFonts w:hint="eastAsia" w:ascii="宋体" w:hAnsi="宋体" w:eastAsia="宋体" w:cs="宋体"/>
          <w:color w:val="auto"/>
          <w:sz w:val="24"/>
          <w:highlight w:val="none"/>
        </w:rPr>
      </w:pPr>
    </w:p>
    <w:p w14:paraId="6FF49915">
      <w:pPr>
        <w:tabs>
          <w:tab w:val="left" w:pos="4620"/>
        </w:tabs>
        <w:spacing w:line="360" w:lineRule="auto"/>
        <w:ind w:firstLine="480" w:firstLineChars="200"/>
        <w:rPr>
          <w:rFonts w:hint="eastAsia" w:ascii="宋体" w:hAnsi="宋体" w:eastAsia="宋体" w:cs="宋体"/>
          <w:color w:val="auto"/>
          <w:sz w:val="24"/>
          <w:highlight w:val="none"/>
        </w:rPr>
      </w:pPr>
    </w:p>
    <w:p w14:paraId="5B75966A">
      <w:pPr>
        <w:pStyle w:val="26"/>
        <w:rPr>
          <w:rFonts w:hint="eastAsia" w:ascii="宋体" w:hAnsi="宋体" w:eastAsia="宋体" w:cs="宋体"/>
          <w:color w:val="auto"/>
          <w:sz w:val="24"/>
          <w:highlight w:val="none"/>
        </w:rPr>
      </w:pPr>
    </w:p>
    <w:p w14:paraId="36BDA49A">
      <w:pPr>
        <w:pStyle w:val="6"/>
        <w:rPr>
          <w:rFonts w:hint="eastAsia" w:ascii="宋体" w:hAnsi="宋体" w:eastAsia="宋体" w:cs="宋体"/>
          <w:color w:val="auto"/>
          <w:sz w:val="24"/>
          <w:highlight w:val="none"/>
        </w:rPr>
      </w:pPr>
    </w:p>
    <w:p w14:paraId="74D5C1F4">
      <w:pPr>
        <w:rPr>
          <w:rFonts w:hint="eastAsia" w:ascii="宋体" w:hAnsi="宋体" w:eastAsia="宋体" w:cs="宋体"/>
          <w:color w:val="auto"/>
          <w:sz w:val="24"/>
          <w:highlight w:val="none"/>
        </w:rPr>
      </w:pPr>
    </w:p>
    <w:p w14:paraId="1CE05C10">
      <w:pPr>
        <w:pStyle w:val="26"/>
        <w:rPr>
          <w:rFonts w:hint="eastAsia" w:ascii="宋体" w:hAnsi="宋体" w:eastAsia="宋体" w:cs="宋体"/>
          <w:color w:val="auto"/>
          <w:sz w:val="24"/>
          <w:highlight w:val="none"/>
        </w:rPr>
      </w:pPr>
    </w:p>
    <w:p w14:paraId="0DB72656">
      <w:pPr>
        <w:pStyle w:val="6"/>
        <w:rPr>
          <w:rFonts w:hint="eastAsia" w:ascii="宋体" w:hAnsi="宋体" w:eastAsia="宋体" w:cs="宋体"/>
          <w:color w:val="auto"/>
          <w:sz w:val="24"/>
          <w:highlight w:val="none"/>
        </w:rPr>
      </w:pPr>
    </w:p>
    <w:p w14:paraId="501D5A18">
      <w:pPr>
        <w:rPr>
          <w:rFonts w:hint="eastAsia" w:ascii="宋体" w:hAnsi="宋体" w:eastAsia="宋体" w:cs="宋体"/>
          <w:color w:val="auto"/>
          <w:sz w:val="24"/>
          <w:highlight w:val="none"/>
        </w:rPr>
      </w:pPr>
    </w:p>
    <w:p w14:paraId="54A5F2C5">
      <w:pPr>
        <w:pStyle w:val="26"/>
        <w:rPr>
          <w:rFonts w:hint="eastAsia" w:ascii="宋体" w:hAnsi="宋体" w:eastAsia="宋体" w:cs="宋体"/>
          <w:color w:val="auto"/>
          <w:sz w:val="24"/>
          <w:highlight w:val="none"/>
        </w:rPr>
      </w:pPr>
    </w:p>
    <w:p w14:paraId="3F4466A9">
      <w:pPr>
        <w:pStyle w:val="6"/>
        <w:rPr>
          <w:rFonts w:hint="eastAsia" w:ascii="宋体" w:hAnsi="宋体" w:eastAsia="宋体" w:cs="宋体"/>
          <w:color w:val="auto"/>
          <w:sz w:val="24"/>
          <w:highlight w:val="none"/>
        </w:rPr>
      </w:pPr>
    </w:p>
    <w:p w14:paraId="335C9978">
      <w:pPr>
        <w:rPr>
          <w:rFonts w:hint="eastAsia" w:ascii="宋体" w:hAnsi="宋体" w:eastAsia="宋体" w:cs="宋体"/>
          <w:color w:val="auto"/>
          <w:sz w:val="24"/>
          <w:highlight w:val="none"/>
        </w:rPr>
      </w:pPr>
    </w:p>
    <w:p w14:paraId="571AD9E8">
      <w:pPr>
        <w:pStyle w:val="26"/>
        <w:rPr>
          <w:rFonts w:hint="eastAsia" w:ascii="宋体" w:hAnsi="宋体" w:eastAsia="宋体" w:cs="宋体"/>
          <w:color w:val="auto"/>
          <w:sz w:val="24"/>
          <w:highlight w:val="none"/>
        </w:rPr>
      </w:pPr>
    </w:p>
    <w:p w14:paraId="31396AB7">
      <w:pPr>
        <w:pStyle w:val="6"/>
        <w:rPr>
          <w:rFonts w:hint="eastAsia" w:ascii="宋体" w:hAnsi="宋体" w:eastAsia="宋体" w:cs="宋体"/>
          <w:color w:val="auto"/>
          <w:sz w:val="24"/>
          <w:highlight w:val="none"/>
        </w:rPr>
      </w:pPr>
    </w:p>
    <w:p w14:paraId="08C75B49">
      <w:pPr>
        <w:rPr>
          <w:rFonts w:hint="eastAsia" w:ascii="宋体" w:hAnsi="宋体" w:eastAsia="宋体" w:cs="宋体"/>
          <w:color w:val="auto"/>
          <w:sz w:val="24"/>
          <w:highlight w:val="none"/>
        </w:rPr>
      </w:pPr>
    </w:p>
    <w:p w14:paraId="28C29197">
      <w:pPr>
        <w:pStyle w:val="26"/>
        <w:rPr>
          <w:rFonts w:hint="eastAsia" w:ascii="宋体" w:hAnsi="宋体" w:eastAsia="宋体" w:cs="宋体"/>
          <w:color w:val="auto"/>
          <w:sz w:val="24"/>
          <w:highlight w:val="none"/>
        </w:rPr>
      </w:pPr>
    </w:p>
    <w:p w14:paraId="4C4971FE">
      <w:pPr>
        <w:pStyle w:val="6"/>
        <w:rPr>
          <w:rFonts w:hint="eastAsia" w:ascii="宋体" w:hAnsi="宋体" w:eastAsia="宋体" w:cs="宋体"/>
          <w:color w:val="auto"/>
          <w:sz w:val="24"/>
          <w:highlight w:val="none"/>
        </w:rPr>
      </w:pPr>
    </w:p>
    <w:p w14:paraId="700B597F">
      <w:pPr>
        <w:rPr>
          <w:rFonts w:hint="eastAsia" w:ascii="宋体" w:hAnsi="宋体" w:eastAsia="宋体" w:cs="宋体"/>
          <w:color w:val="auto"/>
          <w:sz w:val="24"/>
          <w:highlight w:val="none"/>
        </w:rPr>
      </w:pPr>
    </w:p>
    <w:p w14:paraId="5178D236">
      <w:pPr>
        <w:pStyle w:val="26"/>
        <w:rPr>
          <w:rFonts w:hint="eastAsia"/>
          <w:color w:val="auto"/>
          <w:highlight w:val="none"/>
        </w:rPr>
      </w:pPr>
    </w:p>
    <w:p w14:paraId="4FB3BA08">
      <w:pPr>
        <w:tabs>
          <w:tab w:val="left" w:pos="4620"/>
        </w:tabs>
        <w:spacing w:line="360" w:lineRule="auto"/>
        <w:ind w:firstLine="480" w:firstLineChars="200"/>
        <w:rPr>
          <w:rFonts w:hint="eastAsia" w:ascii="宋体" w:hAnsi="宋体" w:eastAsia="宋体" w:cs="宋体"/>
          <w:color w:val="auto"/>
          <w:sz w:val="24"/>
          <w:highlight w:val="none"/>
        </w:rPr>
      </w:pPr>
    </w:p>
    <w:p w14:paraId="31F4434F">
      <w:pPr>
        <w:tabs>
          <w:tab w:val="left" w:pos="4620"/>
        </w:tabs>
        <w:spacing w:line="360" w:lineRule="auto"/>
        <w:rPr>
          <w:rFonts w:hint="eastAsia" w:ascii="宋体" w:hAnsi="宋体" w:eastAsia="宋体" w:cs="宋体"/>
          <w:color w:val="auto"/>
          <w:sz w:val="24"/>
          <w:highlight w:val="none"/>
        </w:rPr>
      </w:pPr>
    </w:p>
    <w:p w14:paraId="09545C1C">
      <w:pPr>
        <w:tabs>
          <w:tab w:val="left" w:pos="4620"/>
        </w:tabs>
        <w:spacing w:line="360" w:lineRule="auto"/>
        <w:ind w:firstLine="480" w:firstLineChars="200"/>
        <w:rPr>
          <w:rFonts w:hint="eastAsia" w:ascii="宋体" w:hAnsi="宋体" w:eastAsia="宋体" w:cs="宋体"/>
          <w:color w:val="auto"/>
          <w:sz w:val="24"/>
          <w:highlight w:val="none"/>
        </w:rPr>
      </w:pPr>
    </w:p>
    <w:p w14:paraId="51036F70">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p>
    <w:p w14:paraId="680D8BAD">
      <w:pPr>
        <w:pStyle w:val="4"/>
        <w:numPr>
          <w:ilvl w:val="0"/>
          <w:numId w:val="0"/>
        </w:numPr>
        <w:bidi w:val="0"/>
        <w:jc w:val="center"/>
        <w:rPr>
          <w:rFonts w:hint="eastAsia"/>
          <w:b/>
          <w:bCs/>
          <w:color w:val="auto"/>
          <w:sz w:val="32"/>
          <w:szCs w:val="32"/>
          <w:highlight w:val="none"/>
        </w:rPr>
      </w:pPr>
      <w:r>
        <w:rPr>
          <w:rFonts w:hint="eastAsia"/>
          <w:color w:val="auto"/>
          <w:highlight w:val="none"/>
          <w:lang w:val="en-US" w:eastAsia="zh-CN"/>
        </w:rPr>
        <w:t>七．</w:t>
      </w:r>
      <w:r>
        <w:rPr>
          <w:rFonts w:hint="eastAsia"/>
          <w:color w:val="auto"/>
          <w:highlight w:val="none"/>
        </w:rPr>
        <w:t>中小企业声明函（工程、服务）</w:t>
      </w:r>
    </w:p>
    <w:p w14:paraId="1473C2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452EB1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万元，属于（中型企业、小型企业、微型企业）； </w:t>
      </w:r>
    </w:p>
    <w:p w14:paraId="19DD57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696956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616CEB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14:paraId="7F96F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272B39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5C01B09C">
      <w:pPr>
        <w:pStyle w:val="26"/>
        <w:rPr>
          <w:rFonts w:hint="eastAsia" w:ascii="宋体" w:hAnsi="宋体" w:eastAsia="宋体" w:cs="宋体"/>
          <w:color w:val="auto"/>
          <w:sz w:val="24"/>
          <w:szCs w:val="24"/>
          <w:highlight w:val="none"/>
        </w:rPr>
      </w:pPr>
    </w:p>
    <w:p w14:paraId="4CABB122">
      <w:pPr>
        <w:pStyle w:val="6"/>
        <w:rPr>
          <w:rFonts w:hint="eastAsia" w:ascii="宋体" w:hAnsi="宋体" w:eastAsia="宋体" w:cs="宋体"/>
          <w:color w:val="auto"/>
          <w:sz w:val="24"/>
          <w:szCs w:val="24"/>
          <w:highlight w:val="none"/>
        </w:rPr>
      </w:pPr>
    </w:p>
    <w:p w14:paraId="50B571B5">
      <w:pPr>
        <w:rPr>
          <w:rFonts w:hint="eastAsia" w:ascii="宋体" w:hAnsi="宋体" w:eastAsia="宋体" w:cs="宋体"/>
          <w:color w:val="auto"/>
          <w:sz w:val="24"/>
          <w:szCs w:val="24"/>
          <w:highlight w:val="none"/>
        </w:rPr>
      </w:pPr>
    </w:p>
    <w:p w14:paraId="4B13440A">
      <w:pPr>
        <w:pStyle w:val="26"/>
        <w:rPr>
          <w:rFonts w:hint="eastAsia" w:ascii="宋体" w:hAnsi="宋体" w:eastAsia="宋体" w:cs="宋体"/>
          <w:color w:val="auto"/>
          <w:sz w:val="24"/>
          <w:szCs w:val="24"/>
          <w:highlight w:val="none"/>
        </w:rPr>
      </w:pPr>
    </w:p>
    <w:p w14:paraId="3C5C8CC7">
      <w:pPr>
        <w:pStyle w:val="6"/>
        <w:rPr>
          <w:rFonts w:hint="eastAsia"/>
          <w:color w:val="auto"/>
          <w:highlight w:val="none"/>
        </w:rPr>
      </w:pPr>
    </w:p>
    <w:p w14:paraId="2D25B5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1AA8A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060B1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8"/>
          <w:highlight w:val="none"/>
          <w:lang w:val="en-US" w:eastAsia="zh-CN"/>
        </w:rPr>
      </w:pPr>
    </w:p>
    <w:p w14:paraId="64624B50">
      <w:pPr>
        <w:rPr>
          <w:rFonts w:hint="eastAsia" w:ascii="宋体" w:hAnsi="宋体" w:eastAsia="宋体" w:cs="宋体"/>
          <w:color w:val="auto"/>
          <w:sz w:val="28"/>
          <w:szCs w:val="28"/>
          <w:highlight w:val="none"/>
        </w:rPr>
      </w:pPr>
    </w:p>
    <w:p w14:paraId="67AE9737">
      <w:pPr>
        <w:rPr>
          <w:rFonts w:hint="eastAsia" w:ascii="宋体" w:hAnsi="宋体" w:eastAsia="宋体" w:cs="宋体"/>
          <w:color w:val="auto"/>
          <w:sz w:val="28"/>
          <w:szCs w:val="28"/>
          <w:highlight w:val="none"/>
        </w:rPr>
      </w:pPr>
      <w:bookmarkStart w:id="187" w:name="_Toc220232403"/>
    </w:p>
    <w:p w14:paraId="4078DFB4">
      <w:pPr>
        <w:rPr>
          <w:rFonts w:hint="eastAsia" w:ascii="宋体" w:hAnsi="宋体" w:eastAsia="宋体" w:cs="宋体"/>
          <w:color w:val="auto"/>
          <w:sz w:val="28"/>
          <w:szCs w:val="28"/>
          <w:highlight w:val="none"/>
        </w:rPr>
      </w:pPr>
    </w:p>
    <w:bookmarkEnd w:id="187"/>
    <w:p w14:paraId="43E8762E">
      <w:pPr>
        <w:pStyle w:val="4"/>
        <w:jc w:val="center"/>
        <w:rPr>
          <w:rFonts w:hint="eastAsia" w:ascii="宋体" w:hAnsi="宋体" w:eastAsia="宋体" w:cs="宋体"/>
          <w:color w:val="auto"/>
          <w:sz w:val="36"/>
          <w:szCs w:val="36"/>
          <w:highlight w:val="none"/>
        </w:rPr>
      </w:pPr>
      <w:bookmarkStart w:id="188" w:name="_Hlt526418111"/>
      <w:bookmarkEnd w:id="188"/>
      <w:bookmarkStart w:id="189" w:name="_Hlt526418103"/>
      <w:bookmarkEnd w:id="189"/>
      <w:bookmarkStart w:id="190" w:name="_Toc516969110"/>
      <w:bookmarkStart w:id="191" w:name="_Toc220232405"/>
      <w:bookmarkStart w:id="192" w:name="_Toc2532_WPSOffice_Level2"/>
      <w:r>
        <w:rPr>
          <w:rFonts w:hint="eastAsia" w:ascii="宋体" w:hAnsi="宋体" w:eastAsia="宋体" w:cs="宋体"/>
          <w:color w:val="auto"/>
          <w:sz w:val="28"/>
          <w:highlight w:val="none"/>
        </w:rPr>
        <w:br w:type="page"/>
      </w:r>
      <w:bookmarkStart w:id="193" w:name="_Toc10948"/>
      <w:bookmarkStart w:id="194" w:name="_Toc2639"/>
      <w:bookmarkStart w:id="195" w:name="_Toc3638"/>
      <w:bookmarkStart w:id="196" w:name="_Toc40975458"/>
      <w:r>
        <w:rPr>
          <w:rFonts w:hint="eastAsia" w:hAnsi="宋体" w:cs="宋体"/>
          <w:color w:val="auto"/>
          <w:sz w:val="28"/>
          <w:highlight w:val="none"/>
          <w:lang w:val="en-US" w:eastAsia="zh-CN"/>
        </w:rPr>
        <w:t>八</w:t>
      </w:r>
      <w:r>
        <w:rPr>
          <w:rFonts w:hint="eastAsia" w:ascii="宋体" w:hAnsi="宋体" w:eastAsia="宋体" w:cs="宋体"/>
          <w:color w:val="auto"/>
          <w:sz w:val="28"/>
          <w:highlight w:val="none"/>
        </w:rPr>
        <w:t>．售后服务</w:t>
      </w:r>
      <w:bookmarkEnd w:id="190"/>
      <w:bookmarkEnd w:id="191"/>
      <w:bookmarkEnd w:id="192"/>
      <w:bookmarkEnd w:id="193"/>
      <w:bookmarkEnd w:id="194"/>
      <w:bookmarkEnd w:id="195"/>
      <w:bookmarkEnd w:id="196"/>
    </w:p>
    <w:p w14:paraId="168F4CE8">
      <w:pPr>
        <w:jc w:val="center"/>
        <w:rPr>
          <w:rFonts w:hint="eastAsia" w:ascii="宋体" w:hAnsi="宋体" w:eastAsia="宋体" w:cs="宋体"/>
          <w:color w:val="auto"/>
          <w:sz w:val="28"/>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可自行制作格式)</w:t>
      </w:r>
    </w:p>
    <w:p w14:paraId="1AAD3915">
      <w:pPr>
        <w:spacing w:line="500" w:lineRule="exact"/>
        <w:jc w:val="center"/>
        <w:rPr>
          <w:rFonts w:hint="eastAsia" w:ascii="宋体" w:hAnsi="宋体" w:eastAsia="宋体" w:cs="宋体"/>
          <w:b/>
          <w:bCs/>
          <w:color w:val="auto"/>
          <w:sz w:val="30"/>
          <w:highlight w:val="none"/>
        </w:rPr>
      </w:pPr>
      <w:bookmarkStart w:id="197" w:name="_Hlt526418107"/>
      <w:bookmarkEnd w:id="197"/>
    </w:p>
    <w:p w14:paraId="6CFA776A">
      <w:pPr>
        <w:pStyle w:val="4"/>
        <w:rPr>
          <w:rFonts w:hint="eastAsia" w:ascii="宋体" w:hAnsi="宋体" w:eastAsia="宋体" w:cs="宋体"/>
          <w:color w:val="auto"/>
          <w:sz w:val="44"/>
          <w:highlight w:val="none"/>
        </w:rPr>
      </w:pPr>
      <w:bookmarkStart w:id="198" w:name="_Toc40975459"/>
      <w:bookmarkStart w:id="199" w:name="_Toc197934560"/>
      <w:bookmarkStart w:id="200" w:name="_Toc10813"/>
      <w:bookmarkStart w:id="201" w:name="_Toc30338_WPSOffice_Level2"/>
      <w:bookmarkStart w:id="202" w:name="_Toc27099"/>
      <w:bookmarkStart w:id="203" w:name="_Toc516969111"/>
      <w:bookmarkStart w:id="204" w:name="_Toc26966"/>
      <w:bookmarkStart w:id="205" w:name="_Toc359404312"/>
      <w:bookmarkStart w:id="206" w:name="_Hlt509738384"/>
      <w:r>
        <w:rPr>
          <w:rFonts w:hint="eastAsia" w:hAnsi="宋体" w:cs="宋体"/>
          <w:color w:val="auto"/>
          <w:sz w:val="28"/>
          <w:highlight w:val="none"/>
          <w:lang w:val="en-US" w:eastAsia="zh-CN"/>
        </w:rPr>
        <w:t>九</w:t>
      </w:r>
      <w:r>
        <w:rPr>
          <w:rFonts w:hint="eastAsia" w:ascii="宋体" w:hAnsi="宋体" w:eastAsia="宋体" w:cs="宋体"/>
          <w:color w:val="auto"/>
          <w:sz w:val="28"/>
          <w:highlight w:val="none"/>
        </w:rPr>
        <w:t>、所投</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的技术资料等</w:t>
      </w:r>
      <w:bookmarkEnd w:id="198"/>
      <w:bookmarkEnd w:id="199"/>
      <w:bookmarkEnd w:id="200"/>
      <w:bookmarkEnd w:id="201"/>
      <w:bookmarkEnd w:id="202"/>
      <w:bookmarkEnd w:id="203"/>
      <w:bookmarkEnd w:id="204"/>
      <w:bookmarkEnd w:id="205"/>
      <w:bookmarkEnd w:id="206"/>
      <w:bookmarkStart w:id="207" w:name="_Hlt509650291"/>
      <w:bookmarkEnd w:id="207"/>
    </w:p>
    <w:p w14:paraId="1C25BE3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可自行制作格式，可附产品技术彩页）</w:t>
      </w:r>
    </w:p>
    <w:p w14:paraId="7C285398">
      <w:pPr>
        <w:jc w:val="center"/>
        <w:rPr>
          <w:rFonts w:hint="eastAsia" w:ascii="宋体" w:hAnsi="宋体" w:eastAsia="宋体" w:cs="宋体"/>
          <w:color w:val="auto"/>
          <w:sz w:val="24"/>
          <w:highlight w:val="none"/>
        </w:rPr>
      </w:pPr>
    </w:p>
    <w:p w14:paraId="08A6B28F">
      <w:pPr>
        <w:jc w:val="center"/>
        <w:rPr>
          <w:rFonts w:hint="eastAsia" w:ascii="宋体" w:hAnsi="宋体" w:eastAsia="宋体" w:cs="宋体"/>
          <w:color w:val="auto"/>
          <w:sz w:val="24"/>
          <w:highlight w:val="none"/>
        </w:rPr>
      </w:pPr>
    </w:p>
    <w:p w14:paraId="13E555FF">
      <w:pPr>
        <w:jc w:val="center"/>
        <w:rPr>
          <w:rFonts w:hint="eastAsia" w:ascii="宋体" w:hAnsi="宋体" w:eastAsia="宋体" w:cs="宋体"/>
          <w:color w:val="auto"/>
          <w:sz w:val="24"/>
          <w:highlight w:val="none"/>
        </w:rPr>
      </w:pPr>
    </w:p>
    <w:p w14:paraId="4362360E">
      <w:pPr>
        <w:pStyle w:val="4"/>
        <w:rPr>
          <w:rFonts w:hint="eastAsia" w:ascii="宋体" w:hAnsi="宋体" w:eastAsia="宋体" w:cs="宋体"/>
          <w:color w:val="auto"/>
          <w:sz w:val="28"/>
          <w:highlight w:val="none"/>
        </w:rPr>
      </w:pPr>
      <w:bookmarkStart w:id="208" w:name="_Toc1814"/>
      <w:bookmarkStart w:id="209" w:name="_Toc17042"/>
      <w:bookmarkStart w:id="210" w:name="_Toc10283"/>
      <w:r>
        <w:rPr>
          <w:rFonts w:hint="eastAsia" w:ascii="宋体" w:hAnsi="宋体" w:eastAsia="宋体" w:cs="宋体"/>
          <w:color w:val="auto"/>
          <w:sz w:val="28"/>
          <w:highlight w:val="none"/>
        </w:rPr>
        <w:t>十、其他</w:t>
      </w:r>
      <w:r>
        <w:rPr>
          <w:rFonts w:hint="eastAsia" w:hAnsi="宋体" w:cs="宋体"/>
          <w:color w:val="auto"/>
          <w:sz w:val="28"/>
          <w:highlight w:val="none"/>
          <w:lang w:eastAsia="zh-CN"/>
        </w:rPr>
        <w:t>供应商</w:t>
      </w:r>
      <w:r>
        <w:rPr>
          <w:rFonts w:hint="eastAsia" w:ascii="宋体" w:hAnsi="宋体" w:eastAsia="宋体" w:cs="宋体"/>
          <w:color w:val="auto"/>
          <w:sz w:val="28"/>
          <w:highlight w:val="none"/>
        </w:rPr>
        <w:t>认为需要提供得材料等</w:t>
      </w:r>
      <w:bookmarkEnd w:id="208"/>
      <w:bookmarkEnd w:id="209"/>
      <w:bookmarkEnd w:id="210"/>
    </w:p>
    <w:p w14:paraId="63F8A007">
      <w:pPr>
        <w:bidi w:val="0"/>
        <w:rPr>
          <w:rFonts w:hint="eastAsia"/>
          <w:color w:val="auto"/>
          <w:highlight w:val="none"/>
        </w:rPr>
      </w:pPr>
    </w:p>
    <w:p w14:paraId="53F1CBC0">
      <w:pPr>
        <w:jc w:val="center"/>
        <w:rPr>
          <w:rFonts w:hint="eastAsia" w:ascii="宋体" w:hAnsi="宋体" w:eastAsia="宋体" w:cs="宋体"/>
          <w:color w:val="auto"/>
          <w:sz w:val="24"/>
          <w:highlight w:val="none"/>
        </w:rPr>
      </w:pPr>
    </w:p>
    <w:p w14:paraId="0AB31FAC">
      <w:pPr>
        <w:jc w:val="center"/>
        <w:rPr>
          <w:rFonts w:hint="eastAsia" w:ascii="宋体" w:hAnsi="宋体" w:eastAsia="宋体" w:cs="宋体"/>
          <w:color w:val="auto"/>
          <w:sz w:val="24"/>
          <w:highlight w:val="none"/>
        </w:rPr>
      </w:pPr>
    </w:p>
    <w:p w14:paraId="20A0D1B0">
      <w:pPr>
        <w:jc w:val="center"/>
        <w:rPr>
          <w:rFonts w:hint="eastAsia" w:ascii="宋体" w:hAnsi="宋体" w:eastAsia="宋体" w:cs="宋体"/>
          <w:color w:val="auto"/>
          <w:sz w:val="24"/>
          <w:highlight w:val="none"/>
        </w:rPr>
      </w:pPr>
    </w:p>
    <w:p w14:paraId="0841E89D">
      <w:pPr>
        <w:jc w:val="center"/>
        <w:rPr>
          <w:rFonts w:hint="eastAsia" w:ascii="宋体" w:hAnsi="宋体" w:eastAsia="宋体" w:cs="宋体"/>
          <w:color w:val="auto"/>
          <w:sz w:val="24"/>
          <w:highlight w:val="none"/>
        </w:rPr>
      </w:pPr>
    </w:p>
    <w:p w14:paraId="6AD33F4D">
      <w:pPr>
        <w:jc w:val="center"/>
        <w:rPr>
          <w:rFonts w:hint="eastAsia" w:ascii="宋体" w:hAnsi="宋体" w:eastAsia="宋体" w:cs="宋体"/>
          <w:color w:val="auto"/>
          <w:sz w:val="24"/>
          <w:highlight w:val="none"/>
        </w:rPr>
      </w:pPr>
    </w:p>
    <w:p w14:paraId="3E861F8A">
      <w:pPr>
        <w:jc w:val="center"/>
        <w:rPr>
          <w:rFonts w:hint="eastAsia" w:ascii="宋体" w:hAnsi="宋体" w:eastAsia="宋体" w:cs="宋体"/>
          <w:color w:val="auto"/>
          <w:sz w:val="24"/>
          <w:highlight w:val="none"/>
        </w:rPr>
      </w:pPr>
    </w:p>
    <w:p w14:paraId="0BC898C8">
      <w:pPr>
        <w:jc w:val="center"/>
        <w:rPr>
          <w:rFonts w:hint="eastAsia" w:ascii="宋体" w:hAnsi="宋体" w:eastAsia="宋体" w:cs="宋体"/>
          <w:color w:val="auto"/>
          <w:sz w:val="24"/>
          <w:highlight w:val="none"/>
        </w:rPr>
      </w:pPr>
    </w:p>
    <w:p w14:paraId="6C70666A">
      <w:pPr>
        <w:jc w:val="center"/>
        <w:rPr>
          <w:rFonts w:hint="eastAsia" w:ascii="宋体" w:hAnsi="宋体" w:eastAsia="宋体" w:cs="宋体"/>
          <w:color w:val="auto"/>
          <w:sz w:val="24"/>
          <w:highlight w:val="none"/>
        </w:rPr>
      </w:pPr>
    </w:p>
    <w:p w14:paraId="3BA5165A">
      <w:pPr>
        <w:jc w:val="center"/>
        <w:rPr>
          <w:rFonts w:hint="eastAsia" w:ascii="宋体" w:hAnsi="宋体" w:eastAsia="宋体" w:cs="宋体"/>
          <w:color w:val="auto"/>
          <w:sz w:val="24"/>
          <w:highlight w:val="none"/>
        </w:rPr>
      </w:pPr>
    </w:p>
    <w:p w14:paraId="3874AC73">
      <w:pPr>
        <w:jc w:val="center"/>
        <w:rPr>
          <w:rFonts w:hint="eastAsia" w:ascii="宋体" w:hAnsi="宋体" w:eastAsia="宋体" w:cs="宋体"/>
          <w:color w:val="auto"/>
          <w:sz w:val="24"/>
          <w:highlight w:val="none"/>
        </w:rPr>
      </w:pPr>
    </w:p>
    <w:p w14:paraId="7C490BD3">
      <w:pPr>
        <w:jc w:val="center"/>
        <w:rPr>
          <w:rFonts w:hint="eastAsia" w:ascii="宋体" w:hAnsi="宋体" w:eastAsia="宋体" w:cs="宋体"/>
          <w:color w:val="auto"/>
          <w:sz w:val="24"/>
          <w:highlight w:val="none"/>
        </w:rPr>
      </w:pPr>
    </w:p>
    <w:p w14:paraId="3E3A7AA7">
      <w:pPr>
        <w:jc w:val="center"/>
        <w:rPr>
          <w:rFonts w:hint="eastAsia" w:ascii="宋体" w:hAnsi="宋体" w:eastAsia="宋体" w:cs="宋体"/>
          <w:color w:val="auto"/>
          <w:sz w:val="24"/>
          <w:highlight w:val="none"/>
        </w:rPr>
      </w:pPr>
    </w:p>
    <w:p w14:paraId="4F653A4B">
      <w:pPr>
        <w:pStyle w:val="16"/>
        <w:rPr>
          <w:rFonts w:hint="eastAsia" w:ascii="宋体" w:hAnsi="宋体" w:eastAsia="宋体" w:cs="宋体"/>
          <w:color w:val="auto"/>
          <w:highlight w:val="none"/>
        </w:rPr>
      </w:pPr>
    </w:p>
    <w:p w14:paraId="5FFC2340">
      <w:pPr>
        <w:pStyle w:val="16"/>
        <w:rPr>
          <w:rFonts w:hint="eastAsia" w:ascii="宋体" w:hAnsi="宋体" w:eastAsia="宋体" w:cs="宋体"/>
          <w:color w:val="auto"/>
          <w:highlight w:val="none"/>
        </w:rPr>
      </w:pPr>
    </w:p>
    <w:p w14:paraId="17719E55">
      <w:pPr>
        <w:pStyle w:val="16"/>
        <w:rPr>
          <w:rFonts w:hint="eastAsia" w:ascii="宋体" w:hAnsi="宋体" w:eastAsia="宋体" w:cs="宋体"/>
          <w:color w:val="auto"/>
          <w:highlight w:val="none"/>
        </w:rPr>
      </w:pPr>
    </w:p>
    <w:p w14:paraId="372CBA17">
      <w:pPr>
        <w:pStyle w:val="16"/>
        <w:rPr>
          <w:rFonts w:hint="eastAsia" w:ascii="宋体" w:hAnsi="宋体" w:eastAsia="宋体" w:cs="宋体"/>
          <w:color w:val="auto"/>
          <w:highlight w:val="none"/>
        </w:rPr>
      </w:pPr>
    </w:p>
    <w:p w14:paraId="42769ADB">
      <w:pPr>
        <w:pStyle w:val="16"/>
        <w:rPr>
          <w:rFonts w:hint="eastAsia" w:ascii="宋体" w:hAnsi="宋体" w:eastAsia="宋体" w:cs="宋体"/>
          <w:color w:val="auto"/>
          <w:highlight w:val="none"/>
        </w:rPr>
      </w:pPr>
    </w:p>
    <w:p w14:paraId="7C2AE57B">
      <w:pPr>
        <w:pStyle w:val="16"/>
        <w:rPr>
          <w:rFonts w:hint="eastAsia" w:ascii="宋体" w:hAnsi="宋体" w:eastAsia="宋体" w:cs="宋体"/>
          <w:color w:val="auto"/>
          <w:highlight w:val="none"/>
        </w:rPr>
      </w:pPr>
    </w:p>
    <w:p w14:paraId="1E935D78">
      <w:pPr>
        <w:pStyle w:val="16"/>
        <w:rPr>
          <w:rFonts w:hint="eastAsia" w:ascii="宋体" w:hAnsi="宋体" w:eastAsia="宋体" w:cs="宋体"/>
          <w:color w:val="auto"/>
          <w:highlight w:val="none"/>
        </w:rPr>
      </w:pPr>
    </w:p>
    <w:p w14:paraId="25C25B2F">
      <w:pPr>
        <w:jc w:val="center"/>
        <w:rPr>
          <w:rFonts w:hint="eastAsia" w:ascii="宋体" w:hAnsi="宋体" w:eastAsia="宋体" w:cs="宋体"/>
          <w:color w:val="auto"/>
          <w:sz w:val="24"/>
          <w:highlight w:val="none"/>
        </w:rPr>
      </w:pPr>
    </w:p>
    <w:p w14:paraId="73F95633">
      <w:pPr>
        <w:jc w:val="center"/>
        <w:rPr>
          <w:rFonts w:hint="eastAsia" w:ascii="宋体" w:hAnsi="宋体" w:eastAsia="宋体" w:cs="宋体"/>
          <w:color w:val="auto"/>
          <w:sz w:val="24"/>
          <w:highlight w:val="none"/>
        </w:rPr>
      </w:pPr>
    </w:p>
    <w:p w14:paraId="03316A73">
      <w:pPr>
        <w:jc w:val="center"/>
        <w:rPr>
          <w:rFonts w:hint="eastAsia" w:ascii="宋体" w:hAnsi="宋体" w:eastAsia="宋体" w:cs="宋体"/>
          <w:color w:val="auto"/>
          <w:sz w:val="24"/>
          <w:highlight w:val="none"/>
        </w:rPr>
      </w:pPr>
    </w:p>
    <w:p w14:paraId="39082E59">
      <w:pPr>
        <w:jc w:val="center"/>
        <w:rPr>
          <w:rFonts w:hint="eastAsia" w:ascii="宋体" w:hAnsi="宋体" w:eastAsia="宋体" w:cs="宋体"/>
          <w:color w:val="auto"/>
          <w:sz w:val="24"/>
          <w:highlight w:val="none"/>
        </w:rPr>
      </w:pPr>
    </w:p>
    <w:p w14:paraId="42E79D79">
      <w:pPr>
        <w:jc w:val="center"/>
        <w:rPr>
          <w:rFonts w:hint="eastAsia" w:ascii="宋体" w:hAnsi="宋体" w:eastAsia="宋体" w:cs="宋体"/>
          <w:color w:val="auto"/>
          <w:sz w:val="24"/>
          <w:highlight w:val="none"/>
        </w:rPr>
      </w:pPr>
    </w:p>
    <w:p w14:paraId="1CE0F496">
      <w:pPr>
        <w:pStyle w:val="16"/>
        <w:rPr>
          <w:rFonts w:hint="eastAsia" w:ascii="宋体" w:hAnsi="宋体" w:eastAsia="宋体" w:cs="宋体"/>
          <w:color w:val="auto"/>
          <w:highlight w:val="none"/>
        </w:rPr>
      </w:pPr>
    </w:p>
    <w:p w14:paraId="3236FCCE">
      <w:pPr>
        <w:pStyle w:val="16"/>
        <w:rPr>
          <w:rFonts w:hint="eastAsia" w:ascii="宋体" w:hAnsi="宋体" w:eastAsia="宋体" w:cs="宋体"/>
          <w:color w:val="auto"/>
          <w:highlight w:val="none"/>
        </w:rPr>
      </w:pPr>
    </w:p>
    <w:p w14:paraId="3BEBA58A">
      <w:pPr>
        <w:pStyle w:val="4"/>
        <w:bidi w:val="0"/>
        <w:rPr>
          <w:rFonts w:hint="eastAsia"/>
          <w:color w:val="auto"/>
          <w:highlight w:val="none"/>
        </w:rPr>
      </w:pPr>
      <w:r>
        <w:rPr>
          <w:rFonts w:hint="eastAsia"/>
          <w:color w:val="auto"/>
          <w:highlight w:val="none"/>
        </w:rPr>
        <w:t>十</w:t>
      </w:r>
      <w:r>
        <w:rPr>
          <w:rFonts w:hint="eastAsia"/>
          <w:color w:val="auto"/>
          <w:highlight w:val="none"/>
          <w:lang w:val="en-US" w:eastAsia="zh-CN"/>
        </w:rPr>
        <w:t>一</w:t>
      </w:r>
      <w:r>
        <w:rPr>
          <w:rFonts w:hint="eastAsia"/>
          <w:color w:val="auto"/>
          <w:highlight w:val="none"/>
        </w:rPr>
        <w:t>、政府采购供应商诚信承诺书</w:t>
      </w:r>
    </w:p>
    <w:p w14:paraId="6560B0E4">
      <w:pPr>
        <w:spacing w:line="380" w:lineRule="exact"/>
        <w:jc w:val="center"/>
        <w:rPr>
          <w:rFonts w:hint="eastAsia" w:ascii="宋体" w:hAnsi="宋体" w:eastAsia="宋体" w:cs="宋体"/>
          <w:b/>
          <w:color w:val="auto"/>
          <w:sz w:val="24"/>
          <w:highlight w:val="none"/>
        </w:rPr>
      </w:pPr>
    </w:p>
    <w:p w14:paraId="424C99FB">
      <w:pPr>
        <w:spacing w:line="3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CF79A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7DDD7A0F">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7C323423">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恶意串通;</w:t>
      </w:r>
    </w:p>
    <w:p w14:paraId="195BF5EA">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2CA83F42">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03096CD5">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6CFCEE56">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403D51B3">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5B62FF07">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573F2DCC">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74C9B1D2">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（十ー）擅自或与与采购人串通或接受采购人要求，在履约合同中通过减少</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数量，更服务标准等，却仍按原合同进行虚假验收或终止政府采购合同;</w:t>
      </w:r>
    </w:p>
    <w:p w14:paraId="6735C4D5">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40593BCE">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283ED1DF">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3A464F7B">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456F15A4">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0E6EC395">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35B0D34B">
      <w:pPr>
        <w:spacing w:line="380" w:lineRule="exact"/>
        <w:jc w:val="center"/>
        <w:rPr>
          <w:rFonts w:hint="eastAsia" w:ascii="宋体" w:hAnsi="宋体" w:eastAsia="宋体" w:cs="宋体"/>
          <w:color w:val="auto"/>
          <w:sz w:val="24"/>
          <w:highlight w:val="none"/>
        </w:rPr>
      </w:pPr>
    </w:p>
    <w:p w14:paraId="3FAB997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63F0D2BD">
      <w:pPr>
        <w:spacing w:line="38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w:t>
      </w:r>
    </w:p>
    <w:p w14:paraId="6A099A2A">
      <w:pPr>
        <w:spacing w:line="380" w:lineRule="exact"/>
        <w:jc w:val="center"/>
        <w:rPr>
          <w:rFonts w:hint="eastAsia" w:ascii="宋体" w:hAnsi="宋体" w:eastAsia="宋体" w:cs="宋体"/>
          <w:color w:val="auto"/>
          <w:sz w:val="24"/>
          <w:highlight w:val="none"/>
        </w:rPr>
      </w:pPr>
    </w:p>
    <w:p w14:paraId="6F32BAFA">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授权委托人：（签</w:t>
      </w:r>
      <w:r>
        <w:rPr>
          <w:rFonts w:hint="eastAsia" w:ascii="宋体" w:hAnsi="宋体" w:eastAsia="宋体" w:cs="宋体"/>
          <w:color w:val="auto"/>
          <w:sz w:val="24"/>
          <w:highlight w:val="none"/>
          <w:lang w:val="en-US" w:eastAsia="zh-CN"/>
        </w:rPr>
        <w:t>章</w:t>
      </w:r>
      <w:r>
        <w:rPr>
          <w:rFonts w:hint="eastAsia" w:ascii="宋体" w:hAnsi="宋体" w:eastAsia="宋体" w:cs="宋体"/>
          <w:color w:val="auto"/>
          <w:sz w:val="24"/>
          <w:highlight w:val="none"/>
        </w:rPr>
        <w:t>）</w:t>
      </w:r>
    </w:p>
    <w:p w14:paraId="654FC8A2">
      <w:pPr>
        <w:spacing w:line="380" w:lineRule="exact"/>
        <w:jc w:val="center"/>
        <w:rPr>
          <w:rFonts w:hint="eastAsia" w:ascii="宋体" w:hAnsi="宋体" w:eastAsia="宋体" w:cs="宋体"/>
          <w:color w:val="auto"/>
          <w:sz w:val="24"/>
          <w:highlight w:val="none"/>
        </w:rPr>
      </w:pPr>
    </w:p>
    <w:p w14:paraId="7E73DC7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A381049">
      <w:pPr>
        <w:pStyle w:val="27"/>
        <w:ind w:firstLine="210"/>
        <w:rPr>
          <w:rFonts w:hint="eastAsia" w:ascii="宋体" w:hAnsi="宋体" w:eastAsia="宋体" w:cs="宋体"/>
          <w:color w:val="auto"/>
          <w:highlight w:val="none"/>
        </w:rPr>
      </w:pPr>
    </w:p>
    <w:p w14:paraId="3156DC39">
      <w:pPr>
        <w:pStyle w:val="27"/>
        <w:ind w:firstLine="210"/>
        <w:rPr>
          <w:rFonts w:hint="eastAsia" w:ascii="宋体" w:hAnsi="宋体" w:eastAsia="宋体" w:cs="宋体"/>
          <w:color w:val="auto"/>
          <w:highlight w:val="none"/>
        </w:rPr>
      </w:pPr>
    </w:p>
    <w:p w14:paraId="69DBA6A4">
      <w:pPr>
        <w:pStyle w:val="27"/>
        <w:ind w:firstLine="210"/>
        <w:rPr>
          <w:rFonts w:hint="eastAsia" w:ascii="宋体" w:hAnsi="宋体" w:eastAsia="宋体" w:cs="宋体"/>
          <w:color w:val="auto"/>
          <w:highlight w:val="none"/>
        </w:rPr>
      </w:pPr>
    </w:p>
    <w:p w14:paraId="3A890DF5">
      <w:pPr>
        <w:pStyle w:val="2"/>
        <w:bidi w:val="0"/>
        <w:rPr>
          <w:rFonts w:hint="eastAsia" w:ascii="宋体" w:hAnsi="宋体" w:eastAsia="宋体" w:cs="宋体"/>
          <w:color w:val="auto"/>
          <w:highlight w:val="none"/>
        </w:rPr>
      </w:pPr>
      <w:bookmarkStart w:id="211" w:name="_Toc12913"/>
      <w:r>
        <w:rPr>
          <w:rFonts w:hint="eastAsia" w:ascii="宋体" w:hAnsi="宋体" w:eastAsia="宋体" w:cs="宋体"/>
          <w:color w:val="auto"/>
          <w:highlight w:val="none"/>
        </w:rPr>
        <w:t>周口市政府采购合同融资政策告知函</w:t>
      </w:r>
      <w:bookmarkEnd w:id="211"/>
    </w:p>
    <w:p w14:paraId="1E085F52">
      <w:pPr>
        <w:pStyle w:val="27"/>
        <w:ind w:firstLine="240"/>
        <w:rPr>
          <w:rFonts w:hint="eastAsia" w:ascii="宋体" w:hAnsi="宋体" w:eastAsia="宋体" w:cs="宋体"/>
          <w:color w:val="auto"/>
          <w:sz w:val="24"/>
          <w:szCs w:val="24"/>
          <w:highlight w:val="none"/>
        </w:rPr>
      </w:pPr>
    </w:p>
    <w:p w14:paraId="18531060">
      <w:pPr>
        <w:pStyle w:val="27"/>
        <w:ind w:firstLine="240"/>
        <w:rPr>
          <w:rFonts w:hint="eastAsia" w:ascii="宋体" w:hAnsi="宋体" w:eastAsia="宋体" w:cs="宋体"/>
          <w:color w:val="auto"/>
          <w:sz w:val="24"/>
          <w:szCs w:val="24"/>
          <w:highlight w:val="none"/>
        </w:rPr>
      </w:pPr>
    </w:p>
    <w:p w14:paraId="6E89FDA2">
      <w:pPr>
        <w:pStyle w:val="27"/>
        <w:ind w:firstLine="240"/>
        <w:rPr>
          <w:rFonts w:hint="eastAsia" w:ascii="宋体" w:hAnsi="宋体" w:eastAsia="宋体" w:cs="宋体"/>
          <w:color w:val="auto"/>
          <w:sz w:val="24"/>
          <w:szCs w:val="24"/>
          <w:highlight w:val="none"/>
        </w:rPr>
      </w:pPr>
    </w:p>
    <w:p w14:paraId="7587F911">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1EBC1315">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1E46E193">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8E2687">
      <w:pPr>
        <w:pStyle w:val="19"/>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p w14:paraId="2CED0DF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AD7BD1E">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36F09BD">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DC2EC1C">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16AEF2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F996C0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D9C601C">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ED0DA9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7FD9BF5">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102C0813">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2CF57B6">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560C58F">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14DEFE6">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19601D8">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FC1FB93">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169E56E">
      <w:pPr>
        <w:pStyle w:val="27"/>
        <w:ind w:left="0" w:leftChars="0" w:firstLine="0" w:firstLineChars="0"/>
        <w:rPr>
          <w:rFonts w:hint="eastAsia" w:ascii="宋体" w:hAnsi="宋体" w:eastAsia="宋体" w:cs="宋体"/>
          <w:color w:val="auto"/>
          <w:sz w:val="24"/>
          <w:szCs w:val="24"/>
          <w:highlight w:val="none"/>
        </w:rPr>
      </w:pPr>
    </w:p>
    <w:p w14:paraId="74807102">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9C8F">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0EB3F91">
                          <w:pPr>
                            <w:pStyle w:val="14"/>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0EB3F91">
                    <w:pPr>
                      <w:pStyle w:val="14"/>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0083C7"/>
    <w:multiLevelType w:val="singleLevel"/>
    <w:tmpl w:val="C30083C7"/>
    <w:lvl w:ilvl="0" w:tentative="0">
      <w:start w:val="4"/>
      <w:numFmt w:val="decimal"/>
      <w:suff w:val="nothing"/>
      <w:lvlText w:val="（%1）"/>
      <w:lvlJc w:val="left"/>
      <w:pPr>
        <w:ind w:left="150"/>
      </w:pPr>
    </w:lvl>
  </w:abstractNum>
  <w:abstractNum w:abstractNumId="1">
    <w:nsid w:val="1223B73C"/>
    <w:multiLevelType w:val="singleLevel"/>
    <w:tmpl w:val="1223B73C"/>
    <w:lvl w:ilvl="0" w:tentative="0">
      <w:start w:val="1"/>
      <w:numFmt w:val="chineseCounting"/>
      <w:suff w:val="space"/>
      <w:lvlText w:val="第%1章"/>
      <w:lvlJc w:val="left"/>
      <w:rPr>
        <w:rFonts w:hint="eastAsia"/>
      </w:rPr>
    </w:lvl>
  </w:abstractNum>
  <w:abstractNum w:abstractNumId="2">
    <w:nsid w:val="228F13F0"/>
    <w:multiLevelType w:val="singleLevel"/>
    <w:tmpl w:val="228F13F0"/>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F6F11"/>
    <w:rsid w:val="004874D5"/>
    <w:rsid w:val="01170C55"/>
    <w:rsid w:val="017240DE"/>
    <w:rsid w:val="027C3E31"/>
    <w:rsid w:val="031F3B6E"/>
    <w:rsid w:val="0328766F"/>
    <w:rsid w:val="037D5037"/>
    <w:rsid w:val="03855DE5"/>
    <w:rsid w:val="04F72F4A"/>
    <w:rsid w:val="05095F28"/>
    <w:rsid w:val="07541C4C"/>
    <w:rsid w:val="07AA74AD"/>
    <w:rsid w:val="09436A8B"/>
    <w:rsid w:val="09724DC1"/>
    <w:rsid w:val="097F1A8E"/>
    <w:rsid w:val="09AF4121"/>
    <w:rsid w:val="0B9C57B3"/>
    <w:rsid w:val="0B9F6F11"/>
    <w:rsid w:val="0BBC5E81"/>
    <w:rsid w:val="0C074502"/>
    <w:rsid w:val="0C1C6A34"/>
    <w:rsid w:val="10262C63"/>
    <w:rsid w:val="10B0061E"/>
    <w:rsid w:val="111F7DDE"/>
    <w:rsid w:val="118552AB"/>
    <w:rsid w:val="11E626AA"/>
    <w:rsid w:val="12240D20"/>
    <w:rsid w:val="129C0FBA"/>
    <w:rsid w:val="12A926AA"/>
    <w:rsid w:val="131F0499"/>
    <w:rsid w:val="135A2147"/>
    <w:rsid w:val="145A5893"/>
    <w:rsid w:val="1598325E"/>
    <w:rsid w:val="15BB3E4D"/>
    <w:rsid w:val="16DE1BA1"/>
    <w:rsid w:val="16EF1057"/>
    <w:rsid w:val="17AD4550"/>
    <w:rsid w:val="17C60EF7"/>
    <w:rsid w:val="186A4132"/>
    <w:rsid w:val="19715320"/>
    <w:rsid w:val="1A840CB2"/>
    <w:rsid w:val="1AA72BF2"/>
    <w:rsid w:val="1AE469B6"/>
    <w:rsid w:val="1BB42AAF"/>
    <w:rsid w:val="1CED504F"/>
    <w:rsid w:val="1DC37D43"/>
    <w:rsid w:val="1F1F420D"/>
    <w:rsid w:val="1FCD62CF"/>
    <w:rsid w:val="20B3409F"/>
    <w:rsid w:val="228D0920"/>
    <w:rsid w:val="23081FD9"/>
    <w:rsid w:val="232A43C0"/>
    <w:rsid w:val="238456BC"/>
    <w:rsid w:val="23DE179B"/>
    <w:rsid w:val="24A442A5"/>
    <w:rsid w:val="24FE537A"/>
    <w:rsid w:val="2513739E"/>
    <w:rsid w:val="268A7623"/>
    <w:rsid w:val="26FC24D5"/>
    <w:rsid w:val="28C81DF6"/>
    <w:rsid w:val="29D530F9"/>
    <w:rsid w:val="2A41096D"/>
    <w:rsid w:val="2A5266D7"/>
    <w:rsid w:val="2AA131BA"/>
    <w:rsid w:val="2D273C2E"/>
    <w:rsid w:val="2FAF6254"/>
    <w:rsid w:val="301023A8"/>
    <w:rsid w:val="30761376"/>
    <w:rsid w:val="3147496D"/>
    <w:rsid w:val="327A39AE"/>
    <w:rsid w:val="32D3784A"/>
    <w:rsid w:val="34E55AC4"/>
    <w:rsid w:val="35417A73"/>
    <w:rsid w:val="36107446"/>
    <w:rsid w:val="367466C4"/>
    <w:rsid w:val="376E4598"/>
    <w:rsid w:val="37E961A0"/>
    <w:rsid w:val="37ED3EE3"/>
    <w:rsid w:val="37EF0ACB"/>
    <w:rsid w:val="383733B0"/>
    <w:rsid w:val="38696F55"/>
    <w:rsid w:val="399A730F"/>
    <w:rsid w:val="3A7D4CA9"/>
    <w:rsid w:val="3B24419B"/>
    <w:rsid w:val="3BA76584"/>
    <w:rsid w:val="3BC132B1"/>
    <w:rsid w:val="3BF2188D"/>
    <w:rsid w:val="3C37572C"/>
    <w:rsid w:val="3CBD168E"/>
    <w:rsid w:val="3DD11BB1"/>
    <w:rsid w:val="3DF75C94"/>
    <w:rsid w:val="3E5E3A05"/>
    <w:rsid w:val="3E9926CE"/>
    <w:rsid w:val="415B5E9C"/>
    <w:rsid w:val="41AA079B"/>
    <w:rsid w:val="43E560CB"/>
    <w:rsid w:val="44705C7F"/>
    <w:rsid w:val="44A57553"/>
    <w:rsid w:val="44AF0466"/>
    <w:rsid w:val="44D24DE7"/>
    <w:rsid w:val="46CE6E39"/>
    <w:rsid w:val="46D2782E"/>
    <w:rsid w:val="47624C00"/>
    <w:rsid w:val="4799729B"/>
    <w:rsid w:val="47E250E6"/>
    <w:rsid w:val="48C33574"/>
    <w:rsid w:val="48C43F17"/>
    <w:rsid w:val="4D3F2693"/>
    <w:rsid w:val="4D907392"/>
    <w:rsid w:val="4DEB7B92"/>
    <w:rsid w:val="4FAA18A4"/>
    <w:rsid w:val="4FCD042A"/>
    <w:rsid w:val="50513E30"/>
    <w:rsid w:val="50755812"/>
    <w:rsid w:val="517A638F"/>
    <w:rsid w:val="532540D9"/>
    <w:rsid w:val="53AB3636"/>
    <w:rsid w:val="55043BFB"/>
    <w:rsid w:val="55375665"/>
    <w:rsid w:val="55EC3586"/>
    <w:rsid w:val="574A05B2"/>
    <w:rsid w:val="578515EA"/>
    <w:rsid w:val="58360551"/>
    <w:rsid w:val="593C3F2A"/>
    <w:rsid w:val="5B55464A"/>
    <w:rsid w:val="5B60307A"/>
    <w:rsid w:val="5B91516A"/>
    <w:rsid w:val="5E926D4C"/>
    <w:rsid w:val="5F2A1761"/>
    <w:rsid w:val="61505E38"/>
    <w:rsid w:val="61637540"/>
    <w:rsid w:val="617B697C"/>
    <w:rsid w:val="642D7FAE"/>
    <w:rsid w:val="64794284"/>
    <w:rsid w:val="656B62C3"/>
    <w:rsid w:val="67A1342D"/>
    <w:rsid w:val="68C161FA"/>
    <w:rsid w:val="6AB04778"/>
    <w:rsid w:val="6C9D00D2"/>
    <w:rsid w:val="6CFC61C3"/>
    <w:rsid w:val="6DCD60E5"/>
    <w:rsid w:val="6E7A7577"/>
    <w:rsid w:val="6E970545"/>
    <w:rsid w:val="6EF80C3E"/>
    <w:rsid w:val="6F0B6A09"/>
    <w:rsid w:val="6F6D49E6"/>
    <w:rsid w:val="70AA55D0"/>
    <w:rsid w:val="70CE5AF2"/>
    <w:rsid w:val="710800CA"/>
    <w:rsid w:val="710A4808"/>
    <w:rsid w:val="712E4FB4"/>
    <w:rsid w:val="73586CCA"/>
    <w:rsid w:val="75737E6E"/>
    <w:rsid w:val="762322A2"/>
    <w:rsid w:val="76AA6412"/>
    <w:rsid w:val="770F42A7"/>
    <w:rsid w:val="77BA70CA"/>
    <w:rsid w:val="77D74F07"/>
    <w:rsid w:val="785851F4"/>
    <w:rsid w:val="787D213D"/>
    <w:rsid w:val="78827754"/>
    <w:rsid w:val="788F757C"/>
    <w:rsid w:val="78DE1BAF"/>
    <w:rsid w:val="79870D9A"/>
    <w:rsid w:val="79D37F48"/>
    <w:rsid w:val="7A277378"/>
    <w:rsid w:val="7A8F43AA"/>
    <w:rsid w:val="7B1F5E6F"/>
    <w:rsid w:val="7BB0099E"/>
    <w:rsid w:val="7D0D6042"/>
    <w:rsid w:val="7D253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r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customStyle="1" w:styleId="10">
    <w:name w:val="Default"/>
    <w:basedOn w:val="1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1">
    <w:name w:val="Plain Text"/>
    <w:basedOn w:val="1"/>
    <w:next w:val="9"/>
    <w:qFormat/>
    <w:uiPriority w:val="0"/>
    <w:rPr>
      <w:rFonts w:ascii="宋体" w:hAnsi="Courier New"/>
    </w:rPr>
  </w:style>
  <w:style w:type="paragraph" w:styleId="12">
    <w:name w:val="Body Text Indent"/>
    <w:basedOn w:val="1"/>
    <w:next w:val="1"/>
    <w:qFormat/>
    <w:uiPriority w:val="0"/>
    <w:pPr>
      <w:ind w:firstLine="645"/>
    </w:pPr>
    <w:rPr>
      <w:rFonts w:ascii="楷体_GB2312" w:eastAsia="楷体_GB2312"/>
      <w:sz w:val="32"/>
    </w:rPr>
  </w:style>
  <w:style w:type="paragraph" w:styleId="13">
    <w:name w:val="Date"/>
    <w:basedOn w:val="1"/>
    <w:next w:val="1"/>
    <w:qFormat/>
    <w:uiPriority w:val="0"/>
    <w:rPr>
      <w:b/>
      <w:sz w:val="2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footnote text"/>
    <w:basedOn w:val="1"/>
    <w:qFormat/>
    <w:uiPriority w:val="99"/>
    <w:pPr>
      <w:snapToGrid w:val="0"/>
      <w:jc w:val="left"/>
    </w:pPr>
    <w:rPr>
      <w:sz w:val="18"/>
      <w:szCs w:val="18"/>
    </w:rPr>
  </w:style>
  <w:style w:type="paragraph" w:styleId="17">
    <w:name w:val="toc 2"/>
    <w:basedOn w:val="1"/>
    <w:next w:val="1"/>
    <w:qFormat/>
    <w:uiPriority w:val="39"/>
    <w:pPr>
      <w:ind w:left="210"/>
      <w:jc w:val="left"/>
    </w:pPr>
    <w:rPr>
      <w:smallCaps/>
      <w:sz w:val="28"/>
      <w:szCs w:val="24"/>
    </w:rPr>
  </w:style>
  <w:style w:type="paragraph" w:styleId="18">
    <w:name w:val="Body Text 2"/>
    <w:basedOn w:val="1"/>
    <w:next w:val="9"/>
    <w:qFormat/>
    <w:uiPriority w:val="0"/>
    <w:pPr>
      <w:spacing w:line="360" w:lineRule="auto"/>
    </w:pPr>
    <w:rPr>
      <w:sz w:val="24"/>
      <w:szCs w:val="20"/>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12"/>
    <w:next w:val="1"/>
    <w:qFormat/>
    <w:uiPriority w:val="0"/>
    <w:pPr>
      <w:spacing w:after="120"/>
      <w:ind w:left="420" w:firstLine="210"/>
    </w:pPr>
    <w:rPr>
      <w:rFonts w:ascii="Times New Roman"/>
    </w:rPr>
  </w:style>
  <w:style w:type="character" w:styleId="25">
    <w:name w:val="page number"/>
    <w:basedOn w:val="24"/>
    <w:qFormat/>
    <w:uiPriority w:val="0"/>
  </w:style>
  <w:style w:type="paragraph" w:customStyle="1" w:styleId="2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0">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4">
    <w:name w:val="正文格式"/>
    <w:basedOn w:val="9"/>
    <w:qFormat/>
    <w:uiPriority w:val="0"/>
    <w:pPr>
      <w:spacing w:line="360" w:lineRule="auto"/>
      <w:ind w:firstLine="200" w:firstLineChars="200"/>
    </w:pPr>
    <w:rPr>
      <w:rFonts w:ascii="宋体" w:hAnsi="宋体"/>
      <w:kern w:val="2"/>
      <w:sz w:val="28"/>
      <w:szCs w:val="22"/>
      <w:lang w:val="en-US" w:eastAsia="zh-CN" w:bidi="ar-SA"/>
    </w:rPr>
  </w:style>
  <w:style w:type="paragraph" w:customStyle="1" w:styleId="35">
    <w:name w:val="Body Text 2"/>
    <w:basedOn w:val="1"/>
    <w:qFormat/>
    <w:uiPriority w:val="0"/>
    <w:pPr>
      <w:tabs>
        <w:tab w:val="left" w:pos="540"/>
      </w:tabs>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8236</Words>
  <Characters>8734</Characters>
  <Lines>0</Lines>
  <Paragraphs>0</Paragraphs>
  <TotalTime>2</TotalTime>
  <ScaleCrop>false</ScaleCrop>
  <LinksUpToDate>false</LinksUpToDate>
  <CharactersWithSpaces>8935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2025-12-05T06:25:00Z</dcterms:created>
  <dc:creator>syimanda</dc:creator>
  <cp:lastModifiedBy>枫</cp:lastModifiedBy>
  <cp:lastPrinted>2026-03-12T11:29:00Z</cp:lastPrinted>
  <dcterms:modified xsi:type="dcterms:W3CDTF">2026-03-13T11:58:59Z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68D6125CC95541FB9667B3D0EF476066_13</vt:lpwstr>
  </property>
  <property fmtid="{D5CDD505-2E9C-101B-9397-08002B2CF9AE}" pid="4" name="KSOTemplateDocerSaveRecord">
    <vt:lpwstr>eyJoZGlkIjoiMWJmYmVhMGQ2YWQwOTc0ZDFkYmVkZTE0NzFkNThlYzIiLCJ1c2VySWQiOiIzNDA5NjgwNjMifQ==</vt:lpwstr>
  </property>
</Properties>
</file>